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黑体_GBK" w:cs="Times New Roman"/>
          <w:color w:val="000000"/>
          <w:kern w:val="0"/>
          <w:sz w:val="32"/>
          <w:szCs w:val="32"/>
          <w:lang w:eastAsia="zh-CN" w:bidi="ar"/>
        </w:rPr>
      </w:pPr>
      <w:r>
        <w:rPr>
          <w:rFonts w:hint="default" w:ascii="Times New Roman" w:hAnsi="Times New Roman" w:eastAsia="方正黑体_GBK" w:cs="Times New Roman"/>
          <w:color w:val="000000"/>
          <w:kern w:val="0"/>
          <w:sz w:val="32"/>
          <w:szCs w:val="32"/>
          <w:lang w:bidi="ar"/>
        </w:rPr>
        <w:t>附件</w:t>
      </w:r>
      <w:bookmarkStart w:id="0" w:name="_GoBack"/>
      <w:bookmarkEnd w:id="0"/>
    </w:p>
    <w:p>
      <w:pPr>
        <w:pStyle w:val="3"/>
        <w:keepNext/>
        <w:keepLines/>
        <w:pageBreakBefore w:val="0"/>
        <w:widowControl w:val="0"/>
        <w:kinsoku/>
        <w:wordWrap/>
        <w:overflowPunct/>
        <w:topLinePunct w:val="0"/>
        <w:autoSpaceDE/>
        <w:autoSpaceDN/>
        <w:bidi w:val="0"/>
        <w:adjustRightInd/>
        <w:snapToGrid/>
        <w:spacing w:line="400" w:lineRule="exact"/>
        <w:textAlignment w:val="auto"/>
        <w:rPr>
          <w:rFonts w:hint="default"/>
          <w:b w:val="0"/>
          <w:bCs w:val="0"/>
        </w:rPr>
      </w:pPr>
    </w:p>
    <w:p>
      <w:pPr>
        <w:spacing w:line="600" w:lineRule="exact"/>
        <w:jc w:val="center"/>
        <w:rPr>
          <w:rFonts w:hint="eastAsia" w:eastAsia="方正小标宋_GBK" w:cs="方正小标宋_GBK"/>
          <w:color w:val="000000"/>
          <w:kern w:val="0"/>
          <w:sz w:val="40"/>
          <w:szCs w:val="40"/>
          <w:lang w:bidi="ar"/>
        </w:rPr>
      </w:pPr>
      <w:r>
        <w:rPr>
          <w:rFonts w:hint="eastAsia" w:eastAsia="方正小标宋_GBK" w:cs="方正小标宋_GBK"/>
          <w:color w:val="000000"/>
          <w:kern w:val="0"/>
          <w:sz w:val="40"/>
          <w:szCs w:val="40"/>
          <w:lang w:eastAsia="zh-CN" w:bidi="ar"/>
        </w:rPr>
        <w:t>易门县</w:t>
      </w:r>
      <w:r>
        <w:rPr>
          <w:rFonts w:hint="eastAsia" w:eastAsia="方正小标宋_GBK" w:cs="方正小标宋_GBK"/>
          <w:color w:val="000000"/>
          <w:kern w:val="0"/>
          <w:sz w:val="40"/>
          <w:szCs w:val="40"/>
          <w:lang w:bidi="ar"/>
        </w:rPr>
        <w:t>政务服务中心进驻事项负面清单</w:t>
      </w:r>
    </w:p>
    <w:p>
      <w:pPr>
        <w:pStyle w:val="3"/>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115"/>
        <w:gridCol w:w="2574"/>
        <w:gridCol w:w="1275"/>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jc w:val="center"/>
        </w:trPr>
        <w:tc>
          <w:tcPr>
            <w:tcW w:w="689" w:type="dxa"/>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6"/>
                <w:rFonts w:hint="default" w:ascii="宋体" w:hAnsi="宋体"/>
                <w:color w:val="000000"/>
                <w:sz w:val="24"/>
              </w:rPr>
            </w:pPr>
            <w:r>
              <w:rPr>
                <w:rStyle w:val="6"/>
                <w:rFonts w:hint="default" w:ascii="宋体" w:hAnsi="宋体"/>
                <w:color w:val="000000"/>
                <w:sz w:val="24"/>
              </w:rPr>
              <w:t>序号</w:t>
            </w:r>
          </w:p>
        </w:tc>
        <w:tc>
          <w:tcPr>
            <w:tcW w:w="3115" w:type="dxa"/>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6"/>
                <w:rFonts w:hint="default" w:ascii="宋体" w:hAnsi="宋体"/>
                <w:color w:val="000000"/>
                <w:sz w:val="24"/>
              </w:rPr>
            </w:pPr>
            <w:r>
              <w:rPr>
                <w:rStyle w:val="6"/>
                <w:rFonts w:hint="default" w:ascii="宋体" w:hAnsi="宋体"/>
                <w:color w:val="000000"/>
                <w:sz w:val="24"/>
              </w:rPr>
              <w:t>主项名称</w:t>
            </w:r>
          </w:p>
        </w:tc>
        <w:tc>
          <w:tcPr>
            <w:tcW w:w="2574" w:type="dxa"/>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6"/>
                <w:rFonts w:hint="default" w:ascii="宋体" w:hAnsi="宋体"/>
                <w:color w:val="000000"/>
                <w:sz w:val="24"/>
              </w:rPr>
            </w:pPr>
            <w:r>
              <w:rPr>
                <w:rStyle w:val="6"/>
                <w:rFonts w:hint="default" w:ascii="宋体" w:hAnsi="宋体"/>
                <w:color w:val="000000"/>
                <w:sz w:val="24"/>
              </w:rPr>
              <w:t>子项名称</w:t>
            </w:r>
          </w:p>
        </w:tc>
        <w:tc>
          <w:tcPr>
            <w:tcW w:w="1275" w:type="dxa"/>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6"/>
                <w:rFonts w:hint="default" w:ascii="宋体" w:hAnsi="宋体"/>
                <w:color w:val="000000"/>
                <w:sz w:val="24"/>
              </w:rPr>
            </w:pPr>
            <w:r>
              <w:rPr>
                <w:rStyle w:val="6"/>
                <w:rFonts w:hint="default" w:ascii="宋体" w:hAnsi="宋体"/>
                <w:color w:val="000000"/>
                <w:sz w:val="24"/>
              </w:rPr>
              <w:t>事项类型</w:t>
            </w:r>
          </w:p>
        </w:tc>
        <w:tc>
          <w:tcPr>
            <w:tcW w:w="1771" w:type="dxa"/>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6"/>
                <w:rFonts w:hint="default" w:ascii="宋体" w:hAnsi="宋体"/>
                <w:color w:val="000000"/>
                <w:sz w:val="24"/>
              </w:rPr>
            </w:pPr>
            <w:r>
              <w:rPr>
                <w:rStyle w:val="6"/>
                <w:rFonts w:hint="default" w:ascii="宋体" w:hAnsi="宋体"/>
                <w:color w:val="000000"/>
                <w:sz w:val="24"/>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eastAsia="方正仿宋_GBK"/>
                <w:color w:val="000000"/>
                <w:sz w:val="24"/>
                <w:lang w:eastAsia="zh-CN"/>
              </w:rPr>
            </w:pPr>
            <w:r>
              <w:rPr>
                <w:rFonts w:hint="eastAsia"/>
                <w:color w:val="000000"/>
                <w:sz w:val="24"/>
                <w:lang w:val="en-US" w:eastAsia="zh-CN"/>
              </w:rPr>
              <w:t>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移民安置纠纷调处</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行政裁决</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eastAsia="方正仿宋_GBK"/>
                <w:color w:val="000000"/>
                <w:sz w:val="24"/>
                <w:lang w:eastAsia="zh-CN"/>
              </w:rPr>
            </w:pPr>
            <w:r>
              <w:rPr>
                <w:rFonts w:hint="eastAsia"/>
                <w:color w:val="000000"/>
                <w:sz w:val="24"/>
                <w:lang w:eastAsia="zh-CN"/>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89" w:type="dxa"/>
            <w:vMerge w:val="restart"/>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2</w:t>
            </w:r>
          </w:p>
        </w:tc>
        <w:tc>
          <w:tcPr>
            <w:tcW w:w="3115" w:type="dxa"/>
            <w:vMerge w:val="restart"/>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对教师、学生申诉的处理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对教师申诉的处理</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其他行政权力</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eastAsia="方正仿宋_GBK"/>
                <w:color w:val="000000"/>
                <w:sz w:val="24"/>
                <w:lang w:eastAsia="zh-CN"/>
              </w:rPr>
            </w:pPr>
            <w:r>
              <w:rPr>
                <w:rFonts w:hint="eastAsia"/>
                <w:color w:val="000000"/>
                <w:kern w:val="0"/>
                <w:sz w:val="24"/>
                <w:lang w:eastAsia="zh-CN" w:bidi="ar"/>
              </w:rPr>
              <w:t>县</w:t>
            </w:r>
            <w:r>
              <w:rPr>
                <w:color w:val="000000"/>
                <w:kern w:val="0"/>
                <w:sz w:val="24"/>
                <w:lang w:bidi="ar"/>
              </w:rPr>
              <w:t>教育</w:t>
            </w:r>
            <w:r>
              <w:rPr>
                <w:rFonts w:hint="eastAsia"/>
                <w:color w:val="000000"/>
                <w:kern w:val="0"/>
                <w:sz w:val="24"/>
                <w:lang w:eastAsia="zh-CN" w:bidi="ar"/>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对学生申诉的处理</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其他行政权力</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eastAsia="方正仿宋_GBK"/>
                <w:color w:val="000000"/>
                <w:sz w:val="24"/>
                <w:lang w:eastAsia="zh-CN"/>
              </w:rPr>
            </w:pPr>
            <w:r>
              <w:rPr>
                <w:rFonts w:hint="eastAsia"/>
                <w:color w:val="000000"/>
                <w:kern w:val="0"/>
                <w:sz w:val="24"/>
                <w:lang w:eastAsia="zh-CN" w:bidi="ar"/>
              </w:rPr>
              <w:t>县</w:t>
            </w:r>
            <w:r>
              <w:rPr>
                <w:color w:val="000000"/>
                <w:kern w:val="0"/>
                <w:sz w:val="24"/>
                <w:lang w:bidi="ar"/>
              </w:rPr>
              <w:t>教育</w:t>
            </w:r>
            <w:r>
              <w:rPr>
                <w:rFonts w:hint="eastAsia"/>
                <w:color w:val="000000"/>
                <w:kern w:val="0"/>
                <w:sz w:val="24"/>
                <w:lang w:eastAsia="zh-CN" w:bidi="ar"/>
              </w:rPr>
              <w:t>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color w:val="000000"/>
                <w:sz w:val="24"/>
              </w:rPr>
            </w:pPr>
            <w:r>
              <w:rPr>
                <w:color w:val="000000"/>
                <w:sz w:val="24"/>
              </w:rPr>
              <w:t>3</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举行集会游行示威许可</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eastAsia="方正仿宋_GBK"/>
                <w:color w:val="000000"/>
                <w:sz w:val="24"/>
                <w:lang w:eastAsia="zh-CN"/>
              </w:rPr>
            </w:pPr>
            <w:r>
              <w:rPr>
                <w:rFonts w:hint="eastAsia"/>
                <w:color w:val="000000"/>
                <w:sz w:val="24"/>
                <w:lang w:val="en-US" w:eastAsia="zh-CN"/>
              </w:rPr>
              <w:t>4</w:t>
            </w:r>
          </w:p>
        </w:tc>
        <w:tc>
          <w:tcPr>
            <w:tcW w:w="3115" w:type="dxa"/>
            <w:noWrap w:val="0"/>
            <w:tcMar>
              <w:top w:w="6" w:type="dxa"/>
              <w:left w:w="108" w:type="dxa"/>
              <w:bottom w:w="6" w:type="dxa"/>
              <w:right w:w="108" w:type="dxa"/>
            </w:tcMar>
            <w:vAlign w:val="center"/>
          </w:tcPr>
          <w:p>
            <w:pPr>
              <w:pStyle w:val="7"/>
              <w:overflowPunct w:val="0"/>
              <w:spacing w:line="310" w:lineRule="exact"/>
              <w:jc w:val="both"/>
              <w:textAlignment w:val="center"/>
              <w:rPr>
                <w:color w:val="000000"/>
                <w:sz w:val="24"/>
              </w:rPr>
            </w:pPr>
            <w:r>
              <w:rPr>
                <w:color w:val="000000"/>
                <w:sz w:val="24"/>
              </w:rPr>
              <w:t>剧毒化学品道路运输通行许可</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color w:val="000000"/>
                <w:sz w:val="24"/>
              </w:rPr>
            </w:pPr>
          </w:p>
        </w:tc>
        <w:tc>
          <w:tcPr>
            <w:tcW w:w="1275" w:type="dxa"/>
            <w:noWrap w:val="0"/>
            <w:tcMar>
              <w:top w:w="6" w:type="dxa"/>
              <w:left w:w="108" w:type="dxa"/>
              <w:bottom w:w="6" w:type="dxa"/>
              <w:right w:w="108" w:type="dxa"/>
            </w:tcMar>
            <w:vAlign w:val="center"/>
          </w:tcPr>
          <w:p>
            <w:pPr>
              <w:overflowPunct w:val="0"/>
              <w:adjustRightInd w:val="0"/>
              <w:snapToGrid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行政许可</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restart"/>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w:t>
            </w:r>
          </w:p>
        </w:tc>
        <w:tc>
          <w:tcPr>
            <w:tcW w:w="3115" w:type="dxa"/>
            <w:vMerge w:val="restart"/>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对举报或者协助查处违法犯罪行为的奖励</w:t>
            </w:r>
          </w:p>
          <w:p>
            <w:pPr>
              <w:pStyle w:val="7"/>
              <w:overflowPunct w:val="0"/>
              <w:spacing w:line="320" w:lineRule="exact"/>
              <w:jc w:val="both"/>
              <w:textAlignment w:val="center"/>
              <w:rPr>
                <w:rFonts w:hint="default"/>
                <w:color w:val="000000"/>
                <w:sz w:val="24"/>
              </w:rPr>
            </w:pPr>
            <w:r>
              <w:rPr>
                <w:color w:val="000000"/>
                <w:sz w:val="24"/>
              </w:rPr>
              <w:t>对举报或者协助查处违法犯罪行为的奖励</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color w:val="000000"/>
                <w:sz w:val="24"/>
              </w:rPr>
            </w:pPr>
            <w:r>
              <w:rPr>
                <w:color w:val="000000"/>
                <w:sz w:val="24"/>
              </w:rPr>
              <w:t>对废旧金属收购者协助公安</w:t>
            </w:r>
            <w:r>
              <w:rPr>
                <w:rFonts w:hint="eastAsia"/>
                <w:color w:val="000000"/>
                <w:sz w:val="24"/>
                <w:lang w:eastAsia="zh-CN"/>
              </w:rPr>
              <w:t>局</w:t>
            </w:r>
            <w:r>
              <w:rPr>
                <w:color w:val="000000"/>
                <w:sz w:val="24"/>
              </w:rPr>
              <w:t>查获违法犯罪分子的奖励</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2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color w:val="000000"/>
                <w:sz w:val="24"/>
              </w:rPr>
            </w:pPr>
            <w:r>
              <w:rPr>
                <w:color w:val="000000"/>
                <w:sz w:val="24"/>
              </w:rPr>
              <w:t>对检举违反枪支管理犯罪活动有功人员的奖励</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eastAsia="方正仿宋_GBK"/>
                <w:color w:val="000000"/>
                <w:sz w:val="24"/>
                <w:lang w:eastAsia="zh-CN"/>
              </w:rPr>
            </w:pPr>
            <w:r>
              <w:rPr>
                <w:rFonts w:hint="eastAsia"/>
                <w:color w:val="000000"/>
                <w:kern w:val="0"/>
                <w:sz w:val="24"/>
                <w:lang w:eastAsia="zh-CN" w:bidi="ar"/>
              </w:rPr>
              <w:t>县</w:t>
            </w:r>
            <w:r>
              <w:rPr>
                <w:rFonts w:hint="default"/>
                <w:color w:val="000000"/>
                <w:kern w:val="0"/>
                <w:sz w:val="24"/>
                <w:lang w:bidi="ar"/>
              </w:rPr>
              <w:t>公安</w:t>
            </w:r>
            <w:r>
              <w:rPr>
                <w:rFonts w:hint="eastAsia"/>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2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color w:val="000000"/>
                <w:sz w:val="24"/>
              </w:rPr>
            </w:pPr>
            <w:r>
              <w:rPr>
                <w:color w:val="000000"/>
                <w:sz w:val="24"/>
              </w:rPr>
              <w:t>对举报毒品、涉及易制毒化学品违法犯罪行为的奖励</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r>
              <w:rPr>
                <w:color w:val="000000"/>
                <w:sz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eastAsia="方正仿宋_GBK"/>
                <w:color w:val="000000"/>
                <w:sz w:val="24"/>
                <w:lang w:eastAsia="zh-CN"/>
              </w:rPr>
            </w:pPr>
            <w:r>
              <w:rPr>
                <w:rFonts w:hint="eastAsia"/>
                <w:color w:val="000000"/>
                <w:kern w:val="0"/>
                <w:sz w:val="24"/>
                <w:lang w:eastAsia="zh-CN" w:bidi="ar"/>
              </w:rPr>
              <w:t>县</w:t>
            </w:r>
            <w:r>
              <w:rPr>
                <w:rFonts w:hint="default"/>
                <w:color w:val="000000"/>
                <w:kern w:val="0"/>
                <w:sz w:val="24"/>
                <w:lang w:bidi="ar"/>
              </w:rPr>
              <w:t>公安</w:t>
            </w:r>
            <w:r>
              <w:rPr>
                <w:rFonts w:hint="eastAsia"/>
                <w:color w:val="000000"/>
                <w:kern w:val="0"/>
                <w:sz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对举报恐怖活动或者协助防范、制止恐怖活动有突出贡献的单位和个人的奖励</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对举报违反民用爆炸物品安全管理规定行为的人员的奖励</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交通事故侦破协助奖</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公安</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eastAsia="方正仿宋_GBK"/>
                <w:color w:val="000000"/>
                <w:sz w:val="24"/>
                <w:lang w:eastAsia="zh-CN"/>
              </w:rPr>
            </w:pPr>
            <w:r>
              <w:rPr>
                <w:rFonts w:hint="eastAsia"/>
                <w:color w:val="000000"/>
                <w:sz w:val="24"/>
                <w:lang w:val="en-US" w:eastAsia="zh-CN"/>
              </w:rPr>
              <w:t>6</w:t>
            </w:r>
          </w:p>
        </w:tc>
        <w:tc>
          <w:tcPr>
            <w:tcW w:w="3115"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社会团体成立、变更、注销登记及修改章程核准</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民政</w:t>
            </w:r>
            <w:r>
              <w:rPr>
                <w:rFonts w:hint="eastAsia" w:ascii="方正仿宋_GBK" w:hAnsi="方正仿宋_GBK" w:eastAsia="方正仿宋_GBK" w:cs="方正仿宋_GBK"/>
                <w:color w:val="000000"/>
                <w:kern w:val="0"/>
                <w:sz w:val="24"/>
                <w:szCs w:val="24"/>
                <w:lang w:eastAsia="zh-CN" w:bidi="ar"/>
              </w:rPr>
              <w:t>局</w:t>
            </w:r>
            <w:r>
              <w:rPr>
                <w:rFonts w:hint="eastAsia" w:ascii="方正仿宋_GBK" w:hAnsi="方正仿宋_GBK" w:eastAsia="方正仿宋_GBK" w:cs="方正仿宋_GBK"/>
                <w:color w:val="000000"/>
                <w:kern w:val="0"/>
                <w:sz w:val="24"/>
                <w:szCs w:val="24"/>
                <w:lang w:bidi="ar"/>
              </w:rPr>
              <w:t>（实行登记管理</w:t>
            </w:r>
            <w:r>
              <w:rPr>
                <w:rFonts w:hint="eastAsia" w:ascii="方正仿宋_GBK" w:hAnsi="方正仿宋_GBK" w:eastAsia="方正仿宋_GBK" w:cs="方正仿宋_GBK"/>
                <w:color w:val="000000"/>
                <w:kern w:val="0"/>
                <w:sz w:val="24"/>
                <w:szCs w:val="24"/>
                <w:lang w:eastAsia="zh-CN" w:bidi="ar"/>
              </w:rPr>
              <w:t>局</w:t>
            </w:r>
            <w:r>
              <w:rPr>
                <w:rFonts w:hint="eastAsia" w:ascii="方正仿宋_GBK" w:hAnsi="方正仿宋_GBK" w:eastAsia="方正仿宋_GBK" w:cs="方正仿宋_GBK"/>
                <w:color w:val="000000"/>
                <w:kern w:val="0"/>
                <w:sz w:val="24"/>
                <w:szCs w:val="24"/>
                <w:lang w:bidi="ar"/>
              </w:rPr>
              <w:t>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eastAsia="方正仿宋_GBK"/>
                <w:color w:val="000000"/>
                <w:sz w:val="24"/>
                <w:lang w:eastAsia="zh-CN"/>
              </w:rPr>
            </w:pPr>
            <w:r>
              <w:rPr>
                <w:rFonts w:hint="eastAsia"/>
                <w:color w:val="000000"/>
                <w:sz w:val="24"/>
                <w:lang w:val="en-US" w:eastAsia="zh-CN"/>
              </w:rPr>
              <w:t>7</w:t>
            </w:r>
          </w:p>
        </w:tc>
        <w:tc>
          <w:tcPr>
            <w:tcW w:w="3115"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民办非企业单位成立、变更、注销登记及修改章程核准</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民政</w:t>
            </w:r>
            <w:r>
              <w:rPr>
                <w:rFonts w:hint="eastAsia" w:ascii="方正仿宋_GBK" w:hAnsi="方正仿宋_GBK" w:eastAsia="方正仿宋_GBK" w:cs="方正仿宋_GBK"/>
                <w:color w:val="000000"/>
                <w:kern w:val="0"/>
                <w:sz w:val="24"/>
                <w:szCs w:val="24"/>
                <w:lang w:eastAsia="zh-CN" w:bidi="ar"/>
              </w:rPr>
              <w:t>局</w:t>
            </w:r>
            <w:r>
              <w:rPr>
                <w:rFonts w:hint="eastAsia" w:ascii="方正仿宋_GBK" w:hAnsi="方正仿宋_GBK" w:eastAsia="方正仿宋_GBK" w:cs="方正仿宋_GBK"/>
                <w:color w:val="000000"/>
                <w:kern w:val="0"/>
                <w:sz w:val="24"/>
                <w:szCs w:val="24"/>
                <w:lang w:bidi="ar"/>
              </w:rPr>
              <w:t>（实行登记管理</w:t>
            </w:r>
            <w:r>
              <w:rPr>
                <w:rFonts w:hint="eastAsia" w:ascii="方正仿宋_GBK" w:hAnsi="方正仿宋_GBK" w:eastAsia="方正仿宋_GBK" w:cs="方正仿宋_GBK"/>
                <w:color w:val="000000"/>
                <w:kern w:val="0"/>
                <w:sz w:val="24"/>
                <w:szCs w:val="24"/>
                <w:lang w:eastAsia="zh-CN" w:bidi="ar"/>
              </w:rPr>
              <w:t>局</w:t>
            </w:r>
            <w:r>
              <w:rPr>
                <w:rFonts w:hint="eastAsia" w:ascii="方正仿宋_GBK" w:hAnsi="方正仿宋_GBK" w:eastAsia="方正仿宋_GBK" w:cs="方正仿宋_GBK"/>
                <w:color w:val="000000"/>
                <w:kern w:val="0"/>
                <w:sz w:val="24"/>
                <w:szCs w:val="24"/>
                <w:lang w:bidi="ar"/>
              </w:rPr>
              <w:t>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eastAsia="方正仿宋_GBK"/>
                <w:color w:val="000000"/>
                <w:sz w:val="24"/>
                <w:lang w:eastAsia="zh-CN"/>
              </w:rPr>
            </w:pPr>
            <w:r>
              <w:rPr>
                <w:rFonts w:hint="eastAsia"/>
                <w:color w:val="000000"/>
                <w:sz w:val="24"/>
                <w:lang w:val="en-US" w:eastAsia="zh-CN"/>
              </w:rPr>
              <w:t>8</w:t>
            </w:r>
          </w:p>
        </w:tc>
        <w:tc>
          <w:tcPr>
            <w:tcW w:w="3115" w:type="dxa"/>
            <w:noWrap w:val="0"/>
            <w:tcMar>
              <w:top w:w="6" w:type="dxa"/>
              <w:left w:w="108" w:type="dxa"/>
              <w:bottom w:w="6" w:type="dxa"/>
              <w:right w:w="108" w:type="dxa"/>
            </w:tcMar>
            <w:vAlign w:val="center"/>
          </w:tcPr>
          <w:p>
            <w:pPr>
              <w:overflowPunct w:val="0"/>
              <w:spacing w:line="320" w:lineRule="exact"/>
              <w:textAlignment w:val="center"/>
              <w:rPr>
                <w:color w:val="000000"/>
                <w:sz w:val="24"/>
              </w:rPr>
            </w:pPr>
            <w:r>
              <w:rPr>
                <w:rFonts w:hint="eastAsia" w:ascii="方正仿宋_GBK" w:hAnsi="方正仿宋_GBK" w:eastAsia="方正仿宋_GBK" w:cs="方正仿宋_GBK"/>
                <w:color w:val="000000"/>
                <w:sz w:val="24"/>
              </w:rPr>
              <w:t>收养登记</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居住在中国内地的中国公民在内地收养登记、解除收养关系登记</w:t>
            </w: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民政</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9</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城市生活无着的流浪乞讨人员救助</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民政</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10</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对公民法律援助申请的审批</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司法</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政府采购投诉处理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财政</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12</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对违反劳动合同法行为的举报奖励</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restart"/>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13</w:t>
            </w:r>
          </w:p>
        </w:tc>
        <w:tc>
          <w:tcPr>
            <w:tcW w:w="3115" w:type="dxa"/>
            <w:vMerge w:val="restart"/>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专业技术人员管理服务</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国务院政府特殊津贴管理发放</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人力资源社会保障</w:t>
            </w:r>
            <w:r>
              <w:rPr>
                <w:rFonts w:hint="eastAsia" w:ascii="方正仿宋_GBK" w:hAnsi="方正仿宋_GBK" w:eastAsia="方正仿宋_GBK" w:cs="方正仿宋_GBK"/>
                <w:color w:val="00000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国家和省海外高层次人才服务</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人力资源社会保障</w:t>
            </w:r>
            <w:r>
              <w:rPr>
                <w:rFonts w:hint="eastAsia" w:ascii="方正仿宋_GBK" w:hAnsi="方正仿宋_GBK" w:eastAsia="方正仿宋_GBK" w:cs="方正仿宋_GBK"/>
                <w:color w:val="00000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职称评审委员会备案</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人力资源社会保障</w:t>
            </w:r>
            <w:r>
              <w:rPr>
                <w:rFonts w:hint="eastAsia" w:ascii="方正仿宋_GBK" w:hAnsi="方正仿宋_GBK" w:eastAsia="方正仿宋_GBK" w:cs="方正仿宋_GBK"/>
                <w:color w:val="00000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color w:val="000000"/>
                <w:sz w:val="24"/>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职称申报评审及证书管理</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人力资源社会保障</w:t>
            </w:r>
            <w:r>
              <w:rPr>
                <w:rFonts w:hint="eastAsia" w:ascii="方正仿宋_GBK" w:hAnsi="方正仿宋_GBK" w:eastAsia="方正仿宋_GBK" w:cs="方正仿宋_GBK"/>
                <w:color w:val="00000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restart"/>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asciiTheme="minorHAnsi" w:hAnsiTheme="minorHAnsi" w:cstheme="minorBidi"/>
                <w:color w:val="000000"/>
                <w:kern w:val="2"/>
                <w:sz w:val="24"/>
                <w:szCs w:val="24"/>
                <w:lang w:val="en-US" w:eastAsia="zh-CN" w:bidi="ar-SA"/>
              </w:rPr>
            </w:pPr>
            <w:r>
              <w:rPr>
                <w:rFonts w:hint="eastAsia"/>
                <w:color w:val="000000"/>
                <w:sz w:val="24"/>
                <w:lang w:val="en-US" w:eastAsia="zh-CN"/>
              </w:rPr>
              <w:t>14</w:t>
            </w:r>
          </w:p>
        </w:tc>
        <w:tc>
          <w:tcPr>
            <w:tcW w:w="3115" w:type="dxa"/>
            <w:vMerge w:val="restart"/>
            <w:noWrap w:val="0"/>
            <w:tcMar>
              <w:top w:w="6" w:type="dxa"/>
              <w:left w:w="108" w:type="dxa"/>
              <w:bottom w:w="6" w:type="dxa"/>
              <w:right w:w="108" w:type="dxa"/>
            </w:tcMar>
            <w:vAlign w:val="center"/>
          </w:tcPr>
          <w:p>
            <w:pPr>
              <w:pStyle w:val="7"/>
              <w:overflowPunct w:val="0"/>
              <w:spacing w:line="320" w:lineRule="exact"/>
              <w:jc w:val="both"/>
              <w:textAlignment w:val="center"/>
              <w:rPr>
                <w:rFonts w:hint="default" w:eastAsia="方正仿宋_GBK" w:asciiTheme="minorHAnsi" w:hAnsiTheme="minorHAnsi" w:cstheme="minorBidi"/>
                <w:color w:val="000000"/>
                <w:kern w:val="2"/>
                <w:sz w:val="24"/>
                <w:szCs w:val="24"/>
                <w:lang w:val="en-US" w:eastAsia="zh-CN" w:bidi="ar-SA"/>
              </w:rPr>
            </w:pPr>
            <w:r>
              <w:rPr>
                <w:color w:val="000000"/>
                <w:sz w:val="24"/>
              </w:rPr>
              <w:t>流动人员人事档案管理服务</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存档人员党员组织关系的接转</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lang w:val="en-US" w:eastAsia="zh-CN"/>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档案材料的收集、鉴别和归档</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color w:val="000000"/>
                <w:sz w:val="24"/>
                <w:lang w:val="en-US" w:eastAsia="zh-CN"/>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档案的接收和转递</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color w:val="000000"/>
                <w:sz w:val="24"/>
                <w:lang w:val="en-US" w:eastAsia="zh-CN"/>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档案的整理和保管</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color w:val="000000"/>
                <w:sz w:val="24"/>
                <w:lang w:val="en-US" w:eastAsia="zh-CN"/>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人才集体户口管理服务</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color w:val="000000"/>
                <w:sz w:val="24"/>
                <w:lang w:val="en-US" w:eastAsia="zh-CN"/>
              </w:rPr>
            </w:pPr>
          </w:p>
        </w:tc>
        <w:tc>
          <w:tcPr>
            <w:tcW w:w="3115" w:type="dxa"/>
            <w:vMerge w:val="continue"/>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提供档案查（借）阅服务</w:t>
            </w: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asciiTheme="minorHAnsi" w:hAnsiTheme="minorHAnsi" w:cstheme="minorBidi"/>
                <w:color w:val="000000"/>
                <w:kern w:val="2"/>
                <w:sz w:val="24"/>
                <w:szCs w:val="24"/>
                <w:lang w:val="en-US" w:eastAsia="zh-CN" w:bidi="ar-SA"/>
              </w:rPr>
            </w:pPr>
            <w:r>
              <w:rPr>
                <w:rFonts w:hint="eastAsia"/>
                <w:color w:val="000000"/>
                <w:sz w:val="24"/>
                <w:lang w:val="en-US" w:eastAsia="zh-CN"/>
              </w:rPr>
              <w:t>15</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eastAsia="方正仿宋_GBK" w:asciiTheme="minorHAnsi" w:hAnsiTheme="minorHAnsi" w:cstheme="minorBidi"/>
                <w:color w:val="000000"/>
                <w:kern w:val="2"/>
                <w:sz w:val="24"/>
                <w:szCs w:val="24"/>
                <w:lang w:val="en-US" w:eastAsia="zh-CN" w:bidi="ar-SA"/>
              </w:rPr>
            </w:pPr>
            <w:r>
              <w:rPr>
                <w:color w:val="000000"/>
                <w:sz w:val="24"/>
              </w:rPr>
              <w:t>劳动人事争议调解仲裁</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劳动人事争议仲裁申请</w:t>
            </w: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人力资源社会保障</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16</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法人或者其他组织需要利用属于国家秘密的基础测绘成果审批</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自然资源</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17</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矿区范围争议处理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自然资源</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18</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rFonts w:cs="方正仿宋_GBK"/>
                <w:color w:val="000000"/>
                <w:sz w:val="24"/>
              </w:rPr>
              <w:t>土地权属争议行政裁决</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自然资源</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19</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林木林地权属争议行政裁决</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自然资源</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20</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草原所有权、使用权争议处理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自然资源</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出租汽车车辆运营证核发</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交通运输</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22</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道路运输车辆年度审验</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交通运输</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23</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对保护航标单位和个人的奖励</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交通运输</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24</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对客运经营者在发车时间安排上发生纠纷、客运站经营者协调无效的裁决</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交通运输</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25</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动物及动物产品检疫合格证核发</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26</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农业植物检疫证书核发</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27</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农业植物产地检疫合格证签发</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28</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拖拉机和联合收割机驾驶证核发</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29</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拖拉机和联合收割机登记</w:t>
            </w:r>
          </w:p>
        </w:tc>
        <w:tc>
          <w:tcPr>
            <w:tcW w:w="2574" w:type="dxa"/>
            <w:noWrap w:val="0"/>
            <w:tcMar>
              <w:top w:w="6" w:type="dxa"/>
              <w:left w:w="108" w:type="dxa"/>
              <w:bottom w:w="6" w:type="dxa"/>
              <w:right w:w="108" w:type="dxa"/>
            </w:tcMar>
            <w:vAlign w:val="center"/>
          </w:tcPr>
          <w:p>
            <w:pPr>
              <w:pStyle w:val="7"/>
              <w:overflowPunct w:val="0"/>
              <w:spacing w:line="314"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4"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30</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农作物种子质量纠纷田间现场鉴定</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侵犯植物新品种权处理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农业农村</w:t>
            </w:r>
            <w:r>
              <w:rPr>
                <w:rFonts w:hint="eastAsia" w:ascii="方正仿宋_GBK" w:hAnsi="方正仿宋_GBK" w:eastAsia="方正仿宋_GBK" w:cs="方正仿宋_GBK"/>
                <w:color w:val="000000"/>
                <w:sz w:val="24"/>
                <w:szCs w:val="24"/>
                <w:lang w:eastAsia="zh-CN" w:bidi="ar"/>
              </w:rPr>
              <w:t>局</w:t>
            </w:r>
            <w:r>
              <w:rPr>
                <w:rFonts w:hint="eastAsia" w:ascii="方正仿宋_GBK" w:hAnsi="方正仿宋_GBK" w:eastAsia="方正仿宋_GBK" w:cs="方正仿宋_GBK"/>
                <w:color w:val="000000"/>
                <w:sz w:val="24"/>
                <w:szCs w:val="24"/>
                <w:lang w:bidi="ar"/>
              </w:rPr>
              <w:t>或</w:t>
            </w: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林草</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auto"/>
                <w:sz w:val="24"/>
                <w:lang w:val="en-US" w:eastAsia="zh-CN"/>
              </w:rPr>
            </w:pPr>
            <w:r>
              <w:rPr>
                <w:rFonts w:hint="eastAsia"/>
                <w:color w:val="auto"/>
                <w:sz w:val="24"/>
                <w:lang w:val="en-US" w:eastAsia="zh-CN"/>
              </w:rPr>
              <w:t>32</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auto"/>
                <w:sz w:val="24"/>
              </w:rPr>
            </w:pPr>
            <w:r>
              <w:rPr>
                <w:color w:val="auto"/>
                <w:sz w:val="24"/>
              </w:rPr>
              <w:t>水事纠纷处理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水利</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auto"/>
                <w:sz w:val="24"/>
                <w:lang w:val="en-US" w:eastAsia="zh-CN"/>
              </w:rPr>
            </w:pPr>
            <w:r>
              <w:rPr>
                <w:rFonts w:hint="eastAsia"/>
                <w:color w:val="auto"/>
                <w:sz w:val="24"/>
                <w:lang w:val="en-US" w:eastAsia="zh-CN"/>
              </w:rPr>
              <w:t>33</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auto"/>
                <w:sz w:val="24"/>
              </w:rPr>
            </w:pPr>
            <w:r>
              <w:rPr>
                <w:color w:val="auto"/>
                <w:sz w:val="24"/>
              </w:rPr>
              <w:t>水土流失纠纷争议裁决</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水利</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auto"/>
                <w:sz w:val="24"/>
                <w:lang w:val="en-US" w:eastAsia="zh-CN"/>
              </w:rPr>
            </w:pPr>
            <w:r>
              <w:rPr>
                <w:rFonts w:hint="eastAsia"/>
                <w:color w:val="auto"/>
                <w:sz w:val="24"/>
                <w:lang w:val="en-US" w:eastAsia="zh-CN"/>
              </w:rPr>
              <w:t>34</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auto"/>
                <w:sz w:val="24"/>
              </w:rPr>
            </w:pPr>
            <w:r>
              <w:rPr>
                <w:color w:val="auto"/>
                <w:sz w:val="24"/>
              </w:rPr>
              <w:t>违反河道管理条例经济损失调处</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水利</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35</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对营业性演出举报人的奖励</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文化和旅游</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36</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color w:val="000000"/>
                <w:sz w:val="24"/>
              </w:rPr>
            </w:pPr>
            <w:r>
              <w:rPr>
                <w:color w:val="000000"/>
                <w:sz w:val="24"/>
              </w:rPr>
              <w:t>承担预防接种工作的医疗卫生机构（接种单位）的确认</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auto"/>
                <w:sz w:val="24"/>
                <w:lang w:val="en-US" w:eastAsia="zh-CN"/>
              </w:rPr>
            </w:pPr>
            <w:r>
              <w:rPr>
                <w:rFonts w:hint="eastAsia"/>
                <w:color w:val="auto"/>
                <w:sz w:val="24"/>
                <w:lang w:val="en-US" w:eastAsia="zh-CN"/>
              </w:rPr>
              <w:t>37</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auto"/>
                <w:sz w:val="24"/>
              </w:rPr>
            </w:pPr>
            <w:r>
              <w:rPr>
                <w:color w:val="auto"/>
                <w:sz w:val="24"/>
              </w:rPr>
              <w:t>对婚前医学检查、遗传病诊断和产前诊断结果有异议的医学技术鉴定</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38</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出生医学证明签发、补发、换发</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bidi="ar"/>
              </w:rPr>
            </w:pPr>
            <w:r>
              <w:rPr>
                <w:rFonts w:hint="eastAsia" w:ascii="方正仿宋_GBK" w:hAnsi="方正仿宋_GBK" w:eastAsia="方正仿宋_GBK" w:cs="方正仿宋_GBK"/>
                <w:color w:val="000000"/>
                <w:sz w:val="24"/>
                <w:szCs w:val="24"/>
                <w:lang w:bidi="ar"/>
              </w:rPr>
              <w:t>有助产资质的医疗保健机构或</w:t>
            </w:r>
            <w:r>
              <w:rPr>
                <w:rFonts w:hint="eastAsia" w:ascii="方正仿宋_GBK" w:hAnsi="方正仿宋_GBK" w:eastAsia="方正仿宋_GBK" w:cs="方正仿宋_GBK"/>
                <w:color w:val="000000"/>
                <w:sz w:val="24"/>
                <w:szCs w:val="24"/>
                <w:lang w:eastAsia="zh-CN" w:bidi="ar"/>
              </w:rPr>
              <w:t>县卫生健康局</w:t>
            </w:r>
            <w:r>
              <w:rPr>
                <w:rFonts w:hint="eastAsia" w:ascii="方正仿宋_GBK" w:hAnsi="方正仿宋_GBK" w:eastAsia="方正仿宋_GBK" w:cs="方正仿宋_GBK"/>
                <w:color w:val="000000"/>
                <w:sz w:val="24"/>
                <w:szCs w:val="24"/>
                <w:lang w:bidi="ar"/>
              </w:rPr>
              <w:t>委托的公共卫生管理机构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39</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烈士评定</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40</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伤残等级评定</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伤残抚恤关系接收、转移办理</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42</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在乡复员军人定期定量补助的认定</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行政确认</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43</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烈士褒扬金的给付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44</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烈士遗属、因公牺牲军人遗属、病故军人遗属定期抚恤金的给付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45</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烈士遗属、因公牺牲军人遗属、病故军人遗属一次性抚恤金的给付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46</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部分烈士（含错杀后被平反人员）子女认定及生活补助给付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47</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享受定期抚恤金的烈属、因公牺牲军人遗属、病故军人遗属丧葬补助费的给付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48</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伤残人员抚恤待遇发放</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49</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一至四级分散供养残疾士兵购（建）房补助</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50</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退出现役残疾军人配制假肢、代步三轮车给付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51</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退出现役的残疾军人病故丧葬补助费的给付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退役军人</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52</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退出现役的残疾军人残疾抚恤金的给付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退役军人</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53</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义务兵家庭优待金给付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退役军人</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54</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自主择业军转干部去世后一次性抚恤金和丧葬费补助给付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退役军人</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55</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优抚对象医疗保障</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退役军人</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56</w:t>
            </w:r>
          </w:p>
        </w:tc>
        <w:tc>
          <w:tcPr>
            <w:tcW w:w="3115" w:type="dxa"/>
            <w:noWrap w:val="0"/>
            <w:tcMar>
              <w:top w:w="6" w:type="dxa"/>
              <w:left w:w="108" w:type="dxa"/>
              <w:bottom w:w="6" w:type="dxa"/>
              <w:right w:w="108" w:type="dxa"/>
            </w:tcMar>
            <w:vAlign w:val="center"/>
          </w:tcPr>
          <w:p>
            <w:pPr>
              <w:pStyle w:val="7"/>
              <w:overflowPunct w:val="0"/>
              <w:spacing w:line="320" w:lineRule="exact"/>
              <w:jc w:val="both"/>
              <w:textAlignment w:val="center"/>
              <w:rPr>
                <w:rFonts w:hint="default"/>
                <w:color w:val="000000"/>
                <w:sz w:val="24"/>
              </w:rPr>
            </w:pPr>
            <w:r>
              <w:rPr>
                <w:color w:val="000000"/>
                <w:sz w:val="24"/>
              </w:rPr>
              <w:t>自然灾害救助资金给付</w:t>
            </w:r>
          </w:p>
        </w:tc>
        <w:tc>
          <w:tcPr>
            <w:tcW w:w="2574"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行政给付</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县</w:t>
            </w:r>
            <w:r>
              <w:rPr>
                <w:rFonts w:hint="eastAsia" w:ascii="方正仿宋_GBK" w:hAnsi="方正仿宋_GBK" w:eastAsia="方正仿宋_GBK" w:cs="方正仿宋_GBK"/>
                <w:color w:val="000000"/>
                <w:kern w:val="0"/>
                <w:sz w:val="24"/>
                <w:szCs w:val="24"/>
                <w:lang w:bidi="ar"/>
              </w:rPr>
              <w:t>应急管理</w:t>
            </w:r>
            <w:r>
              <w:rPr>
                <w:rFonts w:hint="eastAsia" w:ascii="方正仿宋_GBK" w:hAnsi="方正仿宋_GBK" w:eastAsia="方正仿宋_GBK" w:cs="方正仿宋_GBK"/>
                <w:color w:val="000000"/>
                <w:kern w:val="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57</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对报告重大事故隐患或者举报安全生产违法行为的奖励</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应急管理</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9" w:type="dxa"/>
            <w:vMerge w:val="restart"/>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58</w:t>
            </w:r>
          </w:p>
        </w:tc>
        <w:tc>
          <w:tcPr>
            <w:tcW w:w="3115" w:type="dxa"/>
            <w:vMerge w:val="restart"/>
            <w:noWrap w:val="0"/>
            <w:tcMar>
              <w:top w:w="6" w:type="dxa"/>
              <w:left w:w="108" w:type="dxa"/>
              <w:bottom w:w="6" w:type="dxa"/>
              <w:right w:w="108" w:type="dxa"/>
            </w:tcMar>
            <w:vAlign w:val="center"/>
          </w:tcPr>
          <w:p>
            <w:pPr>
              <w:overflowPunct w:val="0"/>
              <w:spacing w:line="300" w:lineRule="exact"/>
              <w:textAlignment w:val="center"/>
              <w:rPr>
                <w:color w:val="000000"/>
                <w:sz w:val="24"/>
              </w:rPr>
            </w:pPr>
            <w:r>
              <w:rPr>
                <w:rFonts w:hint="eastAsia" w:ascii="方正仿宋_GBK" w:hAnsi="方正仿宋_GBK" w:eastAsia="方正仿宋_GBK" w:cs="方正仿宋_GBK"/>
                <w:color w:val="000000"/>
                <w:sz w:val="24"/>
                <w:szCs w:val="24"/>
              </w:rPr>
              <w:t>市场监管领域违法行为举报奖励</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对价格违法行为举报的奖励</w:t>
            </w: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0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对检举产品质量违法行为的奖励</w:t>
            </w: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0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对举报直销经营违法行为的奖励</w:t>
            </w: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0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食品安全举报奖励</w:t>
            </w: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9" w:type="dxa"/>
            <w:vMerge w:val="continue"/>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rPr>
            </w:pPr>
          </w:p>
        </w:tc>
        <w:tc>
          <w:tcPr>
            <w:tcW w:w="3115" w:type="dxa"/>
            <w:vMerge w:val="continue"/>
            <w:noWrap w:val="0"/>
            <w:tcMar>
              <w:top w:w="6" w:type="dxa"/>
              <w:left w:w="108" w:type="dxa"/>
              <w:bottom w:w="6" w:type="dxa"/>
              <w:right w:w="108" w:type="dxa"/>
            </w:tcMar>
            <w:vAlign w:val="center"/>
          </w:tcPr>
          <w:p>
            <w:pPr>
              <w:overflowPunct w:val="0"/>
              <w:spacing w:line="300" w:lineRule="exact"/>
              <w:textAlignment w:val="center"/>
              <w:rPr>
                <w:color w:val="000000"/>
                <w:sz w:val="24"/>
              </w:rPr>
            </w:pP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特种设备违法行为举报奖励</w:t>
            </w: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59</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对计量纠纷的仲裁检定</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60</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对企业名称争议的裁决</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行政裁决</w:t>
            </w:r>
          </w:p>
        </w:tc>
        <w:tc>
          <w:tcPr>
            <w:tcW w:w="1771" w:type="dxa"/>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61</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对专利申请权和专利权归属等纠纷的调解</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市场监管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62</w:t>
            </w:r>
          </w:p>
        </w:tc>
        <w:tc>
          <w:tcPr>
            <w:tcW w:w="3115"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ascii="宋体" w:hAnsi="宋体" w:eastAsia="方正仿宋_GBK"/>
                <w:color w:val="000000"/>
                <w:kern w:val="2"/>
                <w:sz w:val="24"/>
                <w:szCs w:val="24"/>
                <w:lang w:val="en-US" w:eastAsia="zh-CN" w:bidi="ar-SA"/>
              </w:rPr>
            </w:pPr>
            <w:r>
              <w:rPr>
                <w:color w:val="000000"/>
                <w:sz w:val="24"/>
              </w:rPr>
              <w:t>药品、医疗器械、化妆品违法犯罪行为举报奖励</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kern w:val="2"/>
                <w:sz w:val="24"/>
                <w:szCs w:val="24"/>
                <w:lang w:val="en-US" w:eastAsia="zh-CN" w:bidi="ar-SA"/>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color w:val="000000"/>
                <w:sz w:val="24"/>
                <w:lang w:val="en-US" w:eastAsia="zh-CN"/>
              </w:rPr>
            </w:pPr>
            <w:r>
              <w:rPr>
                <w:rFonts w:hint="eastAsia"/>
                <w:color w:val="000000"/>
                <w:sz w:val="24"/>
                <w:lang w:val="en-US" w:eastAsia="zh-CN"/>
              </w:rPr>
              <w:t>63</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ascii="宋体" w:hAnsi="宋体" w:eastAsia="方正仿宋_GBK"/>
                <w:color w:val="000000"/>
                <w:kern w:val="2"/>
                <w:sz w:val="24"/>
                <w:szCs w:val="24"/>
                <w:lang w:val="en-US" w:eastAsia="zh-CN" w:bidi="ar-SA"/>
              </w:rPr>
            </w:pPr>
            <w:r>
              <w:rPr>
                <w:color w:val="000000"/>
                <w:sz w:val="24"/>
              </w:rPr>
              <w:t>林草植物检疫证书核发</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kern w:val="2"/>
                <w:sz w:val="24"/>
                <w:szCs w:val="24"/>
                <w:lang w:val="en-US" w:eastAsia="zh-CN" w:bidi="ar-SA"/>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林草</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64</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对统计中弄虚作假等违法行为检举有功的单位和个人给予表彰和奖励</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统计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65</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color w:val="000000"/>
                <w:sz w:val="24"/>
              </w:rPr>
              <w:t>对重大国情国力普查违法行为举报有功的个人给予奖励</w:t>
            </w:r>
          </w:p>
        </w:tc>
        <w:tc>
          <w:tcPr>
            <w:tcW w:w="2574"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行政奖励</w:t>
            </w:r>
          </w:p>
        </w:tc>
        <w:tc>
          <w:tcPr>
            <w:tcW w:w="1771" w:type="dxa"/>
            <w:noWrap w:val="0"/>
            <w:tcMar>
              <w:top w:w="6" w:type="dxa"/>
              <w:left w:w="108" w:type="dxa"/>
              <w:bottom w:w="6" w:type="dxa"/>
              <w:right w:w="108" w:type="dxa"/>
            </w:tcMar>
            <w:vAlign w:val="center"/>
          </w:tcPr>
          <w:p>
            <w:pPr>
              <w:pStyle w:val="7"/>
              <w:overflowPunct w:val="0"/>
              <w:spacing w:line="30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统计</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66</w:t>
            </w:r>
          </w:p>
        </w:tc>
        <w:tc>
          <w:tcPr>
            <w:tcW w:w="3115" w:type="dxa"/>
            <w:noWrap w:val="0"/>
            <w:tcMar>
              <w:top w:w="6" w:type="dxa"/>
              <w:left w:w="108" w:type="dxa"/>
              <w:bottom w:w="6" w:type="dxa"/>
              <w:right w:w="108" w:type="dxa"/>
            </w:tcMar>
            <w:vAlign w:val="center"/>
          </w:tcPr>
          <w:p>
            <w:pPr>
              <w:pStyle w:val="7"/>
              <w:overflowPunct w:val="0"/>
              <w:spacing w:line="310" w:lineRule="exact"/>
              <w:jc w:val="both"/>
              <w:textAlignment w:val="center"/>
              <w:rPr>
                <w:rFonts w:hint="default"/>
                <w:color w:val="000000"/>
                <w:sz w:val="24"/>
              </w:rPr>
            </w:pPr>
            <w:r>
              <w:rPr>
                <w:color w:val="000000"/>
                <w:sz w:val="24"/>
              </w:rPr>
              <w:t>拆除人民防空工程审批</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bidi="ar"/>
              </w:rPr>
              <w:t>县发</w:t>
            </w:r>
            <w:r>
              <w:rPr>
                <w:rFonts w:hint="eastAsia" w:ascii="方正仿宋_GBK" w:hAnsi="方正仿宋_GBK" w:cs="方正仿宋_GBK"/>
                <w:color w:val="000000"/>
                <w:sz w:val="24"/>
                <w:szCs w:val="24"/>
                <w:lang w:eastAsia="zh-CN" w:bidi="ar"/>
              </w:rPr>
              <w:t>展</w:t>
            </w:r>
            <w:r>
              <w:rPr>
                <w:rFonts w:hint="eastAsia" w:ascii="方正仿宋_GBK" w:hAnsi="方正仿宋_GBK" w:eastAsia="方正仿宋_GBK" w:cs="方正仿宋_GBK"/>
                <w:color w:val="000000"/>
                <w:sz w:val="24"/>
                <w:szCs w:val="24"/>
                <w:lang w:eastAsia="zh-CN" w:bidi="ar"/>
              </w:rPr>
              <w:t>改</w:t>
            </w:r>
            <w:r>
              <w:rPr>
                <w:rFonts w:hint="eastAsia" w:ascii="方正仿宋_GBK" w:hAnsi="方正仿宋_GBK" w:cs="方正仿宋_GBK"/>
                <w:color w:val="000000"/>
                <w:sz w:val="24"/>
                <w:szCs w:val="24"/>
                <w:lang w:eastAsia="zh-CN" w:bidi="ar"/>
              </w:rPr>
              <w:t>革</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67</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color w:val="000000"/>
                <w:sz w:val="24"/>
              </w:rPr>
            </w:pPr>
            <w:r>
              <w:rPr>
                <w:color w:val="000000"/>
                <w:sz w:val="24"/>
              </w:rPr>
              <w:t>基本医疗保险参保人员享受门诊慢特病病种待遇认定</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公共服务</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bidi="ar"/>
              </w:rPr>
            </w:pPr>
            <w:r>
              <w:rPr>
                <w:rFonts w:hint="eastAsia" w:ascii="方正仿宋_GBK" w:hAnsi="方正仿宋_GBK" w:eastAsia="方正仿宋_GBK" w:cs="方正仿宋_GBK"/>
                <w:color w:val="000000"/>
                <w:sz w:val="24"/>
                <w:szCs w:val="24"/>
                <w:lang w:eastAsia="zh-CN" w:bidi="ar"/>
              </w:rPr>
              <w:t>县</w:t>
            </w:r>
            <w:r>
              <w:rPr>
                <w:rFonts w:hint="eastAsia" w:ascii="方正仿宋_GBK" w:hAnsi="方正仿宋_GBK" w:eastAsia="方正仿宋_GBK" w:cs="方正仿宋_GBK"/>
                <w:color w:val="000000"/>
                <w:sz w:val="24"/>
                <w:szCs w:val="24"/>
                <w:lang w:bidi="ar"/>
              </w:rPr>
              <w:t>医保</w:t>
            </w:r>
            <w:r>
              <w:rPr>
                <w:rFonts w:hint="eastAsia" w:ascii="方正仿宋_GBK" w:hAnsi="方正仿宋_GBK" w:eastAsia="方正仿宋_GBK" w:cs="方正仿宋_GBK"/>
                <w:color w:val="000000"/>
                <w:sz w:val="24"/>
                <w:szCs w:val="24"/>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68</w:t>
            </w:r>
          </w:p>
        </w:tc>
        <w:tc>
          <w:tcPr>
            <w:tcW w:w="3115" w:type="dxa"/>
            <w:noWrap w:val="0"/>
            <w:tcMar>
              <w:top w:w="6" w:type="dxa"/>
              <w:left w:w="108" w:type="dxa"/>
              <w:bottom w:w="6" w:type="dxa"/>
              <w:right w:w="108" w:type="dxa"/>
            </w:tcMar>
            <w:vAlign w:val="center"/>
          </w:tcPr>
          <w:p>
            <w:pPr>
              <w:widowControl/>
              <w:spacing w:line="260" w:lineRule="exac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延期移交档案审批</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20" w:lineRule="exact"/>
              <w:jc w:val="both"/>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档案</w:t>
            </w:r>
            <w:r>
              <w:rPr>
                <w:rFonts w:hint="eastAsia" w:ascii="方正仿宋_GBK" w:hAnsi="方正仿宋_GBK" w:eastAsia="方正仿宋_GBK" w:cs="方正仿宋_GBK"/>
                <w:color w:val="000000"/>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69</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rFonts w:hint="default"/>
                <w:color w:val="000000"/>
                <w:sz w:val="24"/>
              </w:rPr>
              <w:t>华侨回国定居审批</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highlight w:val="yellow"/>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侨</w:t>
            </w:r>
            <w:r>
              <w:rPr>
                <w:rFonts w:hint="eastAsia" w:ascii="方正仿宋_GBK" w:hAnsi="方正仿宋_GBK" w:eastAsia="方正仿宋_GBK" w:cs="方正仿宋_GBK"/>
                <w:color w:val="000000"/>
                <w:sz w:val="24"/>
                <w:szCs w:val="24"/>
                <w:lang w:eastAsia="zh-CN"/>
              </w:rPr>
              <w:t>办</w:t>
            </w:r>
            <w:r>
              <w:rPr>
                <w:rFonts w:hint="eastAsia" w:ascii="方正仿宋_GBK" w:hAnsi="方正仿宋_GBK" w:eastAsia="方正仿宋_GBK" w:cs="方正仿宋_GBK"/>
                <w:color w:val="000000"/>
                <w:sz w:val="24"/>
                <w:szCs w:val="24"/>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9" w:type="dxa"/>
            <w:noWrap w:val="0"/>
            <w:tcMar>
              <w:top w:w="6" w:type="dxa"/>
              <w:left w:w="108" w:type="dxa"/>
              <w:bottom w:w="6" w:type="dxa"/>
              <w:right w:w="108" w:type="dxa"/>
            </w:tcMar>
            <w:vAlign w:val="center"/>
          </w:tcPr>
          <w:p>
            <w:pPr>
              <w:pStyle w:val="7"/>
              <w:overflowPunct w:val="0"/>
              <w:spacing w:line="320" w:lineRule="exact"/>
              <w:jc w:val="center"/>
              <w:textAlignment w:val="center"/>
              <w:rPr>
                <w:rFonts w:hint="default" w:eastAsia="方正仿宋_GBK"/>
                <w:color w:val="000000"/>
                <w:sz w:val="24"/>
                <w:lang w:val="en-US" w:eastAsia="zh-CN"/>
              </w:rPr>
            </w:pPr>
            <w:r>
              <w:rPr>
                <w:rFonts w:hint="eastAsia"/>
                <w:color w:val="000000"/>
                <w:sz w:val="24"/>
                <w:lang w:val="en-US" w:eastAsia="zh-CN"/>
              </w:rPr>
              <w:t>70</w:t>
            </w:r>
          </w:p>
        </w:tc>
        <w:tc>
          <w:tcPr>
            <w:tcW w:w="3115" w:type="dxa"/>
            <w:noWrap w:val="0"/>
            <w:tcMar>
              <w:top w:w="6" w:type="dxa"/>
              <w:left w:w="108" w:type="dxa"/>
              <w:bottom w:w="6" w:type="dxa"/>
              <w:right w:w="108" w:type="dxa"/>
            </w:tcMar>
            <w:vAlign w:val="center"/>
          </w:tcPr>
          <w:p>
            <w:pPr>
              <w:pStyle w:val="7"/>
              <w:overflowPunct w:val="0"/>
              <w:spacing w:line="300" w:lineRule="exact"/>
              <w:jc w:val="both"/>
              <w:textAlignment w:val="center"/>
              <w:rPr>
                <w:rFonts w:hint="default"/>
                <w:color w:val="000000"/>
                <w:sz w:val="24"/>
              </w:rPr>
            </w:pPr>
            <w:r>
              <w:rPr>
                <w:rFonts w:hint="default"/>
                <w:color w:val="000000"/>
                <w:sz w:val="24"/>
              </w:rPr>
              <w:t>事业单位登记</w:t>
            </w:r>
          </w:p>
        </w:tc>
        <w:tc>
          <w:tcPr>
            <w:tcW w:w="2574"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color w:val="000000"/>
                <w:sz w:val="24"/>
                <w:szCs w:val="24"/>
              </w:rPr>
            </w:pPr>
          </w:p>
        </w:tc>
        <w:tc>
          <w:tcPr>
            <w:tcW w:w="1275" w:type="dxa"/>
            <w:noWrap w:val="0"/>
            <w:tcMar>
              <w:top w:w="6" w:type="dxa"/>
              <w:left w:w="108" w:type="dxa"/>
              <w:bottom w:w="6" w:type="dxa"/>
              <w:right w:w="108" w:type="dxa"/>
            </w:tcMar>
            <w:vAlign w:val="center"/>
          </w:tcPr>
          <w:p>
            <w:pPr>
              <w:pStyle w:val="7"/>
              <w:overflowPunct w:val="0"/>
              <w:spacing w:line="31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行政许可</w:t>
            </w:r>
          </w:p>
        </w:tc>
        <w:tc>
          <w:tcPr>
            <w:tcW w:w="1771" w:type="dxa"/>
            <w:noWrap w:val="0"/>
            <w:tcMar>
              <w:top w:w="6" w:type="dxa"/>
              <w:left w:w="108" w:type="dxa"/>
              <w:bottom w:w="6" w:type="dxa"/>
              <w:right w:w="108" w:type="dxa"/>
            </w:tcMar>
            <w:vAlign w:val="center"/>
          </w:tcPr>
          <w:p>
            <w:pPr>
              <w:pStyle w:val="7"/>
              <w:overflowPunct w:val="0"/>
              <w:spacing w:line="310" w:lineRule="exact"/>
              <w:jc w:val="both"/>
              <w:textAlignment w:val="center"/>
              <w:rPr>
                <w:rFonts w:hint="eastAsia" w:ascii="方正仿宋_GBK" w:hAnsi="方正仿宋_GBK" w:eastAsia="方正仿宋_GBK" w:cs="方正仿宋_GBK"/>
                <w:b w:val="0"/>
                <w:bCs w:val="0"/>
                <w:color w:val="000000"/>
                <w:sz w:val="24"/>
                <w:szCs w:val="24"/>
                <w:lang w:eastAsia="zh-CN"/>
              </w:rPr>
            </w:pPr>
            <w:r>
              <w:rPr>
                <w:rFonts w:hint="eastAsia" w:ascii="方正仿宋_GBK" w:hAnsi="方正仿宋_GBK" w:eastAsia="方正仿宋_GBK" w:cs="方正仿宋_GBK"/>
                <w:b w:val="0"/>
                <w:bCs w:val="0"/>
                <w:color w:val="000000"/>
                <w:sz w:val="24"/>
                <w:szCs w:val="24"/>
                <w:lang w:eastAsia="zh-CN"/>
              </w:rPr>
              <w:t>县</w:t>
            </w:r>
            <w:r>
              <w:rPr>
                <w:rFonts w:hint="eastAsia" w:ascii="方正仿宋_GBK" w:hAnsi="方正仿宋_GBK" w:eastAsia="方正仿宋_GBK" w:cs="方正仿宋_GBK"/>
                <w:b w:val="0"/>
                <w:bCs w:val="0"/>
                <w:color w:val="000000"/>
                <w:sz w:val="24"/>
                <w:szCs w:val="24"/>
              </w:rPr>
              <w:t>事业单位登记管理</w:t>
            </w:r>
            <w:r>
              <w:rPr>
                <w:rFonts w:hint="eastAsia" w:ascii="方正仿宋_GBK" w:hAnsi="方正仿宋_GBK" w:eastAsia="方正仿宋_GBK" w:cs="方正仿宋_GBK"/>
                <w:b w:val="0"/>
                <w:bCs w:val="0"/>
                <w:color w:val="000000"/>
                <w:sz w:val="24"/>
                <w:szCs w:val="24"/>
                <w:lang w:eastAsia="zh-CN"/>
              </w:rPr>
              <w:t>局</w:t>
            </w:r>
          </w:p>
        </w:tc>
      </w:tr>
    </w:tbl>
    <w:p>
      <w:pPr>
        <w:pStyle w:val="7"/>
        <w:spacing w:line="360" w:lineRule="exact"/>
        <w:jc w:val="both"/>
        <w:rPr>
          <w:sz w:val="24"/>
        </w:rPr>
      </w:pPr>
    </w:p>
    <w:p>
      <w:pPr>
        <w:pStyle w:val="7"/>
        <w:spacing w:line="360" w:lineRule="exact"/>
        <w:jc w:val="both"/>
        <w:rPr>
          <w:rFonts w:hint="default"/>
          <w:sz w:val="24"/>
        </w:rPr>
      </w:pPr>
      <w:r>
        <w:rPr>
          <w:sz w:val="24"/>
        </w:rPr>
        <w:t>备注：《云南省行政许可事项清单》、《云南省政务服务事项基本目录》对应事项有调整的，从其调整。</w:t>
      </w:r>
    </w:p>
    <w:p>
      <w:pPr>
        <w:rPr>
          <w:rFonts w:hint="default" w:ascii="Times New Roman" w:hAnsi="Times New Roman" w:eastAsia="方正仿宋_GBK" w:cs="Times New Roman"/>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9574B"/>
    <w:rsid w:val="071851A9"/>
    <w:rsid w:val="10E242C6"/>
    <w:rsid w:val="14A624F0"/>
    <w:rsid w:val="15984784"/>
    <w:rsid w:val="16012AE5"/>
    <w:rsid w:val="1BBB2019"/>
    <w:rsid w:val="1DAE53D4"/>
    <w:rsid w:val="21DE5F2C"/>
    <w:rsid w:val="29BE48FB"/>
    <w:rsid w:val="35271C9E"/>
    <w:rsid w:val="36441F14"/>
    <w:rsid w:val="38581003"/>
    <w:rsid w:val="38DE09EC"/>
    <w:rsid w:val="395329F8"/>
    <w:rsid w:val="4CE377D9"/>
    <w:rsid w:val="4E3E3CB6"/>
    <w:rsid w:val="58A8788B"/>
    <w:rsid w:val="59A07F5E"/>
    <w:rsid w:val="5C425DE5"/>
    <w:rsid w:val="60036317"/>
    <w:rsid w:val="6069574B"/>
    <w:rsid w:val="635B1EE2"/>
    <w:rsid w:val="650968A2"/>
    <w:rsid w:val="66C37AA5"/>
    <w:rsid w:val="6BF95E33"/>
    <w:rsid w:val="6E5F296E"/>
    <w:rsid w:val="75CB1866"/>
    <w:rsid w:val="76561F94"/>
    <w:rsid w:val="767F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character" w:customStyle="1" w:styleId="6">
    <w:name w:val="表格表头"/>
    <w:qFormat/>
    <w:uiPriority w:val="0"/>
    <w:rPr>
      <w:rFonts w:hint="eastAsia" w:ascii="Times New Roman" w:hAnsi="Times New Roman" w:eastAsia="方正黑体_GBK"/>
      <w:sz w:val="21"/>
    </w:rPr>
  </w:style>
  <w:style w:type="paragraph" w:customStyle="1" w:styleId="7">
    <w:name w:val="表格正文"/>
    <w:basedOn w:val="1"/>
    <w:qFormat/>
    <w:uiPriority w:val="0"/>
    <w:pPr>
      <w:adjustRightInd w:val="0"/>
      <w:snapToGrid w:val="0"/>
      <w:jc w:val="left"/>
    </w:pPr>
    <w:rPr>
      <w:rFonts w:hint="eastAsia" w:eastAsia="方正仿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2023-10-10T03:03:00Z</dcterms:created>
  <dc:creator>Administrator</dc:creator>
  <cp:lastModifiedBy>龚秋林</cp:lastModifiedBy>
  <dcterms:modified xsi:type="dcterms:W3CDTF">2023-10-10T08:08:37Z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31A364B1A7AA4CBDB1E3AAA2268A82CE</vt:lpwstr>
  </property>
</Properties>
</file>