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168" w:type="dxa"/>
        <w:tblInd w:w="-459" w:type="dxa"/>
        <w:tblLayout w:type="fixed"/>
        <w:tblCellMar>
          <w:top w:w="0" w:type="dxa"/>
          <w:left w:w="108" w:type="dxa"/>
          <w:bottom w:w="0" w:type="dxa"/>
          <w:right w:w="108" w:type="dxa"/>
        </w:tblCellMar>
      </w:tblPr>
      <w:tblGrid>
        <w:gridCol w:w="747"/>
        <w:gridCol w:w="606"/>
        <w:gridCol w:w="1207"/>
        <w:gridCol w:w="2068"/>
        <w:gridCol w:w="709"/>
        <w:gridCol w:w="1133"/>
        <w:gridCol w:w="872"/>
        <w:gridCol w:w="743"/>
        <w:gridCol w:w="4759"/>
        <w:gridCol w:w="708"/>
        <w:gridCol w:w="1552"/>
        <w:gridCol w:w="8"/>
        <w:gridCol w:w="56"/>
      </w:tblGrid>
      <w:tr>
        <w:tblPrEx>
          <w:tblLayout w:type="fixed"/>
          <w:tblCellMar>
            <w:top w:w="0" w:type="dxa"/>
            <w:left w:w="108" w:type="dxa"/>
            <w:bottom w:w="0" w:type="dxa"/>
            <w:right w:w="108" w:type="dxa"/>
          </w:tblCellMar>
        </w:tblPrEx>
        <w:trPr>
          <w:trHeight w:val="420" w:hRule="atLeast"/>
          <w:tblHeader/>
        </w:trPr>
        <w:tc>
          <w:tcPr>
            <w:tcW w:w="15168" w:type="dxa"/>
            <w:gridSpan w:val="13"/>
            <w:tcBorders>
              <w:bottom w:val="single" w:color="auto" w:sz="4" w:space="0"/>
            </w:tcBorders>
            <w:vAlign w:val="center"/>
          </w:tcPr>
          <w:p>
            <w:pPr>
              <w:widowControl/>
              <w:tabs>
                <w:tab w:val="left" w:pos="519"/>
              </w:tabs>
              <w:spacing w:line="600" w:lineRule="exact"/>
              <w:jc w:val="left"/>
              <w:rPr>
                <w:rFonts w:hint="eastAsia" w:ascii="方正黑体_GBK" w:hAnsi="方正黑体_GBK" w:eastAsia="方正黑体_GBK" w:cs="方正黑体_GBK"/>
                <w:kern w:val="0"/>
                <w:sz w:val="28"/>
                <w:szCs w:val="28"/>
                <w:lang w:val="en-US" w:eastAsia="zh-CN"/>
              </w:rPr>
            </w:pPr>
            <w:r>
              <w:rPr>
                <w:rFonts w:hint="eastAsia" w:ascii="方正黑体_GBK" w:hAnsi="方正黑体_GBK" w:eastAsia="方正黑体_GBK" w:cs="方正黑体_GBK"/>
                <w:kern w:val="0"/>
                <w:sz w:val="28"/>
                <w:szCs w:val="28"/>
                <w:lang w:eastAsia="zh-CN"/>
              </w:rPr>
              <w:t>附件</w:t>
            </w:r>
            <w:r>
              <w:rPr>
                <w:rFonts w:hint="eastAsia" w:ascii="方正黑体_GBK" w:hAnsi="方正黑体_GBK" w:eastAsia="方正黑体_GBK" w:cs="方正黑体_GBK"/>
                <w:kern w:val="0"/>
                <w:sz w:val="28"/>
                <w:szCs w:val="28"/>
                <w:lang w:val="en-US" w:eastAsia="zh-CN"/>
              </w:rPr>
              <w:t>1</w:t>
            </w:r>
          </w:p>
          <w:p>
            <w:pPr>
              <w:widowControl/>
              <w:tabs>
                <w:tab w:val="left" w:pos="519"/>
              </w:tabs>
              <w:spacing w:line="600" w:lineRule="exact"/>
              <w:jc w:val="center"/>
              <w:rPr>
                <w:rFonts w:ascii="方正黑体_GBK" w:hAnsi="宋体" w:eastAsia="方正黑体_GBK" w:cs="宋体"/>
                <w:kern w:val="0"/>
                <w:sz w:val="22"/>
              </w:rPr>
            </w:pPr>
            <w:r>
              <w:rPr>
                <w:rFonts w:hint="eastAsia" w:ascii="方正小标宋_GBK" w:hAnsi="宋体" w:eastAsia="方正小标宋_GBK" w:cs="宋体"/>
                <w:kern w:val="0"/>
                <w:sz w:val="40"/>
                <w:szCs w:val="40"/>
              </w:rPr>
              <w:t>易门县</w:t>
            </w:r>
            <w:r>
              <w:rPr>
                <w:rFonts w:hint="eastAsia" w:ascii="方正小标宋_GBK" w:hAnsi="宋体" w:eastAsia="方正小标宋_GBK" w:cs="宋体"/>
                <w:kern w:val="0"/>
                <w:sz w:val="40"/>
                <w:szCs w:val="40"/>
                <w:lang w:eastAsia="zh-CN"/>
              </w:rPr>
              <w:t>水利局</w:t>
            </w:r>
            <w:r>
              <w:rPr>
                <w:rFonts w:hint="eastAsia" w:ascii="方正小标宋_GBK" w:hAnsi="宋体" w:eastAsia="方正小标宋_GBK" w:cs="宋体"/>
                <w:kern w:val="0"/>
                <w:sz w:val="40"/>
                <w:szCs w:val="40"/>
              </w:rPr>
              <w:t>市场监管领域</w:t>
            </w:r>
            <w:r>
              <w:rPr>
                <w:rFonts w:hint="eastAsia" w:ascii="方正小标宋_GBK" w:hAnsi="宋体" w:eastAsia="方正小标宋_GBK" w:cs="宋体"/>
                <w:kern w:val="0"/>
                <w:sz w:val="40"/>
                <w:szCs w:val="40"/>
                <w:lang w:eastAsia="zh-CN"/>
              </w:rPr>
              <w:t>部门</w:t>
            </w:r>
            <w:r>
              <w:rPr>
                <w:rFonts w:hint="eastAsia" w:ascii="方正小标宋_GBK" w:hAnsi="宋体" w:eastAsia="方正小标宋_GBK" w:cs="宋体"/>
                <w:kern w:val="0"/>
                <w:sz w:val="40"/>
                <w:szCs w:val="40"/>
              </w:rPr>
              <w:t>随机抽查事项清单</w:t>
            </w:r>
            <w:r>
              <w:rPr>
                <w:rFonts w:hint="eastAsia" w:ascii="方正小标宋_GBK" w:hAnsi="宋体" w:eastAsia="方正小标宋_GBK" w:cs="宋体"/>
                <w:kern w:val="0"/>
                <w:sz w:val="40"/>
                <w:szCs w:val="40"/>
                <w:lang w:eastAsia="zh-CN"/>
              </w:rPr>
              <w:t>（第二版）</w:t>
            </w:r>
          </w:p>
        </w:tc>
      </w:tr>
      <w:tr>
        <w:tblPrEx>
          <w:tblLayout w:type="fixed"/>
          <w:tblCellMar>
            <w:top w:w="0" w:type="dxa"/>
            <w:left w:w="108" w:type="dxa"/>
            <w:bottom w:w="0" w:type="dxa"/>
            <w:right w:w="108" w:type="dxa"/>
          </w:tblCellMar>
        </w:tblPrEx>
        <w:trPr>
          <w:gridAfter w:val="1"/>
          <w:wAfter w:w="56" w:type="dxa"/>
          <w:trHeight w:val="420" w:hRule="atLeast"/>
          <w:tblHeader/>
        </w:trPr>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方正黑体_GBK" w:hAnsi="宋体" w:eastAsia="方正黑体_GBK" w:cs="宋体"/>
                <w:kern w:val="0"/>
                <w:sz w:val="22"/>
              </w:rPr>
            </w:pPr>
            <w:r>
              <w:rPr>
                <w:rFonts w:hint="eastAsia" w:ascii="方正黑体_GBK" w:hAnsi="宋体" w:eastAsia="方正黑体_GBK" w:cs="宋体"/>
                <w:kern w:val="0"/>
                <w:sz w:val="22"/>
              </w:rPr>
              <w:t>序号</w:t>
            </w:r>
          </w:p>
        </w:tc>
        <w:tc>
          <w:tcPr>
            <w:tcW w:w="60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方正黑体_GBK" w:hAnsi="宋体" w:eastAsia="方正黑体_GBK" w:cs="宋体"/>
                <w:kern w:val="0"/>
                <w:sz w:val="22"/>
              </w:rPr>
            </w:pPr>
            <w:r>
              <w:rPr>
                <w:rFonts w:hint="eastAsia" w:ascii="方正黑体_GBK" w:hAnsi="宋体" w:eastAsia="方正黑体_GBK" w:cs="宋体"/>
                <w:kern w:val="0"/>
                <w:sz w:val="22"/>
              </w:rPr>
              <w:t>部门</w:t>
            </w:r>
          </w:p>
        </w:tc>
        <w:tc>
          <w:tcPr>
            <w:tcW w:w="3275"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方正黑体_GBK" w:hAnsi="宋体" w:eastAsia="方正黑体_GBK" w:cs="宋体"/>
                <w:kern w:val="0"/>
                <w:sz w:val="22"/>
              </w:rPr>
            </w:pPr>
            <w:r>
              <w:rPr>
                <w:rFonts w:hint="eastAsia" w:ascii="方正黑体_GBK" w:hAnsi="宋体" w:eastAsia="方正黑体_GBK" w:cs="宋体"/>
                <w:kern w:val="0"/>
                <w:sz w:val="22"/>
              </w:rPr>
              <w:t>抽查项目</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方正黑体_GBK" w:hAnsi="宋体" w:eastAsia="方正黑体_GBK" w:cs="宋体"/>
                <w:kern w:val="0"/>
                <w:sz w:val="22"/>
              </w:rPr>
            </w:pPr>
            <w:r>
              <w:rPr>
                <w:rFonts w:hint="eastAsia" w:ascii="方正黑体_GBK" w:hAnsi="宋体" w:eastAsia="方正黑体_GBK" w:cs="宋体"/>
                <w:kern w:val="0"/>
                <w:sz w:val="22"/>
              </w:rPr>
              <w:t>事项类别</w:t>
            </w:r>
          </w:p>
        </w:tc>
        <w:tc>
          <w:tcPr>
            <w:tcW w:w="1133"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60" w:lineRule="exact"/>
              <w:jc w:val="center"/>
              <w:rPr>
                <w:rFonts w:ascii="方正黑体_GBK" w:hAnsi="宋体" w:eastAsia="方正黑体_GBK" w:cs="宋体"/>
                <w:kern w:val="0"/>
                <w:sz w:val="22"/>
              </w:rPr>
            </w:pPr>
            <w:r>
              <w:rPr>
                <w:rFonts w:hint="eastAsia" w:ascii="方正黑体_GBK" w:hAnsi="宋体" w:eastAsia="方正黑体_GBK" w:cs="宋体"/>
                <w:kern w:val="0"/>
                <w:sz w:val="22"/>
              </w:rPr>
              <w:t>检查对象</w:t>
            </w:r>
          </w:p>
        </w:tc>
        <w:tc>
          <w:tcPr>
            <w:tcW w:w="87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60" w:lineRule="exact"/>
              <w:jc w:val="center"/>
              <w:rPr>
                <w:rFonts w:ascii="方正黑体_GBK" w:hAnsi="宋体" w:eastAsia="方正黑体_GBK" w:cs="宋体"/>
                <w:kern w:val="0"/>
                <w:sz w:val="22"/>
              </w:rPr>
            </w:pPr>
            <w:r>
              <w:rPr>
                <w:rFonts w:hint="eastAsia" w:ascii="方正黑体_GBK" w:hAnsi="宋体" w:eastAsia="方正黑体_GBK" w:cs="宋体"/>
                <w:kern w:val="0"/>
                <w:sz w:val="22"/>
              </w:rPr>
              <w:t>检查方式</w:t>
            </w:r>
          </w:p>
        </w:tc>
        <w:tc>
          <w:tcPr>
            <w:tcW w:w="743"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60" w:lineRule="exact"/>
              <w:jc w:val="center"/>
              <w:rPr>
                <w:rFonts w:ascii="方正黑体_GBK" w:hAnsi="宋体" w:eastAsia="方正黑体_GBK" w:cs="宋体"/>
                <w:kern w:val="0"/>
                <w:sz w:val="22"/>
              </w:rPr>
            </w:pPr>
            <w:r>
              <w:rPr>
                <w:rFonts w:hint="eastAsia" w:ascii="方正黑体_GBK" w:hAnsi="宋体" w:eastAsia="方正黑体_GBK" w:cs="宋体"/>
                <w:kern w:val="0"/>
                <w:sz w:val="22"/>
              </w:rPr>
              <w:t>检查主体</w:t>
            </w:r>
          </w:p>
        </w:tc>
        <w:tc>
          <w:tcPr>
            <w:tcW w:w="4759"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60" w:lineRule="exact"/>
              <w:jc w:val="center"/>
              <w:rPr>
                <w:rFonts w:ascii="方正黑体_GBK" w:hAnsi="宋体" w:eastAsia="方正黑体_GBK" w:cs="宋体"/>
                <w:kern w:val="0"/>
                <w:sz w:val="22"/>
              </w:rPr>
            </w:pPr>
            <w:r>
              <w:rPr>
                <w:rFonts w:hint="eastAsia" w:ascii="方正黑体_GBK" w:hAnsi="宋体" w:eastAsia="方正黑体_GBK" w:cs="宋体"/>
                <w:kern w:val="0"/>
                <w:sz w:val="22"/>
              </w:rPr>
              <w:t>检查依据</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方正黑体_GBK" w:hAnsi="宋体" w:eastAsia="方正黑体_GBK" w:cs="宋体"/>
                <w:kern w:val="0"/>
                <w:sz w:val="22"/>
              </w:rPr>
            </w:pPr>
            <w:r>
              <w:rPr>
                <w:rFonts w:hint="eastAsia" w:ascii="方正黑体_GBK" w:hAnsi="宋体" w:eastAsia="方正黑体_GBK" w:cs="宋体"/>
                <w:kern w:val="0"/>
                <w:sz w:val="22"/>
              </w:rPr>
              <w:t>适用区域</w:t>
            </w:r>
          </w:p>
        </w:tc>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方正黑体_GBK" w:hAnsi="宋体" w:eastAsia="方正黑体_GBK" w:cs="宋体"/>
                <w:kern w:val="0"/>
                <w:sz w:val="22"/>
              </w:rPr>
            </w:pPr>
            <w:r>
              <w:rPr>
                <w:rFonts w:hint="eastAsia" w:ascii="方正黑体_GBK" w:hAnsi="宋体" w:eastAsia="方正黑体_GBK" w:cs="宋体"/>
                <w:kern w:val="0"/>
                <w:sz w:val="22"/>
              </w:rPr>
              <w:t>备注</w:t>
            </w:r>
          </w:p>
        </w:tc>
      </w:tr>
      <w:tr>
        <w:tblPrEx>
          <w:tblLayout w:type="fixed"/>
          <w:tblCellMar>
            <w:top w:w="0" w:type="dxa"/>
            <w:left w:w="108" w:type="dxa"/>
            <w:bottom w:w="0" w:type="dxa"/>
            <w:right w:w="108" w:type="dxa"/>
          </w:tblCellMar>
        </w:tblPrEx>
        <w:trPr>
          <w:gridAfter w:val="1"/>
          <w:wAfter w:w="56" w:type="dxa"/>
          <w:trHeight w:val="351" w:hRule="atLeast"/>
          <w:tblHeader/>
        </w:trPr>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kern w:val="0"/>
                <w:sz w:val="22"/>
              </w:rPr>
            </w:pPr>
          </w:p>
        </w:tc>
        <w:tc>
          <w:tcPr>
            <w:tcW w:w="6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kern w:val="0"/>
                <w:sz w:val="22"/>
              </w:rPr>
            </w:pPr>
          </w:p>
        </w:tc>
        <w:tc>
          <w:tcPr>
            <w:tcW w:w="1207" w:type="dxa"/>
            <w:tcBorders>
              <w:top w:val="nil"/>
              <w:left w:val="nil"/>
              <w:bottom w:val="single" w:color="auto" w:sz="4" w:space="0"/>
              <w:right w:val="single" w:color="auto" w:sz="4" w:space="0"/>
            </w:tcBorders>
            <w:vAlign w:val="center"/>
          </w:tcPr>
          <w:p>
            <w:pPr>
              <w:widowControl/>
              <w:spacing w:line="300" w:lineRule="exact"/>
              <w:jc w:val="center"/>
              <w:rPr>
                <w:rFonts w:ascii="方正黑体_GBK" w:hAnsi="宋体" w:eastAsia="方正黑体_GBK" w:cs="宋体"/>
                <w:kern w:val="0"/>
                <w:sz w:val="22"/>
              </w:rPr>
            </w:pPr>
            <w:r>
              <w:rPr>
                <w:rFonts w:hint="eastAsia" w:ascii="方正黑体_GBK" w:hAnsi="宋体" w:eastAsia="方正黑体_GBK" w:cs="宋体"/>
                <w:kern w:val="0"/>
                <w:sz w:val="22"/>
              </w:rPr>
              <w:t>抽查类别</w:t>
            </w:r>
          </w:p>
        </w:tc>
        <w:tc>
          <w:tcPr>
            <w:tcW w:w="2068" w:type="dxa"/>
            <w:tcBorders>
              <w:top w:val="nil"/>
              <w:left w:val="nil"/>
              <w:bottom w:val="single" w:color="auto" w:sz="4" w:space="0"/>
              <w:right w:val="single" w:color="auto" w:sz="4" w:space="0"/>
            </w:tcBorders>
            <w:vAlign w:val="center"/>
          </w:tcPr>
          <w:p>
            <w:pPr>
              <w:widowControl/>
              <w:jc w:val="center"/>
              <w:rPr>
                <w:rFonts w:ascii="方正黑体_GBK" w:hAnsi="宋体" w:eastAsia="方正黑体_GBK" w:cs="宋体"/>
                <w:kern w:val="0"/>
                <w:sz w:val="22"/>
              </w:rPr>
            </w:pPr>
            <w:r>
              <w:rPr>
                <w:rFonts w:hint="eastAsia" w:ascii="方正黑体_GBK" w:hAnsi="宋体" w:eastAsia="方正黑体_GBK" w:cs="宋体"/>
                <w:kern w:val="0"/>
                <w:sz w:val="22"/>
              </w:rPr>
              <w:t>抽查事项</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kern w:val="0"/>
                <w:sz w:val="22"/>
              </w:rPr>
            </w:pPr>
          </w:p>
        </w:tc>
        <w:tc>
          <w:tcPr>
            <w:tcW w:w="113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方正黑体_GBK" w:hAnsi="宋体" w:eastAsia="方正黑体_GBK" w:cs="宋体"/>
                <w:kern w:val="0"/>
                <w:sz w:val="22"/>
              </w:rPr>
            </w:pPr>
          </w:p>
        </w:tc>
        <w:tc>
          <w:tcPr>
            <w:tcW w:w="87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方正黑体_GBK" w:hAnsi="宋体" w:eastAsia="方正黑体_GBK" w:cs="宋体"/>
                <w:kern w:val="0"/>
                <w:sz w:val="22"/>
              </w:rPr>
            </w:pPr>
          </w:p>
        </w:tc>
        <w:tc>
          <w:tcPr>
            <w:tcW w:w="74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方正黑体_GBK" w:hAnsi="宋体" w:eastAsia="方正黑体_GBK" w:cs="宋体"/>
                <w:kern w:val="0"/>
                <w:sz w:val="22"/>
              </w:rPr>
            </w:pPr>
          </w:p>
        </w:tc>
        <w:tc>
          <w:tcPr>
            <w:tcW w:w="47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方正黑体_GBK" w:hAnsi="宋体" w:eastAsia="方正黑体_GBK" w:cs="宋体"/>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kern w:val="0"/>
                <w:sz w:val="22"/>
              </w:rPr>
            </w:pPr>
          </w:p>
        </w:tc>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kern w:val="0"/>
                <w:sz w:val="22"/>
              </w:rPr>
            </w:pPr>
          </w:p>
        </w:tc>
      </w:tr>
      <w:tr>
        <w:tblPrEx>
          <w:tblLayout w:type="fixed"/>
          <w:tblCellMar>
            <w:top w:w="0" w:type="dxa"/>
            <w:left w:w="108" w:type="dxa"/>
            <w:bottom w:w="0" w:type="dxa"/>
            <w:right w:w="108" w:type="dxa"/>
          </w:tblCellMar>
        </w:tblPrEx>
        <w:trPr>
          <w:gridAfter w:val="2"/>
          <w:wAfter w:w="64" w:type="dxa"/>
          <w:trHeight w:val="3302"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水利工程安全检查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对水利工程建设安全生产的行政检</w:t>
            </w:r>
            <w:bookmarkStart w:id="0" w:name="_GoBack"/>
            <w:bookmarkEnd w:id="0"/>
            <w:r>
              <w:rPr>
                <w:rFonts w:hint="eastAsia" w:cs="宋体" w:asciiTheme="minorEastAsia" w:hAnsiTheme="minorEastAsia"/>
                <w:b w:val="0"/>
                <w:bCs w:val="0"/>
                <w:kern w:val="0"/>
                <w:sz w:val="20"/>
                <w:szCs w:val="20"/>
              </w:rPr>
              <w:t>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重点检查事项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水利工程建设市场主体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《中华人民共和国安全生产法》第五十九条 县级以上地方各级人民政府应当根据本行政区域内的安全生产状况，组织有关部门按照职责分工，对本行政区域内容易发生重大生产安全事故的生产经营单位进行严格检查。</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《建设工程安全生产管理条例》第四十条 县级以上地方人民政府交通、水利等有关部门在各自的职责范围内，负责本行政区域内的专业建设工程安全生产的监督管理。</w:t>
            </w:r>
          </w:p>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《水利工程建设安全生产管理规定》第二十九条、第二十九条 省、自治区、直辖市人民政府水行政主管部门负责本行政区域内所管辖的水利工程建设安全生产的监督管理工作。</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2423"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检测资质检查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color w:val="000000" w:themeColor="text1"/>
                <w:kern w:val="0"/>
                <w:sz w:val="20"/>
                <w:szCs w:val="20"/>
                <w14:textFill>
                  <w14:solidFill>
                    <w14:schemeClr w14:val="tx1"/>
                  </w14:solidFill>
                </w14:textFill>
              </w:rPr>
              <w:t>对水利工程质量检测单位（乙级）的行政检查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color w:val="000000" w:themeColor="text1"/>
                <w:kern w:val="0"/>
                <w:sz w:val="20"/>
                <w:szCs w:val="20"/>
                <w14:textFill>
                  <w14:solidFill>
                    <w14:schemeClr w14:val="tx1"/>
                  </w14:solidFill>
                </w14:textFill>
              </w:rPr>
              <w:t>一般检查事项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color w:val="000000" w:themeColor="text1"/>
                <w:kern w:val="0"/>
                <w:sz w:val="20"/>
                <w:szCs w:val="20"/>
                <w14:textFill>
                  <w14:solidFill>
                    <w14:schemeClr w14:val="tx1"/>
                  </w14:solidFill>
                </w14:textFill>
              </w:rPr>
              <w:t>水利工程质量检测单位（乙级）</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《水利工程质量检测管理规定》第二十一条 县级以上人民政府水行政主管部门应当加强对检测单位及其质量检测活动的监督检查。</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3939"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水利工程质量检查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水利建设工程质量的法律、法规和强制性标准执行情况的行政检查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重点检查事项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水利工程建设市场主体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《建设工程质量管理条例》第四十三条 县级以上地方人民政府交通、水利等有关部门在各自的职责范围内，负责对本行政区域内的专业建设工程质量的监督管理。第四十七条县级以上地方人民政府建设行政主管部门和其他有关部门应当加强对有关建设工程质量的法律、法规和强制性标准执行情况的监督检查。</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《水利工程质量管理规定》第十条 政府对水利工程的质量实行监督的制度。水利工程按照分级管理的原则由相应水行政主管部门授权的质量监督机构实施质量监督。第十一条 各级水利工程质量监督机构，必须建立健全质量监督工作机制，完善监督手段，增强质量监督的权威性和有效性。各级水利工程质量监督机构，要加强对贯彻执行国家和水利部有关质量法规、规范情况的检查，坚决查处有法不依、执法不严、违法不究以及滥用职权的行为。</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2935"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水土保持检查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对生产建设项目水土保持方案实施情况及水土保持情况的行政检查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一般检查事项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生产建设单位</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《中华人民共和国水土保持法》第二十九条 县级以上人民政府水行政主管部门、流域管理机构，应当对生产建设项目水土保持方案的实施情况进行跟踪检查，发现问题及时处理。第四十三条县级以上人民政府水行政主管部门负责对水土保持情况进行监督检查。流域管理机构在其管辖范围内可以行使国务院水行政主管部门的监督检查职权。</w:t>
            </w:r>
          </w:p>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《云南省水土保持条例》第三十三条 县级以上人民政府水行政主管部门应当加强水土保持情况的监督检查，建立在建项目定期检查和汛前检查制度；对造成水土流失行为的举报应当及时调查、核实和处理。</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4154"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防汛检查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对防汛抗洪工作的行政检查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重点检查事项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各类市场主体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《中华人民共和国防汛条例》第十五条 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w:t>
            </w:r>
          </w:p>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《中华人民共和国防洪法》第二十八条 对于河道、湖泊管理范围内依照本法规定建设的工程设施，水行政主管部门有权依法检查；水行政主管部门检查时，被检查者应当如实提供有关的情况和资料。</w:t>
            </w:r>
          </w:p>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4154"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招投标检查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对水利工程建设项目招标投标活动的行政检查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一般检查事项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水利工程建设管理市场主体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eastAsia="宋体" w:cs="宋体" w:asciiTheme="minorEastAsia" w:hAnsiTheme="minorEastAsia"/>
                <w:b w:val="0"/>
                <w:bCs w:val="0"/>
                <w:kern w:val="0"/>
                <w:sz w:val="20"/>
                <w:szCs w:val="20"/>
              </w:rPr>
            </w:pPr>
            <w:r>
              <w:rPr>
                <w:rFonts w:hint="eastAsia" w:eastAsia="宋体" w:cs="宋体" w:asciiTheme="minorEastAsia" w:hAnsiTheme="minorEastAsia"/>
                <w:b w:val="0"/>
                <w:bCs w:val="0"/>
                <w:kern w:val="0"/>
                <w:sz w:val="20"/>
                <w:szCs w:val="20"/>
              </w:rPr>
              <w:t>《中华人民共和国招标投标法》第四十九条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 第六十一条 本章规定的行政处罚，由国务院规定的有关行政监督部门决定。本法已对实施行政处罚的机关作出规定的除外。第七条 招标投标活动及其当事人应当接受依法实施的监督。有关行政监督部门依法对招标投标活动实施监督，依法查处招标投标活动中的违法行为。 对招标投标活动的行政监督及有关部门的具体职权划分，由国务院规定。</w:t>
            </w:r>
          </w:p>
          <w:p>
            <w:pPr>
              <w:widowControl/>
              <w:spacing w:line="240" w:lineRule="exact"/>
              <w:jc w:val="left"/>
              <w:rPr>
                <w:rFonts w:hint="eastAsia" w:eastAsia="宋体" w:cs="宋体" w:asciiTheme="minorEastAsia" w:hAnsiTheme="minorEastAsia"/>
                <w:b w:val="0"/>
                <w:bCs w:val="0"/>
                <w:kern w:val="0"/>
                <w:sz w:val="20"/>
                <w:szCs w:val="20"/>
              </w:rPr>
            </w:pPr>
            <w:r>
              <w:rPr>
                <w:rFonts w:hint="eastAsia" w:eastAsia="宋体" w:cs="宋体" w:asciiTheme="minorEastAsia" w:hAnsiTheme="minorEastAsia"/>
                <w:b w:val="0"/>
                <w:bCs w:val="0"/>
                <w:kern w:val="0"/>
                <w:sz w:val="20"/>
                <w:szCs w:val="20"/>
              </w:rPr>
              <w:t>《国务院办公厅印发国务院有关部门实施招标投标活动行政监督的职责分工的意见》（国办发〔2000〕34号）三、对于招投标过程（包括招标、投标、开标、评标、中标）中泄露保密资料、泄露标底、串通招标、串通投标、歧视排斥投标等违法活动的监督执法，按现行的职责分工，分别由有关行政主管部门负责并受理投标人和其他利害关系人的投诉。按照这一原则，工业（含内贸）、水利、交通、铁道、民航、信息产业等行业和产业项目的招标投标活动的监督执法，分别由经贸、水利、交通、铁道、民航、信息产业等行政主管部门负责；各类房屋建筑及其附属设施的建造和与其配套的线路、管道、设备的安装项目和市政工程项目的招投标活动的监督执法，由建设行政主管部门负责；进口机电设备采购项目的招投标活动的监督执法，由外经贸行政主管部门负责。</w:t>
            </w:r>
          </w:p>
          <w:p>
            <w:pPr>
              <w:widowControl/>
              <w:spacing w:line="240" w:lineRule="exact"/>
              <w:jc w:val="left"/>
              <w:rPr>
                <w:rFonts w:hint="eastAsia" w:ascii="宋体" w:hAnsi="宋体" w:cs="宋体"/>
                <w:kern w:val="0"/>
                <w:szCs w:val="21"/>
              </w:rPr>
            </w:pPr>
            <w:r>
              <w:rPr>
                <w:rFonts w:hint="eastAsia" w:eastAsia="宋体" w:cs="宋体" w:asciiTheme="minorEastAsia" w:hAnsiTheme="minorEastAsia"/>
                <w:b w:val="0"/>
                <w:bCs w:val="0"/>
                <w:kern w:val="0"/>
                <w:sz w:val="20"/>
                <w:szCs w:val="20"/>
              </w:rPr>
              <w:t>《水利工程建设项目招标投标管理规定》(2001年水利部令第14号)第七条 省、自治区、直辖市人民政府水行政主管部门是本行政区域内地方水利工程建设项目招标投标活动的行政监督与管理部门，其主要职责是：（一）贯彻执行有关招标投标的法律、法规、规章和政策；（二）依照有关法律、法规和规章，制定地方水利工程建设项目招标投标的管理办法；（三）受理管理权限范围内的水利工程建设项目招标投标活动的投诉，依法查处招标投标活动中的违法违规行为；（四）对本行政区域内地方水利工程建设项目招标代理活动进行监督；（五）组建并管理省级水利工程建设项目评标专家库；（六）负责本行政区域内除第五条第六项规定以外的地方项目的招标投标活动的行政监督。</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4154"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对利用堤顶、戗台兼做公路的行政检查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一般检查事项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各类市场主体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《中华人民共和国河道管理条例》第十五条 确需利用堤顶或者戗台兼做公路的，须经县级以上地方人民政府河道主管机关批准。堤身和堤顶公路的管理和维护办法，由河道主管机关商交通部门制定。</w:t>
            </w:r>
          </w:p>
          <w:p>
            <w:pPr>
              <w:widowControl/>
              <w:spacing w:line="240" w:lineRule="exact"/>
              <w:rPr>
                <w:rFonts w:hint="eastAsia" w:ascii="宋体" w:hAnsi="宋体" w:cs="宋体"/>
                <w:kern w:val="0"/>
                <w:szCs w:val="21"/>
              </w:rPr>
            </w:pPr>
            <w:r>
              <w:rPr>
                <w:rFonts w:hint="eastAsia" w:cs="宋体" w:asciiTheme="minorEastAsia" w:hAnsiTheme="minorEastAsia"/>
                <w:b w:val="0"/>
                <w:bCs w:val="0"/>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1866"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对已审批水利基建项目初步设计文件的行政检查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一般检查事项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水利工程建设市场主体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20" w:lineRule="exac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widowControl/>
              <w:spacing w:line="220" w:lineRule="exac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《水行政许可实施办法》第四十五条 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p>
          <w:p>
            <w:pPr>
              <w:widowControl/>
              <w:spacing w:line="220" w:lineRule="exac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《国务院对确需保留的行政审批项目设定行政许可的决定》（国务院令第412号）第172项“水利基建项目初步设计文件审批”。实施机关：县级以上人民政府水行政主管部门。</w:t>
            </w:r>
          </w:p>
          <w:p>
            <w:pPr>
              <w:widowControl/>
              <w:spacing w:line="220" w:lineRule="exac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《水利工程建设程序管理暂行规定》（水建〔1998〕16号）第六条：初步设计阶段3．初步设计文件报批前，一般须由项目法人委 托有相应资格的工程咨询机构或组织行业各方面（包括管理、设计、施工、咨询等方面）的专家，对初步设计中的重大问题，进行咨询论证。设计单位根据咨询论证意见，对初步设计文件进行补充、修改、优化。初步设计由项目法人组织审查后，按国家现行规定权限向主管部门申报审批。</w:t>
            </w:r>
          </w:p>
          <w:p>
            <w:pPr>
              <w:widowControl/>
              <w:spacing w:line="220" w:lineRule="exact"/>
              <w:rPr>
                <w:rFonts w:hint="eastAsia" w:ascii="宋体" w:hAnsi="宋体" w:cs="宋体"/>
                <w:kern w:val="0"/>
                <w:szCs w:val="21"/>
              </w:rPr>
            </w:pPr>
            <w:r>
              <w:rPr>
                <w:rFonts w:hint="eastAsia" w:cs="宋体" w:asciiTheme="minorEastAsia" w:hAnsiTheme="minorEastAsia"/>
                <w:b w:val="0"/>
                <w:bCs w:val="0"/>
                <w:kern w:val="0"/>
                <w:sz w:val="20"/>
                <w:szCs w:val="20"/>
              </w:rPr>
              <w:t>《云南省人民政府关于简政放权取消和调整部分省级行政审批项目的决定》（云政发（2013）44号）附件2第97项：实施机关：水利厅，项目名称：水利基本建设项目初步设计文件审批，调整方式：部分下放，备注：除中型以上水利基建项目和国家规定必须由省级审批的项目外，其余下放。</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3712"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取用水检查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对单位取用水行为的行政检查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一般检查事项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各类市场主体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《取水许可和水资源费征收管理条例》第四十五条 县级以上人民政府水行政主管部门或者流域管理机构在进行监督检查时，有权采取下列措施:</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    (一)要求被检查单位或者个人提供有关文件、证照、资料；</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    (二)要求被检查单位或者个人就执行本条例的有关问题作出说明；</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    (三)进入被检查单位或者个人的生产场所进行调查；</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    (四)责令被检查单位或者个人停止违反本条例的行为，履行法定义务。</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    监督检查人员在进行监督检查时，应当出示合法有效的行政执法证件。有关单位和个人对监督检查工作应当给予配合，不得拒绝或者阻碍监督检查人员依法执行公务。</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4540"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涉河活动检查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对河道管理范围内有关活动（不含河道采砂）的行政检查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一般检查事项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各类市场主体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《中华人民共和国河道管理条例》第四条 国务院水利行政主管部门是全国河道的主管机关。各省、自治区、直辖市的水利行政主管部门是该行政区域的河道主管机关。</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《中华人民共和国河道管理条例》第八条 各级人民政府河道主管机关以及河道监理人员，必须按照国家法律、法规，加强河道管理，执行供水计划和防洪调度命令，维护水工程和人民生命财产安全。</w:t>
            </w:r>
          </w:p>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2422"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对坝顶兼做公路的行政检查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一般检查事项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各类市场主体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《水库大坝安全管理条例》第十六条 大坝坝顶确需兼做公路的，须经科学论证和大坝主管部门批准，并采取相应的安全维护措施。</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2851"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对占用农业灌溉水源、灌排工程设施的行政检查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一般检查事项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各类市场主体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《农田水利条例》第二十六条 县级以上人民政府水行政主管部门应当加强对农田灌溉排水的监督和指导，做好技术服务。</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4154"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对在大坝管理和保护范围内修建码头、渔塘的行政检查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一般检查事项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各类市场主体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《中华人民共和国防洪法》第三十六条 各级人民政府应当组织有关部门加强对水库大坝的定期检查和监督管理。</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《水库大坝安全管理条例》第三条 国务院水行政主管部门会同国务院有关主管部门对全国的大坝安全实施监督。县级以上地方人民政府水行政主管部门会同有关主管部门对本行政区域内的大坝安全实施监督。</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    各级水利、能源、建设、交通、农业等有关部门，是其所管辖的大坝的主管部门。</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《水库大坝安全管理条例》第十七条 禁止在坝体修建码头、渠道、堆放杂物、晾晒粮草。在大坝管理和保护范围内修建码头、鱼塘的，须经大坝主管部门批准，并与坝脚和泄水、输水建筑物保持一定距离，不得影响大坝安全、工程管理和抢险工作。</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2920"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河道采砂检查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对河道采砂的行政检查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一般检查事项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河道采砂市场主体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州、县级水利部门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《中华人民共和国河道管理条例》第四条 国务院水利行政主管部门是全国河道的主管机关。各省、自治区、直辖市的水利行政主管部门是该行政区域的河道主管机关。</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《中华人民共和国河道管理条例》第八条 各级人民政府河道主管机关以及河道监理人员，必须按照国家法律、法规，加强河道管理，执行供水计划和防洪调度命令，维护水工程和人民生命财产安全。</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4154"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对水工程运行和水工程安全活动的行政检查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重点检查事项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水利工程管理单位</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kern w:val="0"/>
                <w:szCs w:val="21"/>
              </w:rPr>
            </w:pPr>
            <w:r>
              <w:rPr>
                <w:rFonts w:hint="eastAsia" w:eastAsia="宋体" w:cs="宋体" w:asciiTheme="minorEastAsia" w:hAnsiTheme="minorEastAsia"/>
                <w:b w:val="0"/>
                <w:bCs w:val="0"/>
                <w:kern w:val="0"/>
                <w:sz w:val="20"/>
                <w:szCs w:val="20"/>
              </w:rPr>
              <w:t xml:space="preserve">《中华人民共和国水法》第四十一条 单位和个人有保护水工程的义务，不得侵占、毁坏堤防、护岸、防汛、水文监测、水文地质监测等工程设施。”第四十三条：“国家对水工程实施保护。国家所有的水工程应当按照国务院的规定划定工程管理和保护范围。国务院水行政主管部门或者流域管理机构管理的水工程，由主管部门或者流域管理机构商有关省、自治区、直辖市人民政府划定工程管理和保护范围。前款规定以外的其他水工程，应当按照省、自治区、直辖市人民政府的规定，划定工程保护范围和保护职责。在水工程保护范围内，禁止从事影响水工程运行和危害水工程安全的爆破、打井、采石、取土等活动。 </w:t>
            </w:r>
            <w:r>
              <w:rPr>
                <w:rFonts w:hint="eastAsia" w:eastAsia="宋体" w:cs="宋体" w:asciiTheme="minorEastAsia" w:hAnsiTheme="minorEastAsia"/>
                <w:b w:val="0"/>
                <w:bCs w:val="0"/>
                <w:kern w:val="0"/>
                <w:sz w:val="20"/>
                <w:szCs w:val="20"/>
              </w:rPr>
              <w:br w:type="textWrapping"/>
            </w:r>
            <w:r>
              <w:rPr>
                <w:rFonts w:hint="eastAsia" w:eastAsia="宋体" w:cs="宋体" w:asciiTheme="minorEastAsia" w:hAnsiTheme="minorEastAsia"/>
                <w:b w:val="0"/>
                <w:bCs w:val="0"/>
                <w:kern w:val="0"/>
                <w:sz w:val="20"/>
                <w:szCs w:val="20"/>
              </w:rPr>
              <w:t xml:space="preserve">《中华人民共和国防洪法》第三十五条 属于国家所有的防洪工程设施，应当按照经批准的设计，在竣工验收前由县级以上人民政府按照国家规定，划定管理和保护范围。属于集体所有的防洪工程设施，应当按照省、自治区、直辖市人民政府的规定，划定保护范围。在防洪工程设施保护范围内，禁止进行爆破、打井、采石、取土等危害防洪工程设施安全的活动。”第三十七条：“任何单位和个人不得破坏、侵占、毁损水库大坝、堤防、水闸、护岸、抽水站、排水渠系等防洪工程和水文、通信设施以及防汛备用的器材、物料等。 </w:t>
            </w:r>
            <w:r>
              <w:rPr>
                <w:rFonts w:hint="eastAsia" w:eastAsia="宋体" w:cs="宋体" w:asciiTheme="minorEastAsia" w:hAnsiTheme="minorEastAsia"/>
                <w:b w:val="0"/>
                <w:bCs w:val="0"/>
                <w:kern w:val="0"/>
                <w:sz w:val="20"/>
                <w:szCs w:val="20"/>
              </w:rPr>
              <w:br w:type="textWrapping"/>
            </w:r>
            <w:r>
              <w:rPr>
                <w:rFonts w:hint="eastAsia" w:eastAsia="宋体" w:cs="宋体" w:asciiTheme="minorEastAsia" w:hAnsiTheme="minorEastAsia"/>
                <w:b w:val="0"/>
                <w:bCs w:val="0"/>
                <w:kern w:val="0"/>
                <w:sz w:val="20"/>
                <w:szCs w:val="20"/>
              </w:rPr>
              <w:t xml:space="preserve">《水库大坝安全管理条例》第十二条：“大坝及其设施受国家保护，任何单位和个人不得侵占、毁坏。大坝管理单位应当加强大坝的安全保卫工作。”第十三条：“禁止在大坝管理和保护范围内进行爆破、打井、采石、采矿、挖沙、取土、修坟等危害大坝安全的活动。第十四条 非大坝管理人员不得操作大坝的泄洪闸门、输水闸门以及其他设施，大坝管理人员操作时应当遵守有关的规章制度。禁止任何单位和个人干扰大坝的正常管理工作。 第十七条 禁止在坝体修建码头、渠道、堆放杂物、晾晒粮草。在大坝管理和保护范围内修建码头、鱼塘的，须经大坝主管部门批准，并与坝脚和泄水、输水建筑物保持一定距离，不得影响大坝安全、工程管理和抢险工作。 </w:t>
            </w:r>
            <w:r>
              <w:rPr>
                <w:rFonts w:hint="eastAsia" w:eastAsia="宋体" w:cs="宋体" w:asciiTheme="minorEastAsia" w:hAnsiTheme="minorEastAsia"/>
                <w:b w:val="0"/>
                <w:bCs w:val="0"/>
                <w:kern w:val="0"/>
                <w:sz w:val="20"/>
                <w:szCs w:val="20"/>
              </w:rPr>
              <w:br w:type="textWrapping"/>
            </w:r>
            <w:r>
              <w:rPr>
                <w:rFonts w:hint="eastAsia" w:eastAsia="宋体" w:cs="宋体" w:asciiTheme="minorEastAsia" w:hAnsiTheme="minorEastAsia"/>
                <w:b w:val="0"/>
                <w:bCs w:val="0"/>
                <w:kern w:val="0"/>
                <w:sz w:val="20"/>
                <w:szCs w:val="20"/>
              </w:rPr>
              <w:t xml:space="preserve">《中华人民共和国河道管理条例》第二十二条  禁止损毁堤防、护岸、闸坝等水工程建筑物和防汛设施、水文监测和测量设施、河岸地质监测设施以及通信照明等设施。”第二十三条：“禁止非管理人员操作河道上的涵闸闸门，禁止任何组织和个人干扰河道管理单位的正常工作。”第二十四条：“在堤防和护堤地，禁止建房、放牧、开渠、打井、挖窖、葬坟、晒粮、存放物料、开采地下资源、进行考古发掘以及开展集市贸易活动。”第二十六条：“根据堤防的重要程度、堤基土质条件等，河道主管机关报经县级以上人民政府批准，可以在河道管理范围的相连地域划定堤防安全保护区。在堤防安全保护区内，禁止进行打井、钻探、爆破、挖筑鱼塘、采石、取土等危害堤防安全的活动。 </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1444"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洪水影响评价检查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对编制洪水影响评价报告非防洪建设项目的行政检查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重点检查事项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各类市场主体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《中华人民共和国行政许可法》第六十三条 行政机关实施监督检查，不得妨碍被许可人正常的生产经营活动，不得索取或者收受被许可人的财物，不得谋取其他利益。</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水行政许可实施办法》第四十五条:“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《水利部关于加强非防洪建设项目洪水影响评价工作的通知》（水汛[2017]359号）：“六 强化洪水影响评价监督管理  各级水行政主管部门要加强洪水影响评价报告审批后项目建设监督管理，开展针对性跟踪检查，监督防洪安全措施执行到位。</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4154"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对水利工程采用没有国家技术标准新技术、新材料的行政检查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一般检查事项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水利工程建设市场主体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《建设工程勘察设计管理条例》第二十九条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《建设工程勘察设计管理条例》第五条第一款 县级以上人民政府建设行政主管部门和交通、水利等有关部门应当依照本条例的规定，加强对建设工程勘察、设计活动的监督管理。</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r>
        <w:tblPrEx>
          <w:tblLayout w:type="fixed"/>
          <w:tblCellMar>
            <w:top w:w="0" w:type="dxa"/>
            <w:left w:w="108" w:type="dxa"/>
            <w:bottom w:w="0" w:type="dxa"/>
            <w:right w:w="108" w:type="dxa"/>
          </w:tblCellMar>
        </w:tblPrEx>
        <w:trPr>
          <w:gridAfter w:val="2"/>
          <w:wAfter w:w="64" w:type="dxa"/>
          <w:trHeight w:val="4067" w:hRule="atLeast"/>
        </w:trPr>
        <w:tc>
          <w:tcPr>
            <w:tcW w:w="747"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ascii="宋体" w:eastAsia="宋体" w:cs="宋体"/>
                <w:color w:val="000000"/>
                <w:sz w:val="20"/>
                <w:szCs w:val="20"/>
                <w:lang w:val="en-US" w:eastAsia="zh-CN"/>
              </w:rPr>
            </w:pP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cs="宋体" w:asciiTheme="minorEastAsia" w:hAnsiTheme="minorEastAsia"/>
                <w:b w:val="0"/>
                <w:bCs w:val="0"/>
                <w:kern w:val="0"/>
                <w:sz w:val="20"/>
                <w:szCs w:val="20"/>
                <w:lang w:eastAsia="zh-CN"/>
              </w:rPr>
              <w:t>县水利局（1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涉河项目检查</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对河道管理范围内建设项目的行政检查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一般检查事项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各类市场主体</w:t>
            </w:r>
          </w:p>
        </w:tc>
        <w:tc>
          <w:tcPr>
            <w:tcW w:w="8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实地核查、书面检查</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县级以上水利部门</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rPr>
            </w:pPr>
            <w:r>
              <w:rPr>
                <w:rFonts w:hint="eastAsia" w:cs="宋体" w:asciiTheme="minorEastAsia" w:hAnsiTheme="minorEastAsia"/>
                <w:b w:val="0"/>
                <w:bCs w:val="0"/>
                <w:kern w:val="0"/>
                <w:sz w:val="20"/>
                <w:szCs w:val="20"/>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《河道管理范围内建设项目管理的有关规定》第十二条 河道管理范围内的建筑物和设施竣工后，应经河道主管机关检验合格后方可启用。建设单位应在竣工验收六个月内向河道主管机关报送有关竣工资料。 </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《河道管理范围内建设项目管理的有关规定》第十三条 河道主管机关应定期对河道管理范围内的建筑物和设施进行检查，凡不符合工程安全要求的，应提出限期改建的要求，有关单位和个人应当服从河道主管机关的安全管理。 </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b w:val="0"/>
                <w:bCs w:val="0"/>
                <w:kern w:val="0"/>
                <w:sz w:val="20"/>
                <w:szCs w:val="20"/>
              </w:rPr>
              <w:t>普遍适用</w:t>
            </w:r>
          </w:p>
        </w:tc>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2E4AA"/>
    <w:multiLevelType w:val="singleLevel"/>
    <w:tmpl w:val="45B2E4AA"/>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81715"/>
    <w:rsid w:val="5458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2021-08-20T11:53:00Z</dcterms:created>
  <dc:creator>Administrator</dc:creator>
  <cp:lastModifiedBy>Administrator</cp:lastModifiedBy>
  <dcterms:modified xsi:type="dcterms:W3CDTF">2021-08-20T11:56:37Z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