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441"/>
        <w:gridCol w:w="2275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ind w:right="420" w:right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ind w:right="420" w:rightChars="20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ind w:right="420" w:rightChars="20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易门县2022年贯彻落实减税降费工作重点任务清单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（一）夯实组织保障，完善工作体制机制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-US" w:eastAsia="zh-CN"/>
              </w:rPr>
              <w:t>调整减税降费工作领导小组。根据近年来易门县减税降费工作面临的新问题新情况新要求，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eastAsia="zh-CN"/>
              </w:rPr>
              <w:t>参照市级减税降费工作领导小组范围及办公室设置，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按程序报请县减税降费领导小组同意，决定对县减税降费领导小组及其办公室进行调整，调整后的减税降费领导小组名单见附件2。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县减税降费工作领导小组办公室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成立工作临时专班。为做好全年减税降费工作，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从县财政局、县人力资源社会保障局、县税务局抽调人员组成临时专班集中办公（其中县财政2人，县人力资源社会保障局1人，县税务局1人）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-US" w:eastAsia="zh-CN"/>
              </w:rPr>
              <w:t>，开展政策梳理、调查研究、效应分析、督促指导、宣传解读等工作。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县财政局、县税务局、县人力资源社会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召开县减税降费工作领导小组办公室会议，做好2022年减税降费研究部署和总结上报工作。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县减税降费工作领导小组办公室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2022年上半年、下半年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4"/>
                <w:szCs w:val="24"/>
                <w:u w:val="none"/>
                <w:lang w:val="en-US" w:eastAsia="zh-CN"/>
              </w:rPr>
              <w:t>发挥好县减税降费工作领导小组办公室统筹协调和督促指导作用，推动成员单位在职责范围内，加大对减税降费工作的督查督办力度，健全完善落实反馈和督查通报机制，定期报送工作情况。对政策落实不力、资金下达不及时、使用不规范等问题，及时督促纠正；对偷税、骗税、骗补等行为，督促相关部门坚决打击。在年度计划内审计项目中，重点关注减税降费政策贯彻落实情况，切实履行好审计监督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4"/>
                <w:szCs w:val="24"/>
                <w:u w:val="none"/>
                <w:lang w:val="en-US" w:eastAsia="zh-CN"/>
              </w:rPr>
              <w:t>县减税降费工作领导小组办公室，县政府督查室，县财政局、县税务局、市审计局等相关成员单位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exact"/>
        <w:jc w:val="center"/>
        <w:textAlignment w:val="center"/>
        <w:rPr>
          <w:rFonts w:hint="default" w:ascii="Times New Roman" w:hAnsi="Times New Roman" w:eastAsia="方正仿宋_GBK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87" w:right="2041" w:bottom="1474" w:left="1304" w:header="136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formProt w:val="0"/>
          <w:docGrid w:type="lines" w:linePitch="573" w:charSpace="0"/>
        </w:sectPr>
      </w:pPr>
    </w:p>
    <w:tbl>
      <w:tblPr>
        <w:tblStyle w:val="9"/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425"/>
        <w:gridCol w:w="2291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（二）严格落实政策，赋能经济社会发展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折不扣执行国家和省、市出台的各项减税降费政策，坚持落实落细，强化对中小微企业、个体工商户以及制造业、文旅服务业等重点行业的支持力度，通过落实支持科技创新、增值税留抵退税等政策推动市场主体纾困发展、技术革新、扩大投资、稳定预期。延续实施2021年底到期的相关政策，贯彻落实2022年新出台的相关政策，按照时间节点扎实开展工作，做到该减的减、该降的降、该免的免、该退的退、该缓的缓，确保政令畅通，切实完成既定工作目标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（三）精准施策发力，增强宣传培训实效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不同的受众群体，增强培训的深入性、互动性、多元性，坚持线上线下联动，坚持模式创新和技术创新并举，精准定位明靶向，精准实施强管理，精准指导重实效，进一步提高减税降费政策的精准度、参与度、知晓度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公布各项减税降费政策，快速开展政策宣传解读。解放思想，转变思路，拓展宣传工作的新途径、新局面，选择有代表性的具体案例，用事实和数字说话、用企业和群众切身感受说话，讲好减税降费精彩故事，分享改革成效，传递发展信心，生动体现纳税人、缴费人的获得感和幸福感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exact"/>
        <w:jc w:val="center"/>
        <w:textAlignment w:val="center"/>
        <w:rPr>
          <w:rFonts w:hint="default" w:ascii="Times New Roman" w:hAnsi="Times New Roman" w:eastAsia="方正仿宋_GBK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4" w:type="default"/>
          <w:footerReference r:id="rId5" w:type="even"/>
          <w:pgSz w:w="16838" w:h="11906" w:orient="landscape"/>
          <w:pgMar w:top="1587" w:right="2041" w:bottom="991" w:left="1304" w:header="136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formProt w:val="0"/>
          <w:docGrid w:type="lines" w:linePitch="573" w:charSpace="0"/>
        </w:sectPr>
      </w:pPr>
    </w:p>
    <w:tbl>
      <w:tblPr>
        <w:tblStyle w:val="9"/>
        <w:tblpPr w:leftFromText="180" w:rightFromText="180" w:vertAnchor="text" w:horzAnchor="page" w:tblpX="1326" w:tblpY="72"/>
        <w:tblOverlap w:val="never"/>
        <w:tblW w:w="14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445"/>
        <w:gridCol w:w="2677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（四）优化业务流程，持续提供便捷服务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聚焦纳税人、缴费人所需所盼，坚持“我为群众办实事”，通过推行“网上办理”、开辟“绿色通道”、合并申报报表、简化办事流程等多种方式，主动研究完善税费优惠政策直达快享机制，优化征管便利措施，提升征管服务质量，对每项政策公布责任部门、联系电话、办理流程等清单，让企业知道怎么办、找谁办、在哪办，提升市场主体和人民群众的服务体验。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县税务局等相关成员单位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（五）深入调查研究，强化政策跟踪问效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到基层、下一线，结合工作实际，灵活采用与企业一对一交流、与行业主管部门座谈等形式，深入了解减税降费政策实施情况，收集整理市场主体对于优化政策服务方面的意见和建议，及时发现工作推进过程中存在的困难和问题，研提相关措施建议。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（六）加强清理规范，巩固扩大整改成果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实加大各类涉企违规收费整治力度，持续开展涉企违规收费专项整治行动，进一步清理规范行业协会商会、中介机构等收费，建立协同治理和联合惩戒机制，做到即知即改、立行立改、全面整改，实现问题“动态清零”，防止减税降费政策红利弱化。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县发展改革局、县工业商贸和科技信息局、县财政局、县市场监管局、县民政局等相关成员单位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</w:tbl>
    <w:tbl>
      <w:tblPr>
        <w:tblStyle w:val="9"/>
        <w:tblpPr w:leftFromText="180" w:rightFromText="180" w:vertAnchor="text" w:horzAnchor="page" w:tblpX="1371" w:tblpY="-18"/>
        <w:tblOverlap w:val="never"/>
        <w:tblW w:w="14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341"/>
        <w:gridCol w:w="2268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（七）依法组织收入，提升税费征管质量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依法组织收入，做好统计核算分析，坚决杜绝征收“过头税费”和“虚收空转”等违规问题发生。对财经纪律始终保持敬畏，严格执行各项财经法规和管理制度，一切按照制度和规矩办事，坚决维护财经纪律和预算制度的严肃性，对违反财经纪律的行为敢抓敢管，让财经纪律成为不可触碰的“高压线”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县财政局、县税务局等相关成员单位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税费征管质量，有效堵塞征管漏洞，确保应收尽收。依法打击偷税、骗税、骗补行为，严禁执收单位擅自减收、免收、缓收非税收入，坚决不让不法企业、个人、组织从中牟利、扰乱宏观政策实施、损害国家利益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县税务局等相关成员单位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八）统筹收支平衡，守牢风险防范底线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遵循先有预算、后有支出的原则，严禁超预算或无预算支出。合理安排预算资金投向和支出进度，进一步强化预算收支管理，支持减税降费政策落实。政府要当“铁公鸡”、过紧日子，不该花的钱一分钱也不能花，该给市场主体的钱一分都不能少。进一步开源节流、精打细算，结合节约型机关建设，压减非急需非刚性支出，优化支出结构，强化“三公”经费预算管理，严格落实“十四五”期间一律停止新建楼堂馆所的规定，决不搞政绩工程、形象工程，把钱腾出来、省下来用于支持民生和市场主体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落实积极的财政政策提升效能的要求，更加注重精准、可持续，充分考虑减税降费因素和易门县实际情况，增强县级财力保障，兜牢兜实“三保”底线。测算减税降费政策对地方财力影响，科学合理测算财政收支预算，保证财政支出强度，统筹做好全年财政收支平衡工作，保持经济运行在合理区间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县财政局等相关成员单位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（九）加强信息共享，凝聚协同联动合力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推动跨部门数据共享、政策协同、工作联动和预测研判、智慧决策等深度融合。各成员单位每季度结束后5日内将减税降费政策执行情况、工作成效、存在的困难和问题、意见建议及先进经验、典型案例等报送至县减税降费工作领导小组办公室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各成员单位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</w:tbl>
    <w:p>
      <w:pPr>
        <w:spacing w:line="520" w:lineRule="exact"/>
        <w:ind w:firstLine="210" w:firstLineChars="100"/>
        <w:rPr>
          <w:rFonts w:hint="default"/>
        </w:rPr>
      </w:pPr>
    </w:p>
    <w:sectPr>
      <w:pgSz w:w="16838" w:h="11906" w:orient="landscape"/>
      <w:pgMar w:top="1417" w:right="2041" w:bottom="113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GZhZjk4MDI2ZDA5OWYyMmJiMTM3YzBkNTAyYzAifQ=="/>
  </w:docVars>
  <w:rsids>
    <w:rsidRoot w:val="701D07BC"/>
    <w:rsid w:val="01062EEC"/>
    <w:rsid w:val="04B23301"/>
    <w:rsid w:val="0631003B"/>
    <w:rsid w:val="06C97604"/>
    <w:rsid w:val="0A5952D3"/>
    <w:rsid w:val="0BB95DF7"/>
    <w:rsid w:val="10C60BFB"/>
    <w:rsid w:val="16B406E6"/>
    <w:rsid w:val="22235548"/>
    <w:rsid w:val="298F3A45"/>
    <w:rsid w:val="359F7284"/>
    <w:rsid w:val="371D1484"/>
    <w:rsid w:val="374D6F19"/>
    <w:rsid w:val="3B296AA6"/>
    <w:rsid w:val="40A84B5E"/>
    <w:rsid w:val="41D13F2D"/>
    <w:rsid w:val="42524242"/>
    <w:rsid w:val="4A4E24AA"/>
    <w:rsid w:val="4C995F8F"/>
    <w:rsid w:val="4F9713CF"/>
    <w:rsid w:val="53620E89"/>
    <w:rsid w:val="701D07BC"/>
    <w:rsid w:val="713C7B18"/>
    <w:rsid w:val="71FC58A2"/>
    <w:rsid w:val="75203C67"/>
    <w:rsid w:val="79956BF7"/>
    <w:rsid w:val="7DA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 w:line="240" w:lineRule="auto"/>
      <w:jc w:val="left"/>
      <w:outlineLvl w:val="1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left="420" w:leftChars="200" w:firstLine="420" w:firstLineChars="200"/>
    </w:pPr>
    <w:rPr>
      <w:rFonts w:ascii="Calibri" w:hAnsi="Calibri" w:eastAsia="宋体" w:cs="Times New Roman"/>
      <w:kern w:val="0"/>
      <w:sz w:val="28"/>
      <w:szCs w:val="28"/>
    </w:rPr>
  </w:style>
  <w:style w:type="paragraph" w:styleId="4">
    <w:name w:val="Body Text Indent"/>
    <w:basedOn w:val="1"/>
    <w:next w:val="5"/>
    <w:unhideWhenUsed/>
    <w:qFormat/>
    <w:uiPriority w:val="99"/>
    <w:pPr>
      <w:spacing w:after="120" w:line="240" w:lineRule="auto"/>
      <w:ind w:left="420" w:leftChars="200"/>
    </w:pPr>
    <w:rPr>
      <w:rFonts w:eastAsia="宋体"/>
      <w:szCs w:val="24"/>
    </w:r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6959</Words>
  <Characters>7026</Characters>
  <Lines>0</Lines>
  <Paragraphs>0</Paragraphs>
  <TotalTime>17</TotalTime>
  <ScaleCrop>false</ScaleCrop>
  <LinksUpToDate>false</LinksUpToDate>
  <CharactersWithSpaces>7088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2022-06-14T02:36:00Z</dcterms:created>
  <dc:creator>Administrator</dc:creator>
  <cp:lastModifiedBy>C.Zhang</cp:lastModifiedBy>
  <cp:lastPrinted>2022-08-10T08:27:00Z</cp:lastPrinted>
  <dcterms:modified xsi:type="dcterms:W3CDTF">2022-12-05T08:18:13Z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501AB4FE8FDF449D876E3E15E2CF3331</vt:lpwstr>
  </property>
</Properties>
</file>