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易门县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应急物资协调共用制度（试行 ）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探索建立“全灾种、大应急”新形势下常态储备归口管理、应急指挥统一调度的应急物资协调共用机制，明确紧急状态下各类应急物资的调拨使用流程，提高应急物资调配效率和资源统筹利用水平，切实保障各类突发自然灾害和生产安全事故高效有序处置。按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易门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政府有关要求，结合我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各类应急物资储备管理责任分设于各职能部门的实际，特制定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易门县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应急物资协调共用制度（试行）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，现解读如下：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一、调拨使用范围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本制度所称应急物资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的定义、种类、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日常储备和维护管理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职责归属和调拨使用的前提进行了明确规定。是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政府和所属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部门紧急情况下为应对和处置自然灾害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安全生产类突发事件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，调拨使用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各职能部门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和有关单位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的应急物资而做出的规定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二、调拨使用条件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3655060</wp:posOffset>
                </wp:positionH>
                <wp:positionV relativeFrom="paragraph">
                  <wp:posOffset>1132205</wp:posOffset>
                </wp:positionV>
                <wp:extent cx="116205" cy="149860"/>
                <wp:effectExtent l="0" t="0" r="0" b="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68" w:lineRule="auto"/>
                              <w:ind w:left="20" w:right="0" w:firstLine="0"/>
                              <w:jc w:val="left"/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A2A2A"/>
                                <w:spacing w:val="-43"/>
                                <w:sz w:val="11"/>
                                <w:szCs w:val="11"/>
                              </w:rPr>
                              <w:t>匀</w:t>
                            </w:r>
                            <w:r>
                              <w:rPr>
                                <w:rFonts w:ascii="宋体" w:hAnsi="宋体" w:eastAsia="宋体" w:cs="宋体"/>
                                <w:color w:val="2A2A2A"/>
                                <w:spacing w:val="-93"/>
                                <w:sz w:val="11"/>
                                <w:szCs w:val="11"/>
                              </w:rPr>
                              <w:t>“</w:t>
                            </w:r>
                            <w:r>
                              <w:rPr>
                                <w:rFonts w:ascii="宋体" w:hAnsi="宋体" w:eastAsia="宋体" w:cs="宋体"/>
                                <w:color w:val="2A2A2A"/>
                                <w:position w:val="-2"/>
                                <w:sz w:val="11"/>
                                <w:szCs w:val="11"/>
                              </w:rPr>
                              <w:t>，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87.8pt;margin-top:89.15pt;height:11.8pt;width:9.15pt;mso-position-horizontal-relative:page;z-index:251659264;mso-width-relative:page;mso-height-relative:page;" filled="f" stroked="f" coordsize="21600,21600" o:gfxdata="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ncFsXYAAAACwEAAA8AAAAAAAAAAQAgAAAAIgAAAGRycy9kb3ducmV2&#10;LnhtbFBLAQIUABQAAAAIAIdO4kCdYS5VwwEAAH8DAAAOAAAAAAAAAAEAIAAAACc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0" w:line="168" w:lineRule="auto"/>
                        <w:ind w:left="20" w:right="0" w:firstLine="0"/>
                        <w:jc w:val="left"/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color w:val="2A2A2A"/>
                          <w:spacing w:val="-43"/>
                          <w:sz w:val="11"/>
                          <w:szCs w:val="11"/>
                        </w:rPr>
                        <w:t>匀</w:t>
                      </w:r>
                      <w:r>
                        <w:rPr>
                          <w:rFonts w:ascii="宋体" w:hAnsi="宋体" w:eastAsia="宋体" w:cs="宋体"/>
                          <w:color w:val="2A2A2A"/>
                          <w:spacing w:val="-93"/>
                          <w:sz w:val="11"/>
                          <w:szCs w:val="11"/>
                        </w:rPr>
                        <w:t>“</w:t>
                      </w:r>
                      <w:r>
                        <w:rPr>
                          <w:rFonts w:ascii="宋体" w:hAnsi="宋体" w:eastAsia="宋体" w:cs="宋体"/>
                          <w:color w:val="2A2A2A"/>
                          <w:position w:val="-2"/>
                          <w:sz w:val="11"/>
                          <w:szCs w:val="11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应急物资调拨使用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的原则和条件进行了明确规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定。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即：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级、先政府储备后社会筹集的原则组织实施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。明确了以下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调拨使用应急物资：达到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级启动各相关专项预案应急响应的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；乡级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启动各相关专项预案应急响应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但当地物资储备不足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未达到响应条件，但经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级应急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救援救灾工作组现场了解情况后，认定确有必要调拨应急物资予以支援的；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政府决定调用应急物资的其他情形。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8" w:leftChars="290" w:right="0" w:firstLine="0" w:firstLine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三、调拨使用程序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达到调拨应急物资使用条件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的申请、审批、调拨和配送、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回收和返还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费用保障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6个环节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进行了明确规定。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按照“统一调拨、协调联动、就近便利、快速调用”的原则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和有关规定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及时做好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应急物资调拨使用各项工作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（一）申请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明确了申请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调拨使用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应急物资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2种情形、申请程序和申请内容。即：县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级启动应急响应的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由各应急处置专项指挥部下设的物资保障工作组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向对口的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专项指挥部提出应急物资使用申请。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级未启动应急响应的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级人民政府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街道办事处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或有关议事协调机构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级有关议事协调机构办公室提出应急物资使用申请。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申请内容主要包括：突发事件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造成损失基本情况，需救援救助人员数量，需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级调拨支援的应急物资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（二）审批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明确了审批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2种情形和审批权限。即：县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级启动应急响应的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经相关应急处置专项指挥部指挥长或受委托的副指挥长审批同意。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级未启动应急响应的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有关议事协调机构办公室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了解核实相关情况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对口的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议事协调机构主任（指挥长）或受委托的副主任 （副指挥长）审批。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（三）调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拨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应急物资调用函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应急物资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调拨和配送的规定。即：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各单位接到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有关议事协调机构办公室或相关应急处置专项指挥部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应急物资调用函后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负责组织实施应急物资的紧急调用和配送工作，并按时限要求送达目的地交予接收使用方。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（四）接收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应急物资申请使用单位接收应急物资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的规定。即；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及时清点、验收并做好交接手续，数量或质量存在问题的，及时向调出单位协调处理并向发函机构进行情况反馈。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（五）回收和返还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应急物资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使用的原则和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应急处置救援救助等任务结束后应急物资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回收和返还的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规定。即：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按照谁使用、谁负责的原则，由应急物资调出单位指导接收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单位组织救援设备、装备等重复使用类物资的清理、回收并返还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不能重复使用或使用过程中损毁灭失的物资，由接收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单位出具书面情况说明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反馈物资调出单位，并协助办理固定资产核销手续。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（六）费用保障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调拨使用物资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所产生费用的支付责任。即：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调拨使用物资所产生的装卸费、运输费、维修维护费、清理回收费，以及调用社会组织物资的补偿费用，由接收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单位负责支付。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四、保障措施和要求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强化协调联动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、及时更新信息、加强运输保障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3项措施和要求。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强化协调联动。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要求建立健全和落实责任主体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既要各司其职、各负其责，又要加强协调联动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合力做好应急物资协调共用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的机制，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确保突发事件应对处置工作及时、高效、规范、有序开展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）及时更新信息。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两级应急物资储备单位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建立健全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情况明、底数清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各类物资出入库台账，同时加强应急物资日常管理维护，确保紧急情况下调得出、能使用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，并加强与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减灾委办公室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的信息共享。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（三）加强运输保障。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两级应急物资储备单位与物流公司、运输企业等单位签订应急物资紧急调拨运输保障协议，确保应急物资调拨配送及时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效。</w:t>
      </w:r>
    </w:p>
    <w:p>
      <w:pPr>
        <w:pStyle w:val="2"/>
        <w:widowControl w:val="0"/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仿宋_GB2312" w:cs="Times New Roman"/>
          <w:lang w:val="en-US" w:eastAsia="zh-CN"/>
        </w:rPr>
      </w:pPr>
    </w:p>
    <w:sectPr>
      <w:footerReference r:id="rId5" w:type="default"/>
      <w:pgSz w:w="11900" w:h="16820"/>
      <w:pgMar w:top="2041" w:right="1474" w:bottom="1304" w:left="1587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1ufMgBAACZ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Atbn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mJiNGE2MTFhODdiOWFlYTE3OGRiYTZkNDY1Y2QifQ=="/>
  </w:docVars>
  <w:rsids>
    <w:rsidRoot w:val="00000000"/>
    <w:rsid w:val="00065BF2"/>
    <w:rsid w:val="000F5645"/>
    <w:rsid w:val="006E4A62"/>
    <w:rsid w:val="00F207F9"/>
    <w:rsid w:val="00F72CA9"/>
    <w:rsid w:val="015E4419"/>
    <w:rsid w:val="028422ED"/>
    <w:rsid w:val="03B723C8"/>
    <w:rsid w:val="04BE2226"/>
    <w:rsid w:val="04E27DD3"/>
    <w:rsid w:val="0706383C"/>
    <w:rsid w:val="07414C7E"/>
    <w:rsid w:val="0B2D49F8"/>
    <w:rsid w:val="0C252478"/>
    <w:rsid w:val="0CB47CA0"/>
    <w:rsid w:val="0D350DE1"/>
    <w:rsid w:val="0D4728C2"/>
    <w:rsid w:val="0DB77A48"/>
    <w:rsid w:val="0E81372E"/>
    <w:rsid w:val="0F4C2412"/>
    <w:rsid w:val="10C85AC8"/>
    <w:rsid w:val="121216F1"/>
    <w:rsid w:val="132472F3"/>
    <w:rsid w:val="13A22600"/>
    <w:rsid w:val="14847F58"/>
    <w:rsid w:val="14DB04C0"/>
    <w:rsid w:val="14F0383F"/>
    <w:rsid w:val="15B30AF5"/>
    <w:rsid w:val="16433053"/>
    <w:rsid w:val="1699418F"/>
    <w:rsid w:val="16F97D93"/>
    <w:rsid w:val="175D7F63"/>
    <w:rsid w:val="179E3A27"/>
    <w:rsid w:val="18975082"/>
    <w:rsid w:val="19DC4392"/>
    <w:rsid w:val="1A2B14E8"/>
    <w:rsid w:val="1AB044F8"/>
    <w:rsid w:val="1AEC4CFD"/>
    <w:rsid w:val="1B0C0A63"/>
    <w:rsid w:val="1B0E4A1F"/>
    <w:rsid w:val="1BDA551F"/>
    <w:rsid w:val="1CC00641"/>
    <w:rsid w:val="1D526E45"/>
    <w:rsid w:val="1E870D71"/>
    <w:rsid w:val="1EF67CA4"/>
    <w:rsid w:val="20100A74"/>
    <w:rsid w:val="202F346E"/>
    <w:rsid w:val="20924822"/>
    <w:rsid w:val="20AC7EB7"/>
    <w:rsid w:val="20D91B6B"/>
    <w:rsid w:val="21674E89"/>
    <w:rsid w:val="2190618E"/>
    <w:rsid w:val="238D46A1"/>
    <w:rsid w:val="24771887"/>
    <w:rsid w:val="24D942F0"/>
    <w:rsid w:val="259E5BCB"/>
    <w:rsid w:val="276B44E5"/>
    <w:rsid w:val="276B56D3"/>
    <w:rsid w:val="283B2219"/>
    <w:rsid w:val="2ADA61CA"/>
    <w:rsid w:val="2B7955AE"/>
    <w:rsid w:val="2C056E7C"/>
    <w:rsid w:val="2CB76CC5"/>
    <w:rsid w:val="2E5F2166"/>
    <w:rsid w:val="2E685B24"/>
    <w:rsid w:val="2E6E74F1"/>
    <w:rsid w:val="2E7E10F3"/>
    <w:rsid w:val="2F1E74CF"/>
    <w:rsid w:val="2F5C3B54"/>
    <w:rsid w:val="2FDC6A42"/>
    <w:rsid w:val="301343BA"/>
    <w:rsid w:val="30DA11D4"/>
    <w:rsid w:val="31A35A6A"/>
    <w:rsid w:val="31EA3F4A"/>
    <w:rsid w:val="32BF2D77"/>
    <w:rsid w:val="32FA790B"/>
    <w:rsid w:val="32FE13EF"/>
    <w:rsid w:val="338C3D31"/>
    <w:rsid w:val="33FE167D"/>
    <w:rsid w:val="34D4418C"/>
    <w:rsid w:val="352B64A2"/>
    <w:rsid w:val="352D70A2"/>
    <w:rsid w:val="3699568D"/>
    <w:rsid w:val="38C31254"/>
    <w:rsid w:val="39AC7709"/>
    <w:rsid w:val="3A03179B"/>
    <w:rsid w:val="3A105C66"/>
    <w:rsid w:val="3B7E3536"/>
    <w:rsid w:val="3B9B78C7"/>
    <w:rsid w:val="3CEA0202"/>
    <w:rsid w:val="3D913562"/>
    <w:rsid w:val="3D925F99"/>
    <w:rsid w:val="3EA51073"/>
    <w:rsid w:val="3F1439EF"/>
    <w:rsid w:val="3F2301EA"/>
    <w:rsid w:val="3F8769CB"/>
    <w:rsid w:val="406571D2"/>
    <w:rsid w:val="40956C5E"/>
    <w:rsid w:val="41E77A6F"/>
    <w:rsid w:val="42DA5063"/>
    <w:rsid w:val="42DC45ED"/>
    <w:rsid w:val="42EA61D2"/>
    <w:rsid w:val="42FF53BE"/>
    <w:rsid w:val="451A208F"/>
    <w:rsid w:val="45CA5962"/>
    <w:rsid w:val="4629258A"/>
    <w:rsid w:val="46D544C0"/>
    <w:rsid w:val="46FA2178"/>
    <w:rsid w:val="476E7ABF"/>
    <w:rsid w:val="499A72FA"/>
    <w:rsid w:val="4A121587"/>
    <w:rsid w:val="4A610C1D"/>
    <w:rsid w:val="4C147838"/>
    <w:rsid w:val="4C45534E"/>
    <w:rsid w:val="4C8A7AFA"/>
    <w:rsid w:val="4CBF09AB"/>
    <w:rsid w:val="4D1D096E"/>
    <w:rsid w:val="4F941A9F"/>
    <w:rsid w:val="50831BDF"/>
    <w:rsid w:val="515A3F3F"/>
    <w:rsid w:val="52E4406F"/>
    <w:rsid w:val="53065A01"/>
    <w:rsid w:val="5422686A"/>
    <w:rsid w:val="55BC3687"/>
    <w:rsid w:val="55C23E61"/>
    <w:rsid w:val="55CC5642"/>
    <w:rsid w:val="56CC03E2"/>
    <w:rsid w:val="57AC6B77"/>
    <w:rsid w:val="5A1D3D5C"/>
    <w:rsid w:val="5B8027F4"/>
    <w:rsid w:val="5C182A2D"/>
    <w:rsid w:val="5DF50B4C"/>
    <w:rsid w:val="5DF94AE0"/>
    <w:rsid w:val="5F920D48"/>
    <w:rsid w:val="5FBC57E6"/>
    <w:rsid w:val="5FC1162D"/>
    <w:rsid w:val="602048D2"/>
    <w:rsid w:val="605E50CE"/>
    <w:rsid w:val="61477D3A"/>
    <w:rsid w:val="61EB0BE3"/>
    <w:rsid w:val="62511346"/>
    <w:rsid w:val="62EA508C"/>
    <w:rsid w:val="63141A74"/>
    <w:rsid w:val="655B5A29"/>
    <w:rsid w:val="66EA3218"/>
    <w:rsid w:val="67535261"/>
    <w:rsid w:val="6809591F"/>
    <w:rsid w:val="68D45F2D"/>
    <w:rsid w:val="6A3D3FA6"/>
    <w:rsid w:val="6A6432E1"/>
    <w:rsid w:val="6BA14DDE"/>
    <w:rsid w:val="6CDE381E"/>
    <w:rsid w:val="6D464F20"/>
    <w:rsid w:val="6D6A3304"/>
    <w:rsid w:val="6DA2007A"/>
    <w:rsid w:val="6E313E22"/>
    <w:rsid w:val="6E444E1A"/>
    <w:rsid w:val="6F7C731F"/>
    <w:rsid w:val="6FF05BAE"/>
    <w:rsid w:val="70425E72"/>
    <w:rsid w:val="70F52C1D"/>
    <w:rsid w:val="71463740"/>
    <w:rsid w:val="72203F91"/>
    <w:rsid w:val="727918F3"/>
    <w:rsid w:val="73F27BAF"/>
    <w:rsid w:val="74643D95"/>
    <w:rsid w:val="76AF3B36"/>
    <w:rsid w:val="77B5517C"/>
    <w:rsid w:val="784A1D68"/>
    <w:rsid w:val="78994A9D"/>
    <w:rsid w:val="79464AB7"/>
    <w:rsid w:val="79BA4CCB"/>
    <w:rsid w:val="7AD66C6A"/>
    <w:rsid w:val="7B911A0E"/>
    <w:rsid w:val="7B9C47BA"/>
    <w:rsid w:val="7C9B74EC"/>
    <w:rsid w:val="7CC04B01"/>
    <w:rsid w:val="7DAE3668"/>
    <w:rsid w:val="7EEA7E01"/>
    <w:rsid w:val="7F9E2999"/>
    <w:rsid w:val="7FC5261C"/>
    <w:rsid w:val="7FE02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121"/>
      <w:outlineLvl w:val="1"/>
    </w:pPr>
    <w:rPr>
      <w:rFonts w:ascii="宋体" w:hAnsi="宋体" w:eastAsia="宋体"/>
      <w:sz w:val="42"/>
      <w:szCs w:val="42"/>
    </w:rPr>
  </w:style>
  <w:style w:type="paragraph" w:styleId="4">
    <w:name w:val="heading 2"/>
    <w:basedOn w:val="1"/>
    <w:next w:val="1"/>
    <w:qFormat/>
    <w:uiPriority w:val="1"/>
    <w:pPr>
      <w:ind w:left="52"/>
      <w:outlineLvl w:val="2"/>
    </w:pPr>
    <w:rPr>
      <w:rFonts w:ascii="宋体" w:hAnsi="宋体" w:eastAsia="宋体"/>
      <w:sz w:val="37"/>
      <w:szCs w:val="37"/>
    </w:rPr>
  </w:style>
  <w:style w:type="paragraph" w:styleId="5">
    <w:name w:val="heading 3"/>
    <w:basedOn w:val="1"/>
    <w:next w:val="1"/>
    <w:qFormat/>
    <w:uiPriority w:val="1"/>
    <w:pPr>
      <w:ind w:left="111"/>
      <w:outlineLvl w:val="3"/>
    </w:pPr>
    <w:rPr>
      <w:rFonts w:ascii="宋体" w:hAnsi="宋体" w:eastAsia="宋体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eastAsia="宋体"/>
      <w:sz w:val="21"/>
      <w:szCs w:val="24"/>
    </w:rPr>
  </w:style>
  <w:style w:type="paragraph" w:styleId="6">
    <w:name w:val="Body Text"/>
    <w:basedOn w:val="1"/>
    <w:qFormat/>
    <w:uiPriority w:val="1"/>
    <w:pPr>
      <w:ind w:left="114"/>
    </w:pPr>
    <w:rPr>
      <w:rFonts w:ascii="宋体" w:hAnsi="宋体" w:eastAsia="宋体"/>
      <w:sz w:val="30"/>
      <w:szCs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1701</Words>
  <Characters>1701</Characters>
  <TotalTime>1</TotalTime>
  <ScaleCrop>false</ScaleCrop>
  <LinksUpToDate>false</LinksUpToDate>
  <CharactersWithSpaces>1740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2023-03-15T17:03:00Z</dcterms:created>
  <dc:creator>Administrator</dc:creator>
  <cp:lastModifiedBy>Administrator</cp:lastModifiedBy>
  <dcterms:modified xsi:type="dcterms:W3CDTF">2023-07-20T09:20:29Z</dcterms:modified>
  <dc:title>30C-9-20230307183956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30C-9</vt:lpwstr>
  </property>
  <property fmtid="{D5CDD505-2E9C-101B-9397-08002B2CF9AE}" pid="4" name="LastSaved">
    <vt:filetime>2023-03-15T00:00:00Z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EF6421A41BF84DF2916FED31D8ED068F</vt:lpwstr>
  </property>
</Properties>
</file>