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8"/>
        <w:pBdr/>
        <w:spacing/>
        <w:ind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 w:line="340" w:lineRule="exact"/>
        <w:ind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</w:r>
      <w:r>
        <w:rPr>
          <w:rFonts w:hint="eastAsia" w:ascii="仿宋_GB2312" w:hAnsi="宋体" w:eastAsia="仿宋_GB2312"/>
          <w:sz w:val="32"/>
        </w:rPr>
      </w:r>
    </w:p>
    <w:p>
      <w:pPr>
        <w:pStyle w:val="628"/>
        <w:pBdr/>
        <w:spacing w:line="340" w:lineRule="exact"/>
        <w:ind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</w:r>
      <w:r>
        <w:rPr>
          <w:rFonts w:hint="eastAsia" w:ascii="仿宋_GB2312" w:hAnsi="宋体" w:eastAsia="仿宋_GB2312"/>
          <w:sz w:val="32"/>
        </w:rPr>
      </w:r>
    </w:p>
    <w:p>
      <w:pPr>
        <w:pStyle w:val="628"/>
        <w:pBdr/>
        <w:spacing w:line="340" w:lineRule="exact"/>
        <w:ind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</w:r>
      <w:r>
        <w:rPr>
          <w:rFonts w:hint="eastAsia" w:ascii="仿宋_GB2312" w:hAnsi="宋体" w:eastAsia="仿宋_GB2312"/>
          <w:sz w:val="32"/>
        </w:rPr>
      </w:r>
    </w:p>
    <w:p>
      <w:pPr>
        <w:pStyle w:val="628"/>
        <w:pBdr/>
        <w:spacing/>
        <w:ind/>
        <w:jc w:val="center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易财字</w:t>
      </w:r>
      <w:r>
        <w:rPr>
          <w:rFonts w:hint="eastAsia" w:ascii="仿宋_GB2312" w:hAnsi="宋体" w:eastAsia="仿宋_GB2312"/>
          <w:sz w:val="32"/>
        </w:rPr>
        <w:t xml:space="preserve">〔</w:t>
      </w:r>
      <w:r>
        <w:rPr>
          <w:rFonts w:hint="eastAsia" w:ascii="仿宋_GB2312" w:hAnsi="宋体" w:eastAsia="仿宋_GB2312"/>
          <w:sz w:val="32"/>
        </w:rPr>
        <w:t xml:space="preserve">2015</w:t>
      </w:r>
      <w:r>
        <w:rPr>
          <w:rFonts w:hint="eastAsia" w:ascii="仿宋_GB2312" w:hAnsi="宋体" w:eastAsia="仿宋_GB2312"/>
          <w:sz w:val="32"/>
        </w:rPr>
        <w:t xml:space="preserve">〕</w:t>
      </w:r>
      <w:r>
        <w:rPr>
          <w:rFonts w:hint="eastAsia" w:ascii="仿宋_GB2312" w:hAnsi="宋体" w:eastAsia="仿宋_GB2312"/>
          <w:sz w:val="32"/>
        </w:rPr>
        <w:t xml:space="preserve">1</w:t>
      </w:r>
      <w:r>
        <w:rPr>
          <w:rFonts w:hint="eastAsia" w:ascii="仿宋_GB2312" w:hAnsi="宋体" w:eastAsia="仿宋_GB2312"/>
          <w:sz w:val="32"/>
        </w:rPr>
        <w:t xml:space="preserve">号</w:t>
      </w:r>
      <w:r>
        <w:rPr>
          <w:rFonts w:hint="eastAsia" w:ascii="仿宋_GB2312" w:hAnsi="宋体" w:eastAsia="仿宋_GB2312"/>
          <w:sz w:val="32"/>
        </w:rPr>
      </w:r>
    </w:p>
    <w:p>
      <w:pPr>
        <w:pStyle w:val="628"/>
        <w:pBdr/>
        <w:spacing/>
        <w:ind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</w:r>
      <w:r>
        <w:rPr>
          <w:rFonts w:hint="eastAsia" w:ascii="宋体" w:hAnsi="宋体" w:cs="宋体"/>
          <w:b/>
          <w:sz w:val="30"/>
          <w:szCs w:val="30"/>
        </w:rPr>
      </w:r>
    </w:p>
    <w:p>
      <w:pPr>
        <w:pStyle w:val="628"/>
        <w:pBdr/>
        <w:spacing/>
        <w:ind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/>
          <w:b/>
          <w:sz w:val="44"/>
          <w:szCs w:val="44"/>
        </w:rPr>
        <w:t xml:space="preserve">易门县</w:t>
      </w:r>
      <w:r>
        <w:rPr>
          <w:rFonts w:hint="eastAsia" w:ascii="宋体" w:hAnsi="宋体"/>
          <w:b/>
          <w:sz w:val="44"/>
          <w:szCs w:val="44"/>
        </w:rPr>
        <w:t xml:space="preserve">财政局关于</w:t>
      </w:r>
      <w:r>
        <w:rPr>
          <w:rFonts w:ascii="宋体" w:hAnsi="宋体"/>
          <w:b/>
          <w:sz w:val="44"/>
          <w:szCs w:val="44"/>
        </w:rPr>
        <w:t xml:space="preserve">2015</w:t>
      </w:r>
      <w:r>
        <w:rPr>
          <w:rFonts w:hint="eastAsia" w:ascii="宋体" w:hAnsi="宋体"/>
          <w:b/>
          <w:sz w:val="44"/>
          <w:szCs w:val="44"/>
        </w:rPr>
        <w:t xml:space="preserve">年部门预算的批复</w:t>
      </w:r>
      <w:r>
        <w:rPr>
          <w:rFonts w:hint="eastAsia" w:ascii="宋体" w:hAnsi="宋体" w:cs="宋体"/>
          <w:b/>
          <w:sz w:val="30"/>
          <w:szCs w:val="30"/>
        </w:rPr>
      </w:r>
      <w:r>
        <w:rPr>
          <w:rFonts w:hint="eastAsia" w:ascii="宋体" w:hAnsi="宋体" w:cs="宋体"/>
          <w:b/>
          <w:sz w:val="30"/>
          <w:szCs w:val="30"/>
        </w:rPr>
      </w:r>
    </w:p>
    <w:p>
      <w:pPr>
        <w:pStyle w:val="628"/>
        <w:pBdr/>
        <w:spacing/>
        <w:ind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</w:r>
      <w:r>
        <w:rPr>
          <w:rFonts w:hint="eastAsia" w:ascii="宋体" w:hAnsi="宋体" w:cs="宋体"/>
          <w:b/>
          <w:sz w:val="30"/>
          <w:szCs w:val="30"/>
        </w:rPr>
      </w:r>
    </w:p>
    <w:p>
      <w:pPr>
        <w:pStyle w:val="628"/>
        <w:pBdr/>
        <w:spacing/>
        <w:ind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易门陶瓷特色工业园区管理委员会</w:t>
      </w:r>
      <w:r>
        <w:rPr>
          <w:rFonts w:hint="eastAsia" w:ascii="仿宋_GB2312" w:eastAsia="仿宋_GB2312"/>
          <w:sz w:val="32"/>
          <w:szCs w:val="32"/>
        </w:rPr>
        <w:t xml:space="preserve">：</w:t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28"/>
        <w:pBdr/>
        <w:spacing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根</w:t>
      </w:r>
      <w:r>
        <w:rPr>
          <w:rFonts w:hint="eastAsia" w:ascii="仿宋_GB2312" w:eastAsia="仿宋_GB2312"/>
          <w:sz w:val="32"/>
        </w:rPr>
        <w:t xml:space="preserve">据《中华人民共和国预算法》及《云南省预算审查监督条例》的规定，</w:t>
      </w:r>
      <w:r>
        <w:rPr>
          <w:rFonts w:hint="eastAsia" w:ascii="仿宋_GB2312" w:eastAsia="仿宋_GB2312"/>
          <w:sz w:val="32"/>
        </w:rPr>
        <w:t xml:space="preserve">易门县</w:t>
      </w:r>
      <w:r>
        <w:rPr>
          <w:rFonts w:ascii="仿宋_GB2312" w:eastAsia="仿宋_GB2312"/>
          <w:sz w:val="32"/>
        </w:rPr>
        <w:t xml:space="preserve">2015</w:t>
      </w:r>
      <w:r>
        <w:rPr>
          <w:rFonts w:hint="eastAsia" w:ascii="仿宋_GB2312" w:eastAsia="仿宋_GB2312"/>
          <w:sz w:val="32"/>
        </w:rPr>
        <w:t xml:space="preserve">年财政预算</w:t>
      </w:r>
      <w:r>
        <w:rPr>
          <w:rFonts w:hint="eastAsia" w:ascii="仿宋_GB2312" w:eastAsia="仿宋_GB2312"/>
          <w:sz w:val="32"/>
          <w:szCs w:val="32"/>
        </w:rPr>
        <w:t xml:space="preserve">经</w:t>
      </w:r>
      <w:r>
        <w:rPr>
          <w:rFonts w:hint="eastAsia" w:ascii="仿宋_GB2312" w:eastAsia="仿宋_GB2312"/>
          <w:sz w:val="32"/>
          <w:szCs w:val="32"/>
        </w:rPr>
        <w:t xml:space="preserve">易门县第十</w:t>
      </w:r>
      <w:r>
        <w:rPr>
          <w:rFonts w:hint="eastAsia" w:ascii="仿宋_GB2312" w:eastAsia="仿宋_GB2312"/>
          <w:sz w:val="32"/>
          <w:szCs w:val="32"/>
        </w:rPr>
        <w:t xml:space="preserve">六</w:t>
      </w:r>
      <w:r>
        <w:rPr>
          <w:rFonts w:hint="eastAsia" w:ascii="仿宋_GB2312" w:eastAsia="仿宋_GB2312"/>
          <w:sz w:val="32"/>
          <w:szCs w:val="32"/>
        </w:rPr>
        <w:t xml:space="preserve">届人民代表大会第</w:t>
      </w:r>
      <w:r>
        <w:rPr>
          <w:rFonts w:hint="eastAsia" w:ascii="仿宋_GB2312" w:eastAsia="仿宋_GB2312"/>
          <w:sz w:val="32"/>
          <w:szCs w:val="32"/>
        </w:rPr>
        <w:t xml:space="preserve">三</w:t>
      </w:r>
      <w:r>
        <w:rPr>
          <w:rFonts w:hint="eastAsia" w:ascii="仿宋_GB2312" w:eastAsia="仿宋_GB2312"/>
          <w:sz w:val="32"/>
          <w:szCs w:val="32"/>
        </w:rPr>
        <w:t xml:space="preserve">次会议</w:t>
      </w:r>
      <w:r>
        <w:rPr>
          <w:rFonts w:hint="eastAsia" w:ascii="仿宋_GB2312" w:eastAsia="仿宋_GB2312"/>
          <w:sz w:val="32"/>
        </w:rPr>
        <w:t xml:space="preserve">审查批准，现批复如下：</w:t>
      </w:r>
      <w:r>
        <w:rPr>
          <w:rFonts w:ascii="仿宋_GB2312" w:eastAsia="仿宋_GB2312"/>
          <w:sz w:val="32"/>
        </w:rPr>
      </w:r>
      <w:r>
        <w:rPr>
          <w:rFonts w:ascii="仿宋_GB2312" w:eastAsia="仿宋_GB2312"/>
          <w:sz w:val="32"/>
        </w:rPr>
      </w:r>
    </w:p>
    <w:p>
      <w:pPr>
        <w:pStyle w:val="628"/>
        <w:pBdr/>
        <w:spacing w:line="580" w:lineRule="exact"/>
        <w:ind w:firstLine="63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 xml:space="preserve">一、</w:t>
      </w:r>
      <w:r>
        <w:rPr>
          <w:rFonts w:hint="eastAsia" w:ascii="仿宋_GB2312" w:eastAsia="仿宋_GB2312"/>
          <w:b/>
          <w:bCs/>
          <w:sz w:val="32"/>
        </w:rPr>
        <w:t xml:space="preserve">核定单位收支预算数</w:t>
      </w:r>
      <w:r>
        <w:rPr>
          <w:rFonts w:hint="eastAsia" w:ascii="仿宋_GB2312" w:eastAsia="仿宋_GB2312"/>
          <w:b/>
          <w:bCs/>
          <w:sz w:val="32"/>
        </w:rPr>
      </w:r>
    </w:p>
    <w:p>
      <w:pPr>
        <w:pStyle w:val="628"/>
        <w:widowControl w:val="true"/>
        <w:pBdr/>
        <w:spacing/>
        <w:ind w:firstLine="64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你单位2015年收入预算总计</w:t>
      </w:r>
      <w:r>
        <w:rPr>
          <w:rFonts w:ascii="仿宋_GB2312" w:eastAsia="仿宋_GB2312"/>
          <w:sz w:val="32"/>
        </w:rPr>
        <w:t xml:space="preserve">1615133.69</w:t>
      </w:r>
      <w:r>
        <w:rPr>
          <w:rFonts w:hint="eastAsia" w:ascii="仿宋_GB2312" w:eastAsia="仿宋_GB2312"/>
          <w:sz w:val="32"/>
        </w:rPr>
        <w:t xml:space="preserve">元，其中：财政拨款</w:t>
      </w:r>
      <w:r>
        <w:rPr>
          <w:rFonts w:ascii="仿宋_GB2312" w:eastAsia="仿宋_GB2312"/>
          <w:sz w:val="32"/>
        </w:rPr>
        <w:t xml:space="preserve">1615133.69</w:t>
      </w:r>
      <w:r>
        <w:rPr>
          <w:rFonts w:hint="eastAsia" w:ascii="仿宋_GB2312" w:eastAsia="仿宋_GB2312"/>
          <w:sz w:val="32"/>
        </w:rPr>
        <w:t xml:space="preserve">元（经费拨款</w:t>
      </w:r>
      <w:r>
        <w:rPr>
          <w:rFonts w:ascii="仿宋_GB2312" w:eastAsia="仿宋_GB2312"/>
          <w:sz w:val="32"/>
        </w:rPr>
        <w:t xml:space="preserve">1615133.69</w:t>
      </w:r>
      <w:r>
        <w:rPr>
          <w:rFonts w:hint="eastAsia" w:ascii="仿宋_GB2312" w:eastAsia="仿宋_GB2312"/>
          <w:sz w:val="32"/>
        </w:rPr>
        <w:t xml:space="preserve">元）；支出预算总计</w:t>
      </w:r>
      <w:r>
        <w:rPr>
          <w:rFonts w:ascii="仿宋_GB2312" w:eastAsia="仿宋_GB2312"/>
          <w:sz w:val="32"/>
        </w:rPr>
        <w:t xml:space="preserve">1615133.69</w:t>
      </w:r>
      <w:r>
        <w:rPr>
          <w:rFonts w:hint="eastAsia" w:ascii="仿宋_GB2312" w:eastAsia="仿宋_GB2312"/>
          <w:sz w:val="32"/>
        </w:rPr>
        <w:t xml:space="preserve">元（经费拨款安排的支出</w:t>
      </w:r>
      <w:r>
        <w:rPr>
          <w:rFonts w:ascii="仿宋_GB2312" w:eastAsia="仿宋_GB2312"/>
          <w:sz w:val="32"/>
        </w:rPr>
        <w:t xml:space="preserve">1615133.69</w:t>
      </w:r>
      <w:r>
        <w:rPr>
          <w:rFonts w:hint="eastAsia" w:ascii="仿宋_GB2312" w:eastAsia="仿宋_GB2312"/>
          <w:sz w:val="32"/>
        </w:rPr>
        <w:t xml:space="preserve">元），</w:t>
      </w:r>
      <w:r>
        <w:rPr>
          <w:rFonts w:hint="eastAsia" w:ascii="仿宋_GB2312" w:eastAsia="仿宋_GB2312"/>
          <w:sz w:val="32"/>
        </w:rPr>
        <w:t xml:space="preserve">其中：基本支</w:t>
      </w:r>
      <w:r>
        <w:rPr>
          <w:rFonts w:hint="eastAsia" w:ascii="仿宋_GB2312" w:eastAsia="仿宋_GB2312"/>
          <w:sz w:val="32"/>
        </w:rPr>
        <w:t xml:space="preserve">出</w:t>
      </w:r>
      <w:r>
        <w:rPr>
          <w:rFonts w:ascii="仿宋_GB2312" w:eastAsia="仿宋_GB2312"/>
          <w:sz w:val="32"/>
        </w:rPr>
        <w:t xml:space="preserve">1615133.69</w:t>
      </w:r>
      <w:r>
        <w:rPr>
          <w:rFonts w:hint="eastAsia" w:ascii="仿宋_GB2312" w:eastAsia="仿宋_GB2312"/>
          <w:sz w:val="32"/>
        </w:rPr>
        <w:t xml:space="preserve">元</w:t>
      </w:r>
      <w:r>
        <w:rPr>
          <w:rFonts w:hint="eastAsia" w:ascii="仿宋_GB2312" w:eastAsia="仿宋_GB2312"/>
          <w:sz w:val="32"/>
        </w:rPr>
        <w:t xml:space="preserve">；项目支</w:t>
      </w:r>
      <w:r>
        <w:rPr>
          <w:rFonts w:hint="eastAsia" w:ascii="仿宋_GB2312" w:eastAsia="仿宋_GB2312"/>
          <w:sz w:val="32"/>
        </w:rPr>
        <w:t xml:space="preserve">出</w:t>
      </w:r>
      <w:r>
        <w:rPr>
          <w:rFonts w:ascii="仿宋_GB2312" w:eastAsia="仿宋_GB2312"/>
          <w:sz w:val="32"/>
        </w:rPr>
        <w:t xml:space="preserve">0</w:t>
      </w:r>
      <w:r>
        <w:rPr>
          <w:rFonts w:hint="eastAsia" w:ascii="仿宋_GB2312" w:eastAsia="仿宋_GB2312"/>
          <w:sz w:val="32"/>
        </w:rPr>
        <w:t xml:space="preserve">元</w:t>
      </w:r>
      <w:r>
        <w:rPr>
          <w:rFonts w:hint="eastAsia" w:ascii="仿宋_GB2312" w:eastAsia="仿宋_GB2312"/>
          <w:sz w:val="32"/>
        </w:rPr>
        <w:t xml:space="preserve">。</w:t>
      </w:r>
      <w:r>
        <w:rPr>
          <w:rFonts w:hint="eastAsia" w:ascii="仿宋_GB2312" w:eastAsia="仿宋_GB2312"/>
          <w:sz w:val="32"/>
        </w:rPr>
      </w:r>
      <w:r>
        <w:rPr>
          <w:rFonts w:hint="eastAsia" w:ascii="仿宋_GB2312" w:eastAsia="仿宋_GB2312"/>
          <w:sz w:val="32"/>
        </w:rPr>
      </w:r>
    </w:p>
    <w:p>
      <w:pPr>
        <w:pStyle w:val="628"/>
        <w:widowControl w:val="true"/>
        <w:pBdr/>
        <w:spacing/>
        <w:ind w:firstLine="640"/>
        <w:jc w:val="left"/>
        <w:rPr>
          <w:rFonts w:ascii="宋体" w:hAnsi="宋体" w:cs="宋体"/>
          <w:sz w:val="24"/>
        </w:rPr>
      </w:pPr>
      <w:r>
        <w:rPr>
          <w:rFonts w:hint="eastAsia" w:ascii="仿宋_GB2312" w:eastAsia="仿宋_GB2312"/>
          <w:sz w:val="32"/>
        </w:rPr>
        <w:t xml:space="preserve">需要说明的问题：此次批复的财政经费拨款支出预算，即为下达你单位的</w:t>
      </w:r>
      <w:r>
        <w:rPr>
          <w:rFonts w:ascii="仿宋_GB2312" w:eastAsia="仿宋_GB2312"/>
          <w:sz w:val="32"/>
        </w:rPr>
        <w:t xml:space="preserve">2015</w:t>
      </w:r>
      <w:r>
        <w:rPr>
          <w:rFonts w:hint="eastAsia" w:ascii="宋体" w:hAnsi="宋体" w:cs="宋体"/>
          <w:sz w:val="32"/>
        </w:rPr>
        <w:t xml:space="preserve">年</w:t>
      </w:r>
      <w:r>
        <w:rPr>
          <w:rFonts w:hint="eastAsia" w:ascii="仿宋_GB2312" w:eastAsia="仿宋_GB2312"/>
          <w:sz w:val="32"/>
        </w:rPr>
        <w:t xml:space="preserve">基本支出和项目支出经费。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</w:r>
      <w:r>
        <w:rPr>
          <w:rFonts w:ascii="宋体" w:hAnsi="宋体" w:cs="宋体"/>
          <w:sz w:val="24"/>
        </w:rPr>
      </w:r>
    </w:p>
    <w:p>
      <w:pPr>
        <w:pStyle w:val="628"/>
        <w:pBdr/>
        <w:spacing w:line="580" w:lineRule="exact"/>
        <w:ind w:firstLine="643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 xml:space="preserve">二、对部门预算执行的要求</w:t>
      </w:r>
      <w:r>
        <w:rPr>
          <w:rFonts w:ascii="仿宋_GB2312" w:eastAsia="仿宋_GB2312"/>
          <w:b/>
          <w:bCs/>
          <w:sz w:val="32"/>
        </w:rPr>
      </w:r>
      <w:r>
        <w:rPr>
          <w:rFonts w:ascii="仿宋_GB2312" w:eastAsia="仿宋_GB2312"/>
          <w:b/>
          <w:bCs/>
          <w:sz w:val="32"/>
        </w:rPr>
      </w:r>
    </w:p>
    <w:p>
      <w:pPr>
        <w:pStyle w:val="628"/>
        <w:pBdr/>
        <w:spacing w:line="580" w:lineRule="exact"/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2015年</w:t>
      </w:r>
      <w:r>
        <w:rPr>
          <w:rFonts w:hint="eastAsia" w:ascii="仿宋_GB2312" w:hAnsi="宋体" w:eastAsia="仿宋_GB2312"/>
          <w:sz w:val="32"/>
        </w:rPr>
        <w:t xml:space="preserve">各项支出需求刚性较强、增长较快，财政收支矛盾依然突出。面对这样的形势</w:t>
      </w:r>
      <w:r>
        <w:rPr>
          <w:rFonts w:hint="eastAsia" w:ascii="仿宋_GB2312" w:eastAsia="仿宋_GB2312"/>
          <w:sz w:val="32"/>
        </w:rPr>
        <w:t xml:space="preserve">,县财政通过调整支出结构，保证各预算单位人员工资、社会保障缴费、机构正常运转及社会发展事业支出的资金需要。请各预算单位切实加强预算管理，努力提高资金使用效益，为实现全县财政收支目标作出贡献。</w:t>
      </w:r>
      <w:r>
        <w:rPr>
          <w:rFonts w:hint="eastAsia" w:ascii="仿宋_GB2312" w:eastAsia="仿宋_GB2312"/>
          <w:sz w:val="32"/>
        </w:rPr>
      </w:r>
    </w:p>
    <w:p>
      <w:pPr>
        <w:pStyle w:val="638"/>
        <w:pBdr/>
        <w:spacing w:line="580" w:lineRule="exact"/>
        <w:ind/>
        <w:rPr>
          <w:rFonts w:hint="eastAsia"/>
        </w:rPr>
      </w:pPr>
      <w:r>
        <w:rPr>
          <w:rFonts w:hint="eastAsia"/>
        </w:rPr>
        <w:t xml:space="preserve">1、严格执行预算。预算是经人代会审查批准的、具有法律效力的文件。各预算单位要严格按照批复的预算科目、资金用途执行；要</w:t>
      </w:r>
      <w:r>
        <w:rPr>
          <w:rFonts w:hint="eastAsia" w:ascii="宋体" w:hAnsi="宋体"/>
        </w:rPr>
        <w:t xml:space="preserve">树立过紧日子的思想,</w:t>
      </w:r>
      <w:r>
        <w:rPr>
          <w:rFonts w:hint="eastAsia"/>
        </w:rPr>
        <w:t xml:space="preserve">本着艰苦奋斗、勤俭节约的原则，精打细算，统筹安排使用好财政资金，确保全年工作任务的完成和事业计划的实现。</w:t>
      </w:r>
      <w:r>
        <w:rPr>
          <w:rFonts w:hint="eastAsia"/>
        </w:rPr>
      </w:r>
    </w:p>
    <w:p>
      <w:pPr>
        <w:pStyle w:val="638"/>
        <w:pBdr/>
        <w:spacing w:line="580" w:lineRule="exact"/>
        <w:ind/>
        <w:rPr>
          <w:rFonts w:hint="eastAsia"/>
        </w:rPr>
      </w:pPr>
      <w:r>
        <w:rPr>
          <w:rFonts w:hint="eastAsia"/>
        </w:rPr>
        <w:t xml:space="preserve">2、加强项目资金管理。项目资金必须专款专用，要加强对项目资金使用情况的监督检查，实行追踪问效，切实提高资金的使用效益。各预算单位要对项目资金使用的真实性、合规性、效益性负责。</w:t>
      </w:r>
      <w:r>
        <w:rPr>
          <w:rFonts w:hint="eastAsia"/>
        </w:rPr>
      </w:r>
    </w:p>
    <w:p>
      <w:pPr>
        <w:pStyle w:val="638"/>
        <w:pBdr/>
        <w:spacing w:line="580" w:lineRule="exact"/>
        <w:ind/>
        <w:rPr>
          <w:rFonts w:hint="eastAsia"/>
        </w:rPr>
      </w:pPr>
      <w:r>
        <w:rPr>
          <w:rFonts w:hint="eastAsia"/>
        </w:rPr>
        <w:t xml:space="preserve">3</w:t>
      </w:r>
      <w:r>
        <w:rPr>
          <w:rFonts w:hint="eastAsia"/>
        </w:rPr>
        <w:t xml:space="preserve">、切实加强非税收入收支管理。非税收入已纳入预算管理的，要积极组织收入，保证收入计划的实现，同时要严格执行政府非税收入征收管理实施意见，管好用好单位资金，充分发挥资金使用效益。</w:t>
      </w:r>
      <w:r>
        <w:rPr>
          <w:rFonts w:hint="eastAsia"/>
        </w:rPr>
      </w:r>
    </w:p>
    <w:p>
      <w:pPr>
        <w:pStyle w:val="628"/>
        <w:pBdr/>
        <w:spacing w:line="580" w:lineRule="exact"/>
        <w:ind w:firstLine="64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4、严格按国家政策规定支付人员支出，严禁自立工资补贴项目和提高发放标准。对部门单位上报的个人工资计算差错造成的损失，除责令单位负责追回外，还将追究相关人员的责任。</w:t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 w:line="580" w:lineRule="exact"/>
        <w:ind w:firstLine="64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5、对按规定纳入政府采购的项目支出，必须严格按照政府采购管理的有关规定及国库集中支付的要求办理。</w:t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 w:line="580" w:lineRule="exact"/>
        <w:ind w:firstLine="64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6、积极做好预算执行分析工作。预算执行过程中，要认真做好资料收集、数据整理等工作，分析预算执行情况，提出预算管理改革的措施办法，为进一步做好预算管理工作打好基础。</w:t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附件：1、2015年部门</w:t>
      </w:r>
      <w:r>
        <w:rPr>
          <w:rFonts w:hint="eastAsia" w:ascii="仿宋_GB2312" w:eastAsia="仿宋_GB2312"/>
          <w:sz w:val="32"/>
        </w:rPr>
        <w:t xml:space="preserve">收支预算总表</w:t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 w:firstLine="16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2、</w:t>
      </w:r>
      <w:r>
        <w:rPr>
          <w:rFonts w:hint="eastAsia" w:ascii="仿宋_GB2312" w:hAnsi="宋体" w:eastAsia="仿宋_GB2312"/>
          <w:sz w:val="32"/>
        </w:rPr>
        <w:t xml:space="preserve">2015年部门</w:t>
      </w:r>
      <w:r>
        <w:rPr>
          <w:rFonts w:hint="eastAsia" w:ascii="仿宋_GB2312" w:eastAsia="仿宋_GB2312"/>
          <w:sz w:val="32"/>
        </w:rPr>
        <w:t xml:space="preserve">支出预算总表</w:t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 w:firstLine="16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3、</w:t>
      </w:r>
      <w:r>
        <w:rPr>
          <w:rFonts w:hint="eastAsia" w:ascii="仿宋_GB2312" w:hAnsi="宋体" w:eastAsia="仿宋_GB2312"/>
          <w:sz w:val="32"/>
        </w:rPr>
        <w:t xml:space="preserve">2015年部门</w:t>
      </w:r>
      <w:r>
        <w:rPr>
          <w:rFonts w:hint="eastAsia" w:ascii="仿宋_GB2312" w:eastAsia="仿宋_GB2312"/>
          <w:sz w:val="32"/>
        </w:rPr>
        <w:t xml:space="preserve">基本支出明细表</w:t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 w:firstLine="16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4、</w:t>
      </w:r>
      <w:r>
        <w:rPr>
          <w:rFonts w:hint="eastAsia" w:ascii="仿宋_GB2312" w:hAnsi="宋体" w:eastAsia="仿宋_GB2312"/>
          <w:sz w:val="32"/>
        </w:rPr>
        <w:t xml:space="preserve">2015年</w:t>
      </w:r>
      <w:r>
        <w:rPr>
          <w:rFonts w:hint="eastAsia" w:ascii="仿宋_GB2312" w:eastAsia="仿宋_GB2312"/>
          <w:sz w:val="32"/>
        </w:rPr>
        <w:t xml:space="preserve">项目支出明细表</w:t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 w:firstLine="16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5、</w:t>
      </w:r>
      <w:r>
        <w:rPr>
          <w:rFonts w:hint="eastAsia" w:ascii="仿宋_GB2312" w:hAnsi="宋体" w:eastAsia="仿宋_GB2312"/>
          <w:sz w:val="32"/>
        </w:rPr>
        <w:t xml:space="preserve">2015年</w:t>
      </w:r>
      <w:r>
        <w:rPr>
          <w:rFonts w:hint="eastAsia" w:ascii="仿宋_GB2312" w:eastAsia="仿宋_GB2312"/>
          <w:sz w:val="32"/>
        </w:rPr>
        <w:t xml:space="preserve">单位基本信息表</w:t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 w:firstLine="128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 w:firstLine="128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</w:r>
      <w:r>
        <w:rPr>
          <w:rFonts w:hint="eastAsia" w:ascii="仿宋_GB2312" w:eastAsia="仿宋_GB2312"/>
          <w:sz w:val="32"/>
        </w:rPr>
      </w:r>
    </w:p>
    <w:p>
      <w:pPr>
        <w:pStyle w:val="628"/>
        <w:pBdr/>
        <w:spacing/>
        <w:ind w:right="560" w:firstLine="432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易门县财政局</w:t>
      </w:r>
      <w:r>
        <w:rPr>
          <w:rFonts w:hint="eastAsia" w:ascii="仿宋_GB2312" w:hAnsi="宋体" w:eastAsia="仿宋_GB2312" w:cs="宋体"/>
          <w:sz w:val="32"/>
          <w:szCs w:val="32"/>
        </w:rPr>
      </w:r>
    </w:p>
    <w:p>
      <w:pPr>
        <w:pStyle w:val="628"/>
        <w:pBdr/>
        <w:spacing/>
        <w:ind w:right="560" w:firstLine="416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2015年3月6日</w:t>
      </w:r>
      <w:r>
        <w:rPr>
          <w:rFonts w:hint="eastAsia" w:ascii="仿宋_GB2312" w:hAnsi="宋体" w:eastAsia="仿宋_GB2312" w:cs="宋体"/>
          <w:sz w:val="32"/>
          <w:szCs w:val="32"/>
        </w:rPr>
      </w:r>
    </w:p>
    <w:p>
      <w:pPr>
        <w:pStyle w:val="628"/>
        <w:pBdr/>
        <w:spacing/>
        <w:ind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</w:r>
      <w:r>
        <w:rPr>
          <w:rFonts w:hint="eastAsia" w:ascii="宋体" w:hAnsi="宋体" w:cs="宋体"/>
          <w:sz w:val="28"/>
          <w:szCs w:val="28"/>
        </w:rPr>
      </w:r>
    </w:p>
    <w:p>
      <w:pPr>
        <w:pStyle w:val="628"/>
        <w:pBdr/>
        <w:spacing/>
        <w:ind w:firstLine="4760"/>
        <w:rPr>
          <w:rFonts w:hint="eastAsia" w:ascii="黑体" w:eastAsia="黑体"/>
          <w:sz w:val="32"/>
        </w:rPr>
      </w:pPr>
      <w:r>
        <w:rPr>
          <w:rFonts w:hint="eastAsia" w:ascii="宋体" w:hAnsi="宋体" w:cs="宋体"/>
          <w:sz w:val="28"/>
          <w:szCs w:val="28"/>
        </w:rPr>
        <w:t xml:space="preserve">           </w:t>
      </w:r>
      <w:r>
        <w:rPr>
          <w:rFonts w:hint="eastAsia" w:ascii="黑体" w:eastAsia="黑体"/>
          <w:sz w:val="32"/>
        </w:rPr>
      </w:r>
      <w:r>
        <w:rPr>
          <w:rFonts w:hint="eastAsia" w:ascii="黑体" w:eastAsia="黑体"/>
          <w:sz w:val="32"/>
        </w:rPr>
      </w:r>
    </w:p>
    <w:p>
      <w:pPr>
        <w:pStyle w:val="628"/>
        <w:pBdr/>
        <w:spacing w:line="480" w:lineRule="exact"/>
        <w:ind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u w:val="single"/>
        </w:rPr>
      </w:r>
      <w:r>
        <w:rPr>
          <w:rFonts w:hint="eastAsia" w:ascii="黑体" w:eastAsia="黑体"/>
          <w:sz w:val="32"/>
          <w:u w:val="single"/>
        </w:rPr>
      </w:r>
    </w:p>
    <w:p>
      <w:pPr>
        <w:pStyle w:val="628"/>
        <w:pBdr/>
        <w:spacing w:line="480" w:lineRule="exact"/>
        <w:ind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u w:val="single"/>
        </w:rPr>
      </w:r>
      <w:r>
        <w:rPr>
          <w:rFonts w:hint="eastAsia" w:ascii="黑体" w:eastAsia="黑体"/>
          <w:sz w:val="32"/>
          <w:u w:val="single"/>
        </w:rPr>
      </w:r>
    </w:p>
    <w:p>
      <w:pPr>
        <w:pStyle w:val="628"/>
        <w:pBdr/>
        <w:spacing w:line="480" w:lineRule="exact"/>
        <w:ind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u w:val="single"/>
        </w:rPr>
      </w:r>
      <w:r>
        <w:rPr>
          <w:rFonts w:hint="eastAsia" w:ascii="黑体" w:eastAsia="黑体"/>
          <w:sz w:val="32"/>
          <w:u w:val="single"/>
        </w:rPr>
      </w:r>
    </w:p>
    <w:p>
      <w:pPr>
        <w:pStyle w:val="628"/>
        <w:pBdr/>
        <w:spacing w:line="480" w:lineRule="exact"/>
        <w:ind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u w:val="single"/>
        </w:rPr>
      </w:r>
      <w:r>
        <w:rPr>
          <w:rFonts w:hint="eastAsia" w:ascii="黑体" w:eastAsia="黑体"/>
          <w:sz w:val="32"/>
          <w:u w:val="single"/>
        </w:rPr>
      </w:r>
    </w:p>
    <w:p>
      <w:pPr>
        <w:pStyle w:val="628"/>
        <w:pBdr/>
        <w:spacing w:line="480" w:lineRule="exact"/>
        <w:ind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                          </w:t>
      </w:r>
      <w:r>
        <w:rPr>
          <w:rFonts w:hint="eastAsia" w:ascii="宋体" w:hAnsi="宋体"/>
          <w:sz w:val="32"/>
        </w:rPr>
      </w:r>
    </w:p>
    <w:p>
      <w:pPr>
        <w:pStyle w:val="628"/>
        <w:pBdr/>
        <w:spacing w:line="480" w:lineRule="exact"/>
        <w:ind w:firstLine="315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29275" cy="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524288;mso-wrap-distance-left:9.00pt;mso-wrap-distance-top:0.00pt;mso-wrap-distance-right:9.00pt;mso-wrap-distance-bottom:0.00pt;visibility:visible;" from="0.0pt,3.4pt" to="443.3pt,3.4pt" fillcolor="#FFFFFF" strokecolor="#000000"/>
            </w:pict>
          </mc:Fallback>
        </mc:AlternateContent>
      </w:r>
      <w:r>
        <w:rPr>
          <w:rFonts w:hint="eastAsia" w:ascii="仿宋_GB2312" w:hAnsi="宋体" w:eastAsia="仿宋_GB2312"/>
          <w:sz w:val="32"/>
        </w:rPr>
        <w:t xml:space="preserve">易门县财政局办公室             2015年3月6日印发</w:t>
      </w:r>
      <w:r>
        <w:rPr>
          <w:rFonts w:hint="eastAsia" w:ascii="仿宋_GB2312" w:hAnsi="宋体" w:eastAsia="仿宋_GB2312" w:cs="宋体"/>
          <w:sz w:val="28"/>
          <w:szCs w:val="28"/>
        </w:rPr>
      </w:r>
      <w:r>
        <w:rPr>
          <w:rFonts w:hint="eastAsia" w:ascii="仿宋_GB2312" w:hAnsi="宋体" w:eastAsia="仿宋_GB2312" w:cs="宋体"/>
          <w:sz w:val="28"/>
          <w:szCs w:val="28"/>
        </w:rPr>
      </w:r>
    </w:p>
    <w:p>
      <w:pPr>
        <w:pStyle w:val="628"/>
        <w:pBdr/>
        <w:spacing w:line="480" w:lineRule="exact"/>
        <w:ind w:firstLine="21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5629275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visibility:visible;" from="0.0pt,3.7pt" to="443.3pt,3.7pt" fillcolor="#FFFFFF" strokecolor="#000000"/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宋体" w:eastAsia="仿宋_GB2312"/>
          <w:sz w:val="32"/>
          <w:szCs w:val="32"/>
        </w:rPr>
      </w:r>
    </w:p>
    <w:sectPr>
      <w:headerReference w:type="default" r:id="rId9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仿宋_GB2312">
    <w:panose1 w:val="02010609030101010101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6"/>
      <w:pBdr>
        <w:bottom w:val="none" w:color="000000" w:sz="0" w:space="0"/>
      </w:pBdr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japaneseCounting"/>
      <w:pPr>
        <w:pBdr/>
        <w:tabs>
          <w:tab w:val="num" w:leader="none" w:pos="1472"/>
        </w:tabs>
        <w:spacing/>
        <w:ind w:hanging="720" w:left="1472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8"/>
    <w:next w:val="62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8"/>
    <w:next w:val="62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8"/>
    <w:next w:val="62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8"/>
    <w:next w:val="62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8"/>
    <w:next w:val="62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8"/>
    <w:next w:val="62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8"/>
    <w:next w:val="62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8"/>
    <w:next w:val="62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8"/>
    <w:next w:val="62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8"/>
    <w:next w:val="62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8"/>
    <w:next w:val="62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8"/>
    <w:next w:val="6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8"/>
    <w:next w:val="62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8"/>
    <w:next w:val="62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8"/>
    <w:next w:val="62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8"/>
    <w:next w:val="62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8"/>
    <w:next w:val="62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8"/>
    <w:next w:val="62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8"/>
    <w:next w:val="62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8"/>
    <w:next w:val="62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8"/>
    <w:next w:val="62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8"/>
    <w:next w:val="628"/>
    <w:uiPriority w:val="99"/>
    <w:unhideWhenUsed/>
    <w:pPr>
      <w:pBdr/>
      <w:spacing w:after="0" w:afterAutospacing="0"/>
      <w:ind/>
    </w:pPr>
  </w:style>
  <w:style w:type="paragraph" w:styleId="628" w:default="1">
    <w:name w:val="Normal"/>
    <w:next w:val="628"/>
    <w:link w:val="628"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29">
    <w:name w:val="默认段落字体"/>
    <w:next w:val="629"/>
    <w:link w:val="628"/>
    <w:semiHidden/>
    <w:pPr>
      <w:pBdr/>
      <w:spacing/>
      <w:ind/>
    </w:pPr>
  </w:style>
  <w:style w:type="table" w:styleId="630">
    <w:name w:val="普通表格"/>
    <w:next w:val="630"/>
    <w:link w:val="628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>
    <w:name w:val="无列表"/>
    <w:next w:val="631"/>
    <w:link w:val="628"/>
    <w:semiHidden/>
    <w:pPr>
      <w:pBdr/>
      <w:spacing/>
      <w:ind/>
    </w:pPr>
  </w:style>
  <w:style w:type="paragraph" w:styleId="632">
    <w:name w:val="批注文字"/>
    <w:basedOn w:val="628"/>
    <w:next w:val="632"/>
    <w:link w:val="628"/>
    <w:semiHidden/>
    <w:pPr>
      <w:pBdr/>
      <w:spacing/>
      <w:ind/>
      <w:jc w:val="left"/>
    </w:pPr>
  </w:style>
  <w:style w:type="character" w:styleId="633">
    <w:name w:val="批注引用"/>
    <w:basedOn w:val="629"/>
    <w:next w:val="633"/>
    <w:link w:val="628"/>
    <w:semiHidden/>
    <w:pPr>
      <w:pBdr/>
      <w:spacing/>
      <w:ind/>
    </w:pPr>
    <w:rPr>
      <w:sz w:val="21"/>
      <w:szCs w:val="21"/>
    </w:rPr>
  </w:style>
  <w:style w:type="paragraph" w:styleId="634">
    <w:name w:val="批注框文本"/>
    <w:basedOn w:val="628"/>
    <w:next w:val="634"/>
    <w:link w:val="628"/>
    <w:semiHidden/>
    <w:pPr>
      <w:pBdr/>
      <w:spacing/>
      <w:ind/>
    </w:pPr>
    <w:rPr>
      <w:sz w:val="18"/>
      <w:szCs w:val="18"/>
    </w:rPr>
  </w:style>
  <w:style w:type="paragraph" w:styleId="635">
    <w:name w:val="批注主题"/>
    <w:basedOn w:val="632"/>
    <w:next w:val="632"/>
    <w:link w:val="628"/>
    <w:semiHidden/>
    <w:pPr>
      <w:pBdr/>
      <w:spacing/>
      <w:ind/>
    </w:pPr>
    <w:rPr>
      <w:b/>
      <w:bCs/>
    </w:rPr>
  </w:style>
  <w:style w:type="paragraph" w:styleId="636">
    <w:name w:val="页眉"/>
    <w:basedOn w:val="628"/>
    <w:next w:val="636"/>
    <w:link w:val="628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37">
    <w:name w:val="页脚"/>
    <w:basedOn w:val="628"/>
    <w:next w:val="637"/>
    <w:link w:val="628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38">
    <w:name w:val="正文文本缩进"/>
    <w:basedOn w:val="628"/>
    <w:next w:val="638"/>
    <w:link w:val="628"/>
    <w:pPr>
      <w:pBdr/>
      <w:spacing/>
      <w:ind w:firstLine="640"/>
    </w:pPr>
    <w:rPr>
      <w:rFonts w:ascii="仿宋_GB2312" w:eastAsia="仿宋_GB2312"/>
      <w:sz w:val="32"/>
      <w:szCs w:val="20"/>
    </w:rPr>
  </w:style>
  <w:style w:type="character" w:styleId="900" w:default="1">
    <w:name w:val="Default Paragraph Font"/>
    <w:uiPriority w:val="1"/>
    <w:semiHidden/>
    <w:unhideWhenUsed/>
    <w:pPr>
      <w:pBdr/>
      <w:spacing/>
      <w:ind/>
    </w:p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table" w:styleId="90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玉财预〔2008〕9号</dc:title>
  <dc:creator>jzd</dc:creator>
  <cp:lastModifiedBy>匿名</cp:lastModifiedBy>
  <cp:revision>7</cp:revision>
  <dcterms:created xsi:type="dcterms:W3CDTF">2015-03-02T07:58:00Z</dcterms:created>
  <dcterms:modified xsi:type="dcterms:W3CDTF">2024-07-15T08:03:28Z</dcterms:modified>
  <cp:version>727256</cp:version>
</cp:coreProperties>
</file>