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黑体_GBK" w:hAnsi="方正黑体_GBK" w:eastAsia="方正黑体_GBK" w:cs="方正黑体_GBK"/>
          <w:b w:val="0"/>
          <w:bCs/>
          <w:iCs/>
          <w:sz w:val="32"/>
          <w:szCs w:val="32"/>
          <w:lang w:eastAsia="zh-CN"/>
        </w:rPr>
      </w:pPr>
      <w:bookmarkStart w:id="0" w:name="_Toc19780"/>
      <w:bookmarkStart w:id="1" w:name="_Toc9050"/>
      <w:bookmarkStart w:id="2" w:name="_Toc8918"/>
      <w:bookmarkStart w:id="3" w:name="_Toc6650"/>
      <w:bookmarkStart w:id="4" w:name="_Toc23480"/>
      <w:bookmarkStart w:id="5" w:name="_Toc30687"/>
      <w:bookmarkStart w:id="6" w:name="_Toc32606"/>
      <w:bookmarkStart w:id="7" w:name="_Toc14618"/>
      <w:bookmarkStart w:id="8" w:name="_Toc17203"/>
      <w:bookmarkStart w:id="9" w:name="_Toc13489"/>
      <w:bookmarkStart w:id="10" w:name="_Toc4392"/>
      <w:bookmarkStart w:id="11" w:name="_Toc2881"/>
      <w:bookmarkStart w:id="12" w:name="_Toc22211"/>
      <w:bookmarkStart w:id="13" w:name="_Toc22904"/>
      <w:bookmarkStart w:id="14" w:name="_Toc728"/>
      <w:bookmarkStart w:id="15" w:name="_Toc19674"/>
      <w:r>
        <w:rPr>
          <w:rFonts w:hint="eastAsia" w:ascii="方正黑体_GBK" w:hAnsi="方正黑体_GBK" w:eastAsia="方正黑体_GBK" w:cs="方正黑体_GBK"/>
          <w:b w:val="0"/>
          <w:bCs/>
          <w:iCs/>
          <w:sz w:val="32"/>
          <w:szCs w:val="32"/>
          <w:lang w:eastAsia="zh-CN"/>
        </w:rPr>
        <w:t>附件</w:t>
      </w:r>
    </w:p>
    <w:p>
      <w:pPr>
        <w:pStyle w:val="2"/>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before="99"/>
        <w:ind w:right="67" w:firstLine="0" w:firstLineChars="0"/>
        <w:jc w:val="center"/>
        <w:outlineLvl w:val="0"/>
        <w:rPr>
          <w:rFonts w:hint="default" w:ascii="Times New Roman" w:hAnsi="Times New Roman" w:eastAsia="方正小标宋_GBK" w:cs="Times New Roman"/>
          <w:b/>
          <w:iCs/>
          <w:sz w:val="52"/>
          <w:szCs w:val="28"/>
        </w:rPr>
      </w:pPr>
      <w:bookmarkStart w:id="16" w:name="_Toc11335"/>
      <w:bookmarkStart w:id="17" w:name="_Toc2082"/>
    </w:p>
    <w:p>
      <w:pPr>
        <w:keepNext w:val="0"/>
        <w:keepLines w:val="0"/>
        <w:pageBreakBefore w:val="0"/>
        <w:widowControl w:val="0"/>
        <w:kinsoku/>
        <w:wordWrap/>
        <w:overflowPunct/>
        <w:topLinePunct w:val="0"/>
        <w:bidi w:val="0"/>
        <w:adjustRightInd/>
        <w:snapToGrid/>
        <w:spacing w:before="99"/>
        <w:ind w:right="67" w:firstLine="0" w:firstLineChars="0"/>
        <w:jc w:val="center"/>
        <w:outlineLvl w:val="0"/>
        <w:rPr>
          <w:rFonts w:hint="default" w:ascii="Times New Roman" w:hAnsi="Times New Roman" w:eastAsia="方正小标宋_GBK" w:cs="Times New Roman"/>
          <w:b/>
          <w:iCs/>
          <w:sz w:val="52"/>
          <w:szCs w:val="28"/>
        </w:rPr>
      </w:pPr>
    </w:p>
    <w:p>
      <w:pPr>
        <w:keepNext w:val="0"/>
        <w:keepLines w:val="0"/>
        <w:pageBreakBefore w:val="0"/>
        <w:widowControl w:val="0"/>
        <w:kinsoku/>
        <w:wordWrap/>
        <w:overflowPunct/>
        <w:topLinePunct w:val="0"/>
        <w:bidi w:val="0"/>
        <w:adjustRightInd/>
        <w:snapToGrid/>
        <w:spacing w:before="99"/>
        <w:ind w:right="67" w:firstLine="0" w:firstLineChars="0"/>
        <w:jc w:val="center"/>
        <w:outlineLvl w:val="0"/>
        <w:rPr>
          <w:rFonts w:hint="default" w:ascii="Times New Roman" w:hAnsi="Times New Roman" w:cs="Times New Roman"/>
        </w:rPr>
      </w:pPr>
      <w:r>
        <w:rPr>
          <w:rFonts w:hint="default" w:ascii="Times New Roman" w:hAnsi="Times New Roman" w:eastAsia="方正小标宋_GBK" w:cs="Times New Roman"/>
          <w:b/>
          <w:iCs/>
          <w:sz w:val="52"/>
          <w:szCs w:val="28"/>
        </w:rPr>
        <w:t>易门</w:t>
      </w:r>
      <w:r>
        <w:rPr>
          <w:rFonts w:hint="eastAsia" w:ascii="方正小标宋_GBK" w:hAnsi="方正小标宋_GBK" w:eastAsia="方正小标宋_GBK" w:cs="方正小标宋_GBK"/>
          <w:b/>
          <w:iCs/>
          <w:sz w:val="52"/>
          <w:szCs w:val="28"/>
        </w:rPr>
        <w:t>县“十四五”</w:t>
      </w:r>
      <w:r>
        <w:rPr>
          <w:rFonts w:hint="default" w:ascii="Times New Roman" w:hAnsi="Times New Roman" w:eastAsia="方正小标宋_GBK" w:cs="Times New Roman"/>
          <w:b/>
          <w:iCs/>
          <w:sz w:val="52"/>
          <w:szCs w:val="28"/>
        </w:rPr>
        <w:t>区域合作发展规划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pStyle w:val="19"/>
        <w:keepNext w:val="0"/>
        <w:keepLines w:val="0"/>
        <w:pageBreakBefore w:val="0"/>
        <w:widowControl w:val="0"/>
        <w:kinsoku/>
        <w:wordWrap/>
        <w:overflowPunct/>
        <w:topLinePunct w:val="0"/>
        <w:autoSpaceDE/>
        <w:autoSpaceDN/>
        <w:bidi w:val="0"/>
        <w:adjustRightInd/>
        <w:snapToGrid/>
        <w:spacing w:line="240" w:lineRule="auto"/>
        <w:ind w:firstLine="31680"/>
        <w:jc w:val="center"/>
        <w:textAlignment w:val="auto"/>
        <w:rPr>
          <w:rFonts w:hint="default" w:ascii="Times New Roman" w:hAnsi="Times New Roman" w:eastAsia="方正小标宋_GBK" w:cs="Times New Roman"/>
          <w:sz w:val="44"/>
          <w:szCs w:val="44"/>
          <w:lang w:eastAsia="zh-CN"/>
        </w:rPr>
      </w:pPr>
    </w:p>
    <w:p>
      <w:pPr>
        <w:pStyle w:val="19"/>
        <w:keepNext w:val="0"/>
        <w:keepLines w:val="0"/>
        <w:pageBreakBefore w:val="0"/>
        <w:widowControl w:val="0"/>
        <w:kinsoku/>
        <w:wordWrap/>
        <w:overflowPunct/>
        <w:topLinePunct w:val="0"/>
        <w:autoSpaceDE/>
        <w:autoSpaceDN/>
        <w:bidi w:val="0"/>
        <w:adjustRightInd/>
        <w:snapToGrid/>
        <w:spacing w:line="240" w:lineRule="auto"/>
        <w:ind w:firstLine="31680"/>
        <w:jc w:val="center"/>
        <w:textAlignment w:val="auto"/>
        <w:rPr>
          <w:rFonts w:hint="default" w:ascii="Times New Roman" w:hAnsi="Times New Roman" w:eastAsia="方正小标宋_GBK" w:cs="Times New Roman"/>
          <w:sz w:val="44"/>
          <w:szCs w:val="44"/>
          <w:lang w:eastAsia="zh-CN"/>
        </w:rPr>
      </w:pPr>
    </w:p>
    <w:p>
      <w:pPr>
        <w:pStyle w:val="7"/>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58"/>
        </w:rPr>
      </w:pPr>
    </w:p>
    <w:p>
      <w:pPr>
        <w:pStyle w:val="10"/>
        <w:keepNext w:val="0"/>
        <w:keepLines w:val="0"/>
        <w:pageBreakBefore w:val="0"/>
        <w:widowControl w:val="0"/>
        <w:kinsoku/>
        <w:wordWrap/>
        <w:overflowPunct/>
        <w:topLinePunct w:val="0"/>
        <w:bidi w:val="0"/>
        <w:adjustRightInd/>
        <w:snapToGrid/>
        <w:ind w:left="31680" w:firstLine="31680"/>
        <w:rPr>
          <w:rFonts w:hint="default" w:ascii="Times New Roman" w:hAnsi="Times New Roman" w:cs="Times New Roman"/>
        </w:rPr>
      </w:pPr>
    </w:p>
    <w:p>
      <w:pPr>
        <w:pStyle w:val="7"/>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58"/>
        </w:rPr>
      </w:pPr>
    </w:p>
    <w:p>
      <w:pPr>
        <w:pStyle w:val="7"/>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58"/>
        </w:rPr>
      </w:pPr>
    </w:p>
    <w:p>
      <w:pPr>
        <w:pStyle w:val="7"/>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44"/>
          <w:szCs w:val="18"/>
        </w:rPr>
      </w:pPr>
    </w:p>
    <w:p>
      <w:pPr>
        <w:pStyle w:val="10"/>
        <w:keepNext w:val="0"/>
        <w:keepLines w:val="0"/>
        <w:pageBreakBefore w:val="0"/>
        <w:widowControl w:val="0"/>
        <w:kinsoku/>
        <w:wordWrap/>
        <w:overflowPunct/>
        <w:topLinePunct w:val="0"/>
        <w:bidi w:val="0"/>
        <w:adjustRightInd/>
        <w:snapToGrid/>
        <w:ind w:left="0" w:leftChars="0" w:firstLine="0" w:firstLineChars="0"/>
        <w:rPr>
          <w:rFonts w:hint="default" w:ascii="Times New Roman" w:hAnsi="Times New Roman" w:cs="Times New Roman"/>
          <w:b/>
          <w:i/>
          <w:sz w:val="48"/>
          <w:szCs w:val="20"/>
        </w:rPr>
      </w:pPr>
    </w:p>
    <w:p>
      <w:pPr>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48"/>
          <w:szCs w:val="20"/>
        </w:rPr>
      </w:pPr>
    </w:p>
    <w:p>
      <w:pPr>
        <w:pStyle w:val="41"/>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b/>
          <w:i/>
          <w:sz w:val="48"/>
          <w:szCs w:val="20"/>
        </w:rPr>
      </w:pPr>
    </w:p>
    <w:p>
      <w:pPr>
        <w:pStyle w:val="41"/>
        <w:keepNext w:val="0"/>
        <w:keepLines w:val="0"/>
        <w:pageBreakBefore w:val="0"/>
        <w:widowControl w:val="0"/>
        <w:kinsoku/>
        <w:wordWrap/>
        <w:overflowPunct/>
        <w:topLinePunct w:val="0"/>
        <w:bidi w:val="0"/>
        <w:adjustRightInd/>
        <w:snapToGrid/>
        <w:ind w:firstLine="0" w:firstLineChars="0"/>
        <w:rPr>
          <w:rFonts w:hint="default" w:ascii="Times New Roman" w:hAnsi="Times New Roman" w:cs="Times New Roman"/>
          <w:b/>
          <w:i/>
          <w:sz w:val="48"/>
          <w:szCs w:val="20"/>
        </w:rPr>
      </w:pPr>
    </w:p>
    <w:p>
      <w:pPr>
        <w:pStyle w:val="7"/>
        <w:keepNext w:val="0"/>
        <w:keepLines w:val="0"/>
        <w:pageBreakBefore w:val="0"/>
        <w:widowControl w:val="0"/>
        <w:kinsoku/>
        <w:wordWrap/>
        <w:overflowPunct/>
        <w:topLinePunct w:val="0"/>
        <w:bidi w:val="0"/>
        <w:adjustRightInd/>
        <w:snapToGrid/>
        <w:ind w:firstLine="0" w:firstLineChars="0"/>
        <w:rPr>
          <w:rFonts w:hint="default" w:ascii="Times New Roman" w:hAnsi="Times New Roman" w:cs="Times New Roman"/>
          <w:bCs/>
          <w:i/>
          <w:sz w:val="36"/>
          <w:szCs w:val="15"/>
        </w:rPr>
      </w:pPr>
    </w:p>
    <w:p>
      <w:pPr>
        <w:pStyle w:val="8"/>
        <w:keepNext w:val="0"/>
        <w:keepLines w:val="0"/>
        <w:pageBreakBefore w:val="0"/>
        <w:widowControl w:val="0"/>
        <w:kinsoku/>
        <w:wordWrap/>
        <w:overflowPunct/>
        <w:topLinePunct w:val="0"/>
        <w:bidi w:val="0"/>
        <w:adjustRightInd/>
        <w:snapToGrid/>
        <w:rPr>
          <w:rFonts w:hint="default" w:ascii="Times New Roman" w:hAnsi="Times New Roman" w:cs="Times New Roman"/>
        </w:rPr>
      </w:pPr>
    </w:p>
    <w:p>
      <w:pPr>
        <w:pStyle w:val="19"/>
        <w:keepNext w:val="0"/>
        <w:keepLines w:val="0"/>
        <w:pageBreakBefore w:val="0"/>
        <w:widowControl w:val="0"/>
        <w:kinsoku/>
        <w:wordWrap/>
        <w:overflowPunct/>
        <w:topLinePunct w:val="0"/>
        <w:bidi w:val="0"/>
        <w:adjustRightInd/>
        <w:snapToGrid/>
        <w:ind w:firstLine="0" w:firstLineChars="0"/>
        <w:rPr>
          <w:rFonts w:hint="default" w:ascii="Times New Roman" w:hAnsi="Times New Roman" w:cs="Times New Roman"/>
          <w:sz w:val="32"/>
          <w:szCs w:val="32"/>
        </w:rPr>
      </w:pPr>
    </w:p>
    <w:p>
      <w:pPr>
        <w:keepNext w:val="0"/>
        <w:keepLines w:val="0"/>
        <w:pageBreakBefore w:val="0"/>
        <w:widowControl w:val="0"/>
        <w:kinsoku/>
        <w:wordWrap/>
        <w:overflowPunct/>
        <w:topLinePunct w:val="0"/>
        <w:bidi w:val="0"/>
        <w:adjustRightInd/>
        <w:snapToGrid/>
        <w:spacing w:line="560" w:lineRule="exact"/>
        <w:ind w:firstLine="0" w:firstLineChars="0"/>
        <w:jc w:val="center"/>
        <w:rPr>
          <w:rFonts w:hint="default" w:ascii="Times New Roman" w:hAnsi="Times New Roman" w:eastAsia="方正小标宋_GBK" w:cs="Times New Roman"/>
          <w:sz w:val="36"/>
          <w:szCs w:val="36"/>
        </w:rPr>
      </w:pPr>
      <w:bookmarkStart w:id="18" w:name="_Toc2470"/>
      <w:bookmarkStart w:id="19" w:name="_Toc15381"/>
      <w:r>
        <w:rPr>
          <w:rFonts w:hint="default" w:ascii="Times New Roman" w:hAnsi="Times New Roman" w:eastAsia="方正小标宋_GBK" w:cs="Times New Roman"/>
          <w:sz w:val="36"/>
          <w:szCs w:val="36"/>
        </w:rPr>
        <w:t>易门县投资促进局</w:t>
      </w:r>
    </w:p>
    <w:p>
      <w:pPr>
        <w:keepNext w:val="0"/>
        <w:keepLines w:val="0"/>
        <w:pageBreakBefore w:val="0"/>
        <w:widowControl w:val="0"/>
        <w:kinsoku/>
        <w:wordWrap/>
        <w:overflowPunct/>
        <w:topLinePunct w:val="0"/>
        <w:bidi w:val="0"/>
        <w:adjustRightInd/>
        <w:snapToGrid/>
        <w:spacing w:line="560" w:lineRule="exact"/>
        <w:ind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2</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val="en-US" w:eastAsia="zh-CN"/>
        </w:rPr>
        <w:t>6</w:t>
      </w:r>
      <w:r>
        <w:rPr>
          <w:rFonts w:hint="default" w:ascii="Times New Roman" w:hAnsi="Times New Roman" w:eastAsia="方正小标宋_GBK" w:cs="Times New Roman"/>
          <w:sz w:val="36"/>
          <w:szCs w:val="36"/>
        </w:rPr>
        <w:t>月</w:t>
      </w:r>
      <w:bookmarkEnd w:id="18"/>
      <w:bookmarkEnd w:id="19"/>
    </w:p>
    <w:p>
      <w:pPr>
        <w:pStyle w:val="19"/>
        <w:keepNext w:val="0"/>
        <w:keepLines w:val="0"/>
        <w:pageBreakBefore w:val="0"/>
        <w:widowControl w:val="0"/>
        <w:kinsoku/>
        <w:wordWrap/>
        <w:overflowPunct/>
        <w:topLinePunct w:val="0"/>
        <w:bidi w:val="0"/>
        <w:adjustRightInd/>
        <w:snapToGrid/>
        <w:rPr>
          <w:rFonts w:hint="default" w:ascii="Times New Roman" w:hAnsi="Times New Roman" w:cs="Times New Roman"/>
        </w:rPr>
        <w:sectPr>
          <w:footerReference r:id="rId5" w:type="default"/>
          <w:type w:val="continuous"/>
          <w:pgSz w:w="11911" w:h="16838"/>
          <w:pgMar w:top="1814" w:right="1531" w:bottom="1814" w:left="1531" w:header="0" w:footer="1202" w:gutter="0"/>
          <w:pgNumType w:fmt="decimal"/>
          <w:cols w:space="0" w:num="1"/>
          <w:rtlGutter w:val="0"/>
          <w:docGrid w:linePitch="312" w:charSpace="0"/>
        </w:sectPr>
      </w:pPr>
    </w:p>
    <w:p>
      <w:pPr>
        <w:keepNext w:val="0"/>
        <w:keepLines w:val="0"/>
        <w:pageBreakBefore w:val="0"/>
        <w:widowControl w:val="0"/>
        <w:kinsoku/>
        <w:wordWrap/>
        <w:overflowPunct/>
        <w:topLinePunct w:val="0"/>
        <w:bidi w:val="0"/>
        <w:adjustRightInd/>
        <w:snapToGrid/>
        <w:spacing w:beforeLines="100" w:afterLines="100" w:line="240" w:lineRule="auto"/>
        <w:ind w:firstLine="0" w:firstLineChars="0"/>
        <w:jc w:val="center"/>
        <w:rPr>
          <w:rFonts w:hint="default" w:ascii="Times New Roman" w:hAnsi="Times New Roman" w:eastAsia="黑体" w:cs="Times New Roman"/>
          <w:b/>
          <w:bCs/>
          <w:szCs w:val="40"/>
        </w:rPr>
      </w:pPr>
      <w:r>
        <w:rPr>
          <w:rFonts w:hint="default" w:ascii="Times New Roman" w:hAnsi="Times New Roman" w:eastAsia="黑体" w:cs="Times New Roman"/>
          <w:b/>
          <w:bCs/>
          <w:szCs w:val="40"/>
        </w:rPr>
        <w:t>目  录</w:t>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rPr>
      </w:pPr>
      <w:r>
        <w:rPr>
          <w:rFonts w:hint="default" w:ascii="Times New Roman" w:hAnsi="Times New Roman" w:cs="Times New Roman"/>
          <w:szCs w:val="32"/>
        </w:rPr>
        <w:fldChar w:fldCharType="begin"/>
      </w:r>
      <w:r>
        <w:rPr>
          <w:rFonts w:hint="default" w:ascii="Times New Roman" w:hAnsi="Times New Roman" w:cs="Times New Roman"/>
          <w:szCs w:val="32"/>
        </w:rPr>
        <w:instrText xml:space="preserve">TOC \o "1-2" \h \u </w:instrText>
      </w:r>
      <w:r>
        <w:rPr>
          <w:rFonts w:hint="default" w:ascii="Times New Roman" w:hAnsi="Times New Roman" w:cs="Times New Roman"/>
          <w:szCs w:val="32"/>
        </w:rPr>
        <w:fldChar w:fldCharType="separate"/>
      </w: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_Toc25853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rPr>
        <w:t>前  言</w:t>
      </w:r>
      <w:r>
        <w:rPr>
          <w:rFonts w:hint="default" w:ascii="Times New Roman" w:hAnsi="Times New Roman" w:eastAsia="方正黑体_GBK" w:cs="Times New Roman"/>
        </w:rPr>
        <w:tab/>
      </w: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PAGEREF _Toc25853 \h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1</w:t>
      </w:r>
      <w:r>
        <w:rPr>
          <w:rFonts w:hint="default" w:ascii="Times New Roman" w:hAnsi="Times New Roman" w:eastAsia="方正黑体_GBK" w:cs="Times New Roman"/>
        </w:rPr>
        <w:fldChar w:fldCharType="end"/>
      </w:r>
      <w:r>
        <w:rPr>
          <w:rFonts w:hint="default" w:ascii="Times New Roman" w:hAnsi="Times New Roman" w:eastAsia="方正黑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_Toc5237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rPr>
        <w:t>一、现状基础</w:t>
      </w:r>
      <w:r>
        <w:rPr>
          <w:rFonts w:hint="default" w:ascii="Times New Roman" w:hAnsi="Times New Roman" w:eastAsia="方正黑体_GBK" w:cs="Times New Roman"/>
        </w:rPr>
        <w:tab/>
      </w: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PAGEREF _Toc5237 \h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2</w:t>
      </w:r>
      <w:r>
        <w:rPr>
          <w:rFonts w:hint="default" w:ascii="Times New Roman" w:hAnsi="Times New Roman" w:eastAsia="方正黑体_GBK" w:cs="Times New Roman"/>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_Toc23540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（一）易门概况</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_Toc23540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_Toc7095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（二）合作基础</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_Toc7095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_Toc4573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（三）</w:t>
      </w:r>
      <w:r>
        <w:rPr>
          <w:rFonts w:hint="default" w:ascii="Times New Roman" w:hAnsi="Times New Roman" w:eastAsia="方正楷体_GBK" w:cs="Times New Roman"/>
          <w:szCs w:val="32"/>
          <w:lang w:val="en-US" w:eastAsia="zh-CN"/>
        </w:rPr>
        <w:t>合作</w:t>
      </w:r>
      <w:r>
        <w:rPr>
          <w:rFonts w:hint="default" w:ascii="Times New Roman" w:hAnsi="Times New Roman" w:eastAsia="方正楷体_GBK" w:cs="Times New Roman"/>
          <w:szCs w:val="32"/>
          <w:lang w:val="en-US"/>
        </w:rPr>
        <w:t>成效</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_Toc4573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6</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_Toc26253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（四）存在问题</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_Toc26253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8</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_Toc31941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rPr>
        <w:t>二、发展形势</w:t>
      </w:r>
      <w:r>
        <w:rPr>
          <w:rFonts w:hint="default" w:ascii="Times New Roman" w:hAnsi="Times New Roman" w:eastAsia="方正黑体_GBK" w:cs="Times New Roman"/>
        </w:rPr>
        <w:tab/>
      </w:r>
      <w:r>
        <w:rPr>
          <w:rFonts w:hint="default" w:ascii="Times New Roman" w:hAnsi="Times New Roman" w:eastAsia="方正黑体_GBK" w:cs="Times New Roman"/>
        </w:rPr>
        <w:fldChar w:fldCharType="begin"/>
      </w:r>
      <w:r>
        <w:rPr>
          <w:rFonts w:hint="default" w:ascii="Times New Roman" w:hAnsi="Times New Roman" w:eastAsia="方正黑体_GBK" w:cs="Times New Roman"/>
        </w:rPr>
        <w:instrText xml:space="preserve"> PAGEREF _Toc31941 \h </w:instrText>
      </w:r>
      <w:r>
        <w:rPr>
          <w:rFonts w:hint="default" w:ascii="Times New Roman" w:hAnsi="Times New Roman" w:eastAsia="方正黑体_GBK" w:cs="Times New Roman"/>
        </w:rPr>
        <w:fldChar w:fldCharType="separate"/>
      </w:r>
      <w:r>
        <w:rPr>
          <w:rFonts w:hint="default" w:ascii="Times New Roman" w:hAnsi="Times New Roman" w:eastAsia="方正黑体_GBK" w:cs="Times New Roman"/>
        </w:rPr>
        <w:t>8</w:t>
      </w:r>
      <w:r>
        <w:rPr>
          <w:rFonts w:hint="default" w:ascii="Times New Roman" w:hAnsi="Times New Roman" w:eastAsia="方正黑体_GBK" w:cs="Times New Roman"/>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_Toc4150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（一）重大机遇</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_Toc4150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8</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_Toc23243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（二）潜在挑战</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_Toc23243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11</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_Toc5828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（三）周边形势</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_Toc5828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12</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_Toc20574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（四）路径</w:t>
      </w:r>
      <w:r>
        <w:rPr>
          <w:rFonts w:hint="default" w:ascii="Times New Roman" w:hAnsi="Times New Roman" w:eastAsia="方正楷体_GBK" w:cs="Times New Roman"/>
          <w:szCs w:val="32"/>
          <w:lang w:eastAsia="zh-CN"/>
        </w:rPr>
        <w:t>选择</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_Toc20574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15</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_Toc22766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三、总体思路</w:t>
      </w:r>
      <w:r>
        <w:rPr>
          <w:rFonts w:hint="default" w:ascii="Times New Roman" w:hAnsi="Times New Roman" w:eastAsia="方正黑体_GBK" w:cs="Times New Roman"/>
          <w:szCs w:val="32"/>
        </w:rPr>
        <w:tab/>
      </w: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PAGEREF _Toc22766 \h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16</w:t>
      </w:r>
      <w:r>
        <w:rPr>
          <w:rFonts w:hint="default" w:ascii="Times New Roman" w:hAnsi="Times New Roman" w:eastAsia="方正黑体_GBK" w:cs="Times New Roman"/>
          <w:szCs w:val="32"/>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_Toc25946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（一）指导思想</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_Toc25946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16</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_Toc15152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（二）基本原则</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_Toc15152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17</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_Toc16397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（三）</w:t>
      </w:r>
      <w:r>
        <w:rPr>
          <w:rFonts w:hint="default" w:ascii="Times New Roman" w:hAnsi="Times New Roman" w:eastAsia="方正楷体_GBK" w:cs="Times New Roman"/>
          <w:szCs w:val="32"/>
          <w:lang w:eastAsia="zh-CN"/>
        </w:rPr>
        <w:t>发展</w:t>
      </w:r>
      <w:r>
        <w:rPr>
          <w:rFonts w:hint="default" w:ascii="Times New Roman" w:hAnsi="Times New Roman" w:eastAsia="方正楷体_GBK" w:cs="Times New Roman"/>
          <w:szCs w:val="32"/>
        </w:rPr>
        <w:t>定位</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_Toc16397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18</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_Toc30530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（四）发展目标</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_Toc30530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19</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_Toc13682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四、</w:t>
      </w:r>
      <w:r>
        <w:rPr>
          <w:rFonts w:hint="default" w:ascii="Times New Roman" w:hAnsi="Times New Roman" w:eastAsia="方正黑体_GBK" w:cs="Times New Roman"/>
          <w:szCs w:val="32"/>
          <w:lang w:eastAsia="zh-CN"/>
        </w:rPr>
        <w:t>重点任务</w:t>
      </w:r>
      <w:r>
        <w:rPr>
          <w:rFonts w:hint="default" w:ascii="Times New Roman" w:hAnsi="Times New Roman" w:eastAsia="方正黑体_GBK" w:cs="Times New Roman"/>
          <w:szCs w:val="32"/>
        </w:rPr>
        <w:tab/>
      </w: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PAGEREF _Toc13682 \h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20</w:t>
      </w:r>
      <w:r>
        <w:rPr>
          <w:rFonts w:hint="default" w:ascii="Times New Roman" w:hAnsi="Times New Roman" w:eastAsia="方正黑体_GBK" w:cs="Times New Roman"/>
          <w:szCs w:val="32"/>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_Toc28650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（一）合理布局和优化</w:t>
      </w:r>
      <w:r>
        <w:rPr>
          <w:rFonts w:hint="default" w:ascii="Times New Roman" w:hAnsi="Times New Roman" w:eastAsia="方正楷体_GBK" w:cs="Times New Roman"/>
          <w:szCs w:val="32"/>
          <w:lang w:val="en-US" w:eastAsia="zh-CN"/>
        </w:rPr>
        <w:t>区域合作</w:t>
      </w:r>
      <w:r>
        <w:rPr>
          <w:rFonts w:hint="default" w:ascii="Times New Roman" w:hAnsi="Times New Roman" w:eastAsia="方正楷体_GBK" w:cs="Times New Roman"/>
          <w:szCs w:val="32"/>
          <w:lang w:val="en-US"/>
        </w:rPr>
        <w:t>空间</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_Toc28650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20</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_Toc16410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（二）</w:t>
      </w:r>
      <w:r>
        <w:rPr>
          <w:rFonts w:hint="default" w:ascii="Times New Roman" w:hAnsi="Times New Roman" w:eastAsia="方正楷体_GBK" w:cs="Times New Roman"/>
          <w:szCs w:val="32"/>
          <w:lang w:val="en-US" w:eastAsia="zh-CN"/>
        </w:rPr>
        <w:t>尽快</w:t>
      </w:r>
      <w:r>
        <w:rPr>
          <w:rFonts w:hint="default" w:ascii="Times New Roman" w:hAnsi="Times New Roman" w:eastAsia="方正楷体_GBK" w:cs="Times New Roman"/>
          <w:szCs w:val="32"/>
          <w:lang w:val="en-US"/>
        </w:rPr>
        <w:t>提升基础设施的支撑保障</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_Toc16410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21</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_Toc29874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（三）推动高原特色</w:t>
      </w:r>
      <w:r>
        <w:rPr>
          <w:rFonts w:hint="default" w:ascii="Times New Roman" w:hAnsi="Times New Roman" w:eastAsia="方正楷体_GBK" w:cs="Times New Roman"/>
          <w:szCs w:val="32"/>
          <w:lang w:val="en-US" w:eastAsia="zh-CN"/>
        </w:rPr>
        <w:t>现代</w:t>
      </w:r>
      <w:r>
        <w:rPr>
          <w:rFonts w:hint="default" w:ascii="Times New Roman" w:hAnsi="Times New Roman" w:eastAsia="方正楷体_GBK" w:cs="Times New Roman"/>
          <w:szCs w:val="32"/>
          <w:lang w:val="en-US"/>
        </w:rPr>
        <w:t>农业发展</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_Toc29874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22</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_Toc15267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（四）推进有色金属产业链条延伸</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_Toc15267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25</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_Toc31761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（五）高质量发展绿色建材业</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_Toc31761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26</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_Toc28850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（六）大力推进</w:t>
      </w:r>
      <w:r>
        <w:rPr>
          <w:rFonts w:hint="default" w:ascii="Times New Roman" w:hAnsi="Times New Roman" w:eastAsia="方正楷体_GBK" w:cs="Times New Roman"/>
          <w:szCs w:val="32"/>
          <w:lang w:val="en-US"/>
        </w:rPr>
        <w:t>文化旅游服务业</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_Toc28850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27</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_Toc20479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（七）积极打造生物医药产业集群</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_Toc20479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29</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_Toc7610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（八）全面壮大现代物流产业</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_Toc7610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31</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_Toc18450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（九）促进建筑及房地产业健康发展</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_Toc18450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32</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_Toc19236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eastAsia="zh-CN"/>
        </w:rPr>
        <w:t>（十）积极培育新能源产业</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_Toc19236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34</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_Toc17808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五、机制创新</w:t>
      </w:r>
      <w:r>
        <w:rPr>
          <w:rFonts w:hint="default" w:ascii="Times New Roman" w:hAnsi="Times New Roman" w:eastAsia="方正黑体_GBK" w:cs="Times New Roman"/>
          <w:szCs w:val="32"/>
        </w:rPr>
        <w:tab/>
      </w: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PAGEREF _Toc17808 \h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35</w:t>
      </w:r>
      <w:r>
        <w:rPr>
          <w:rFonts w:hint="default" w:ascii="Times New Roman" w:hAnsi="Times New Roman" w:eastAsia="方正黑体_GBK" w:cs="Times New Roman"/>
          <w:szCs w:val="32"/>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_Toc28050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（一）打造昆玉同城化招商合作平台</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_Toc28050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35</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_Toc2342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（二）发挥现有合作平台的功能和作用</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_Toc2342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35</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_Toc12112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（三）突出</w:t>
      </w:r>
      <w:r>
        <w:rPr>
          <w:rFonts w:hint="default" w:ascii="Times New Roman" w:hAnsi="Times New Roman" w:eastAsia="方正楷体_GBK" w:cs="Times New Roman"/>
          <w:szCs w:val="32"/>
          <w:lang w:val="en-US" w:eastAsia="zh-CN"/>
        </w:rPr>
        <w:t>各类</w:t>
      </w:r>
      <w:r>
        <w:rPr>
          <w:rFonts w:hint="default" w:ascii="Times New Roman" w:hAnsi="Times New Roman" w:eastAsia="方正楷体_GBK" w:cs="Times New Roman"/>
          <w:szCs w:val="32"/>
          <w:lang w:val="en-US"/>
        </w:rPr>
        <w:t>合作主体的</w:t>
      </w:r>
      <w:r>
        <w:rPr>
          <w:rFonts w:hint="default" w:ascii="Times New Roman" w:hAnsi="Times New Roman" w:eastAsia="方正楷体_GBK" w:cs="Times New Roman"/>
          <w:szCs w:val="32"/>
          <w:lang w:val="en-US" w:eastAsia="zh-CN"/>
        </w:rPr>
        <w:t>桥梁和纽带</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_Toc12112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37</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szCs w:val="32"/>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_Toc30485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（四）开拓区域合作的新空间新领域</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_Toc30485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38</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_Toc16941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lang w:val="en-US"/>
        </w:rPr>
        <w:t>（五）建立区域合作多边协调机制</w:t>
      </w:r>
      <w:r>
        <w:rPr>
          <w:rFonts w:hint="default" w:ascii="Times New Roman" w:hAnsi="Times New Roman" w:eastAsia="方正楷体_GBK" w:cs="Times New Roman"/>
          <w:szCs w:val="32"/>
        </w:rPr>
        <w:tab/>
      </w: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PAGEREF _Toc16941 \h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szCs w:val="32"/>
        </w:rPr>
        <w:t>39</w:t>
      </w:r>
      <w:r>
        <w:rPr>
          <w:rFonts w:hint="default" w:ascii="Times New Roman" w:hAnsi="Times New Roman" w:eastAsia="方正楷体_GBK" w:cs="Times New Roman"/>
          <w:szCs w:val="32"/>
        </w:rPr>
        <w:fldChar w:fldCharType="end"/>
      </w:r>
      <w:r>
        <w:rPr>
          <w:rFonts w:hint="default" w:ascii="Times New Roman" w:hAnsi="Times New Roman" w:eastAsia="方正楷体_GBK" w:cs="Times New Roman"/>
          <w:szCs w:val="32"/>
        </w:rPr>
        <w:fldChar w:fldCharType="end"/>
      </w:r>
    </w:p>
    <w:p>
      <w:pPr>
        <w:pStyle w:val="15"/>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cs="Times New Roman"/>
        </w:rPr>
      </w:pP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HYPERLINK \l _Toc17948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六、保障措施</w:t>
      </w:r>
      <w:r>
        <w:rPr>
          <w:rFonts w:hint="default" w:ascii="Times New Roman" w:hAnsi="Times New Roman" w:eastAsia="方正黑体_GBK" w:cs="Times New Roman"/>
          <w:szCs w:val="32"/>
        </w:rPr>
        <w:tab/>
      </w:r>
      <w:r>
        <w:rPr>
          <w:rFonts w:hint="default" w:ascii="Times New Roman" w:hAnsi="Times New Roman" w:eastAsia="方正黑体_GBK" w:cs="Times New Roman"/>
          <w:szCs w:val="32"/>
        </w:rPr>
        <w:fldChar w:fldCharType="begin"/>
      </w:r>
      <w:r>
        <w:rPr>
          <w:rFonts w:hint="default" w:ascii="Times New Roman" w:hAnsi="Times New Roman" w:eastAsia="方正黑体_GBK" w:cs="Times New Roman"/>
          <w:szCs w:val="32"/>
        </w:rPr>
        <w:instrText xml:space="preserve"> PAGEREF _Toc17948 \h </w:instrText>
      </w:r>
      <w:r>
        <w:rPr>
          <w:rFonts w:hint="default" w:ascii="Times New Roman" w:hAnsi="Times New Roman" w:eastAsia="方正黑体_GBK" w:cs="Times New Roman"/>
          <w:szCs w:val="32"/>
        </w:rPr>
        <w:fldChar w:fldCharType="separate"/>
      </w:r>
      <w:r>
        <w:rPr>
          <w:rFonts w:hint="default" w:ascii="Times New Roman" w:hAnsi="Times New Roman" w:eastAsia="方正黑体_GBK" w:cs="Times New Roman"/>
          <w:szCs w:val="32"/>
        </w:rPr>
        <w:t>40</w:t>
      </w:r>
      <w:r>
        <w:rPr>
          <w:rFonts w:hint="default" w:ascii="Times New Roman" w:hAnsi="Times New Roman" w:eastAsia="方正黑体_GBK" w:cs="Times New Roman"/>
          <w:szCs w:val="32"/>
        </w:rPr>
        <w:fldChar w:fldCharType="end"/>
      </w:r>
      <w:r>
        <w:rPr>
          <w:rFonts w:hint="default" w:ascii="Times New Roman" w:hAnsi="Times New Roman" w:eastAsia="方正黑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_Toc25947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lang w:val="en-US"/>
        </w:rPr>
        <w:t>（一）</w:t>
      </w:r>
      <w:r>
        <w:rPr>
          <w:rFonts w:hint="default" w:ascii="Times New Roman" w:hAnsi="Times New Roman" w:eastAsia="方正楷体_GBK" w:cs="Times New Roman"/>
          <w:lang w:val="en-US" w:eastAsia="zh-CN"/>
        </w:rPr>
        <w:t>强化</w:t>
      </w:r>
      <w:r>
        <w:rPr>
          <w:rFonts w:hint="default" w:ascii="Times New Roman" w:hAnsi="Times New Roman" w:eastAsia="方正楷体_GBK" w:cs="Times New Roman"/>
          <w:lang w:val="en-US"/>
        </w:rPr>
        <w:t>组织领导</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_Toc25947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40</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_Toc13930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lang w:val="en-US"/>
        </w:rPr>
        <w:t>（二）实施精准招商</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_Toc13930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41</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_Toc26371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lang w:val="en-US"/>
        </w:rPr>
        <w:t>（三）</w:t>
      </w:r>
      <w:r>
        <w:rPr>
          <w:rFonts w:hint="default" w:ascii="Times New Roman" w:hAnsi="Times New Roman" w:eastAsia="方正楷体_GBK" w:cs="Times New Roman"/>
          <w:lang w:val="en-US" w:eastAsia="zh-CN"/>
        </w:rPr>
        <w:t>大力</w:t>
      </w:r>
      <w:r>
        <w:rPr>
          <w:rFonts w:hint="default" w:ascii="Times New Roman" w:hAnsi="Times New Roman" w:eastAsia="方正楷体_GBK" w:cs="Times New Roman"/>
          <w:lang w:val="en-US"/>
        </w:rPr>
        <w:t>宣传推介</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_Toc26371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42</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_Toc6488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lang w:val="en-US"/>
        </w:rPr>
        <w:t>（四）</w:t>
      </w:r>
      <w:r>
        <w:rPr>
          <w:rFonts w:hint="default" w:ascii="Times New Roman" w:hAnsi="Times New Roman" w:eastAsia="方正楷体_GBK" w:cs="Times New Roman"/>
          <w:lang w:val="en-US" w:eastAsia="zh-CN"/>
        </w:rPr>
        <w:t>推动</w:t>
      </w:r>
      <w:r>
        <w:rPr>
          <w:rFonts w:hint="default" w:ascii="Times New Roman" w:hAnsi="Times New Roman" w:eastAsia="方正楷体_GBK" w:cs="Times New Roman"/>
          <w:lang w:val="en-US"/>
        </w:rPr>
        <w:t>项目落地</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_Toc6488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43</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pPr>
        <w:pStyle w:val="17"/>
        <w:keepNext w:val="0"/>
        <w:keepLines w:val="0"/>
        <w:pageBreakBefore w:val="0"/>
        <w:widowControl w:val="0"/>
        <w:tabs>
          <w:tab w:val="right" w:leader="dot" w:pos="9077"/>
        </w:tabs>
        <w:kinsoku/>
        <w:wordWrap/>
        <w:overflowPunct/>
        <w:topLinePunct w:val="0"/>
        <w:autoSpaceDE/>
        <w:autoSpaceDN w:val="0"/>
        <w:bidi w:val="0"/>
        <w:adjustRightInd/>
        <w:snapToGrid/>
        <w:ind w:firstLine="0" w:firstLineChars="0"/>
        <w:textAlignment w:val="auto"/>
        <w:rPr>
          <w:rFonts w:hint="default" w:ascii="Times New Roman" w:hAnsi="Times New Roman" w:eastAsia="方正楷体_GBK" w:cs="Times New Roman"/>
        </w:rPr>
      </w:pPr>
      <w:r>
        <w:rPr>
          <w:rFonts w:hint="default" w:ascii="Times New Roman" w:hAnsi="Times New Roman" w:eastAsia="方正楷体_GBK" w:cs="Times New Roman"/>
          <w:szCs w:val="32"/>
        </w:rPr>
        <w:fldChar w:fldCharType="begin"/>
      </w:r>
      <w:r>
        <w:rPr>
          <w:rFonts w:hint="default" w:ascii="Times New Roman" w:hAnsi="Times New Roman" w:eastAsia="方正楷体_GBK" w:cs="Times New Roman"/>
          <w:szCs w:val="32"/>
        </w:rPr>
        <w:instrText xml:space="preserve"> HYPERLINK \l _Toc26536 </w:instrText>
      </w:r>
      <w:r>
        <w:rPr>
          <w:rFonts w:hint="default" w:ascii="Times New Roman" w:hAnsi="Times New Roman" w:eastAsia="方正楷体_GBK" w:cs="Times New Roman"/>
          <w:szCs w:val="32"/>
        </w:rPr>
        <w:fldChar w:fldCharType="separate"/>
      </w:r>
      <w:r>
        <w:rPr>
          <w:rFonts w:hint="default" w:ascii="Times New Roman" w:hAnsi="Times New Roman" w:eastAsia="方正楷体_GBK" w:cs="Times New Roman"/>
          <w:lang w:val="en-US"/>
        </w:rPr>
        <w:t>（五）优化营商环境</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_Toc26536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44</w:t>
      </w:r>
      <w:r>
        <w:rPr>
          <w:rFonts w:hint="default" w:ascii="Times New Roman" w:hAnsi="Times New Roman" w:eastAsia="方正楷体_GBK" w:cs="Times New Roman"/>
        </w:rPr>
        <w:fldChar w:fldCharType="end"/>
      </w:r>
      <w:r>
        <w:rPr>
          <w:rFonts w:hint="default" w:ascii="Times New Roman" w:hAnsi="Times New Roman" w:eastAsia="方正楷体_GBK" w:cs="Times New Roman"/>
          <w:szCs w:val="32"/>
        </w:rPr>
        <w:fldChar w:fldCharType="end"/>
      </w:r>
    </w:p>
    <w:p>
      <w:pPr>
        <w:pStyle w:val="15"/>
        <w:tabs>
          <w:tab w:val="right" w:leader="dot" w:pos="9077"/>
        </w:tabs>
        <w:ind w:left="0" w:leftChars="0" w:firstLine="0" w:firstLineChars="0"/>
        <w:rPr>
          <w:rFonts w:hint="default" w:ascii="Times New Roman" w:hAnsi="Times New Roman" w:cs="Times New Roman"/>
          <w:szCs w:val="32"/>
        </w:rPr>
      </w:pPr>
    </w:p>
    <w:p>
      <w:pPr>
        <w:pStyle w:val="15"/>
        <w:tabs>
          <w:tab w:val="right" w:leader="dot" w:pos="9077"/>
        </w:tabs>
        <w:ind w:left="0" w:leftChars="0" w:firstLine="0" w:firstLineChars="0"/>
        <w:rPr>
          <w:rFonts w:hint="default" w:ascii="Times New Roman" w:hAnsi="Times New Roman" w:cs="Times New Roman"/>
          <w:sz w:val="28"/>
          <w:szCs w:val="22"/>
        </w:rPr>
      </w:pPr>
    </w:p>
    <w:p>
      <w:pPr>
        <w:pStyle w:val="15"/>
        <w:keepNext w:val="0"/>
        <w:keepLines w:val="0"/>
        <w:pageBreakBefore w:val="0"/>
        <w:widowControl w:val="0"/>
        <w:tabs>
          <w:tab w:val="right" w:leader="dot" w:pos="9077"/>
        </w:tabs>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cs="Times New Roman"/>
          <w:szCs w:val="32"/>
        </w:rPr>
        <w:fldChar w:fldCharType="end"/>
      </w:r>
    </w:p>
    <w:p>
      <w:pPr>
        <w:keepNext w:val="0"/>
        <w:keepLines w:val="0"/>
        <w:pageBreakBefore w:val="0"/>
        <w:widowControl w:val="0"/>
        <w:kinsoku/>
        <w:wordWrap/>
        <w:overflowPunct/>
        <w:topLinePunct w:val="0"/>
        <w:bidi w:val="0"/>
        <w:adjustRightInd/>
        <w:snapToGrid/>
        <w:ind w:firstLine="31680"/>
        <w:rPr>
          <w:rFonts w:hint="default" w:ascii="Times New Roman" w:hAnsi="Times New Roman" w:cs="Times New Roman"/>
        </w:rPr>
      </w:pPr>
    </w:p>
    <w:p>
      <w:pPr>
        <w:pStyle w:val="40"/>
        <w:keepNext w:val="0"/>
        <w:keepLines w:val="0"/>
        <w:pageBreakBefore w:val="0"/>
        <w:widowControl w:val="0"/>
        <w:kinsoku/>
        <w:wordWrap/>
        <w:overflowPunct/>
        <w:topLinePunct w:val="0"/>
        <w:bidi w:val="0"/>
        <w:adjustRightInd/>
        <w:snapToGrid/>
        <w:ind w:firstLine="0" w:firstLineChars="0"/>
        <w:rPr>
          <w:rFonts w:hint="default" w:ascii="Times New Roman" w:hAnsi="Times New Roman" w:cs="Times New Roman"/>
        </w:rPr>
        <w:sectPr>
          <w:footerReference r:id="rId6" w:type="default"/>
          <w:pgSz w:w="11911" w:h="16838"/>
          <w:pgMar w:top="1871" w:right="1474" w:bottom="1757" w:left="1417" w:header="0" w:footer="1202" w:gutter="0"/>
          <w:pgNumType w:fmt="decimal" w:start="1"/>
          <w:cols w:space="425" w:num="1"/>
          <w:docGrid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方正黑体_GBK" w:cs="Times New Roman"/>
        </w:rPr>
      </w:pPr>
      <w:bookmarkStart w:id="20" w:name="_Toc21803"/>
      <w:bookmarkStart w:id="21" w:name="_Toc25853"/>
      <w:bookmarkStart w:id="22" w:name="_Toc11878"/>
      <w:bookmarkStart w:id="23" w:name="_Toc30587"/>
      <w:r>
        <w:rPr>
          <w:rFonts w:hint="default" w:ascii="Times New Roman" w:hAnsi="Times New Roman" w:eastAsia="方正黑体_GBK" w:cs="Times New Roman"/>
        </w:rPr>
        <w:t>前  言</w:t>
      </w:r>
      <w:bookmarkEnd w:id="20"/>
      <w:bookmarkEnd w:id="21"/>
      <w:bookmarkEnd w:id="22"/>
    </w:p>
    <w:p>
      <w:pPr>
        <w:pStyle w:val="18"/>
        <w:keepNext w:val="0"/>
        <w:keepLines w:val="0"/>
        <w:pageBreakBefore w:val="0"/>
        <w:widowControl w:val="0"/>
        <w:kinsoku/>
        <w:wordWrap/>
        <w:overflowPunct/>
        <w:topLinePunct w:val="0"/>
        <w:autoSpaceDN w:val="0"/>
        <w:bidi w:val="0"/>
        <w:adjustRightInd/>
        <w:snapToGrid/>
        <w:spacing w:beforeAutospacing="0" w:afterAutospacing="0" w:line="560" w:lineRule="exact"/>
        <w:ind w:firstLine="31680"/>
        <w:jc w:val="both"/>
        <w:textAlignment w:val="auto"/>
        <w:rPr>
          <w:rFonts w:hint="default" w:ascii="Times New Roman" w:hAnsi="Times New Roman" w:cs="Times New Roman"/>
          <w:sz w:val="32"/>
          <w:szCs w:val="32"/>
        </w:rPr>
      </w:pPr>
    </w:p>
    <w:p>
      <w:pPr>
        <w:pStyle w:val="18"/>
        <w:keepNext w:val="0"/>
        <w:keepLines w:val="0"/>
        <w:pageBreakBefore w:val="0"/>
        <w:widowControl w:val="0"/>
        <w:kinsoku/>
        <w:wordWrap/>
        <w:overflowPunct/>
        <w:topLinePunct w:val="0"/>
        <w:autoSpaceDN w:val="0"/>
        <w:bidi w:val="0"/>
        <w:adjustRightInd/>
        <w:snapToGrid/>
        <w:spacing w:beforeAutospacing="0" w:afterAutospacing="0" w:line="560" w:lineRule="exact"/>
        <w:ind w:firstLine="3168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是我国西部典型的内陆县域经济体，地处云南省中部。“十三五”以来，易门区域合作发展取得了良好成效。“十四五”时期，在新的历史背景下，抓住国家和云南省、玉溪市区域协调发展的战略部署立足实际，进一步发挥易门的区位优势、后发优势，突出自身特点，加快区域合作发展步伐，具有重要的战略意义。</w:t>
      </w:r>
    </w:p>
    <w:p>
      <w:pPr>
        <w:pStyle w:val="18"/>
        <w:keepNext w:val="0"/>
        <w:keepLines w:val="0"/>
        <w:pageBreakBefore w:val="0"/>
        <w:widowControl w:val="0"/>
        <w:kinsoku/>
        <w:wordWrap/>
        <w:overflowPunct/>
        <w:topLinePunct w:val="0"/>
        <w:autoSpaceDN w:val="0"/>
        <w:bidi w:val="0"/>
        <w:adjustRightInd/>
        <w:snapToGrid/>
        <w:spacing w:beforeAutospacing="0" w:afterAutospacing="0" w:line="560" w:lineRule="exact"/>
        <w:ind w:firstLine="3168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为全面贯彻新发展理念，着力融入新发展格局，加强区域间的交流与互动，补齐易门区域合作发展短板，更好地发挥招商引资在推动易门县经济社会发展的重要作用，并推进供给侧结构性改革和需求侧管理，促进产业结构转型升级，拓展更加广阔的发展空间</w:t>
      </w:r>
      <w:r>
        <w:rPr>
          <w:rFonts w:hint="default" w:ascii="Times New Roman" w:hAnsi="Times New Roman" w:cs="Times New Roman"/>
          <w:sz w:val="32"/>
          <w:szCs w:val="32"/>
          <w:lang w:eastAsia="zh-CN"/>
        </w:rPr>
        <w:t>，</w:t>
      </w:r>
      <w:r>
        <w:rPr>
          <w:rFonts w:hint="default" w:ascii="Times New Roman" w:hAnsi="Times New Roman" w:eastAsia="方正仿宋_GBK" w:cs="Times New Roman"/>
          <w:b w:val="0"/>
          <w:bCs w:val="0"/>
          <w:sz w:val="32"/>
          <w:szCs w:val="32"/>
        </w:rPr>
        <w:t>结合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玉溪市国民经济和社会发展第十四个五年规划和二〇三五年远景目标纲要》</w:t>
      </w:r>
      <w:r>
        <w:rPr>
          <w:rFonts w:hint="default" w:ascii="Times New Roman" w:hAnsi="Times New Roman" w:eastAsia="方正仿宋_GBK" w:cs="Times New Roman"/>
          <w:b w:val="0"/>
          <w:bCs w:val="0"/>
          <w:sz w:val="32"/>
          <w:szCs w:val="32"/>
          <w:lang w:eastAsia="zh-CN"/>
        </w:rPr>
        <w:t>《易门县</w:t>
      </w:r>
      <w:r>
        <w:rPr>
          <w:rFonts w:hint="default" w:ascii="Times New Roman" w:hAnsi="Times New Roman" w:eastAsia="方正仿宋_GBK" w:cs="Times New Roman"/>
          <w:b w:val="0"/>
          <w:bCs w:val="0"/>
          <w:sz w:val="32"/>
          <w:szCs w:val="32"/>
        </w:rPr>
        <w:t>国民经济和社会发展第十四个五年规划和二〇三五年远景目标纲要》，</w:t>
      </w:r>
      <w:r>
        <w:rPr>
          <w:rFonts w:hint="default" w:ascii="Times New Roman" w:hAnsi="Times New Roman" w:eastAsia="方正仿宋_GBK" w:cs="Times New Roman"/>
          <w:sz w:val="32"/>
          <w:szCs w:val="32"/>
        </w:rPr>
        <w:t>特编制</w:t>
      </w:r>
      <w:r>
        <w:rPr>
          <w:rFonts w:hint="default" w:ascii="Times New Roman" w:hAnsi="Times New Roman" w:eastAsia="方正仿宋_GBK" w:cs="Times New Roman"/>
          <w:sz w:val="32"/>
          <w:szCs w:val="32"/>
          <w:lang w:eastAsia="zh-CN"/>
        </w:rPr>
        <w:t>本规划</w:t>
      </w:r>
      <w:r>
        <w:rPr>
          <w:rFonts w:hint="default" w:ascii="Times New Roman" w:hAnsi="Times New Roman" w:eastAsia="方正仿宋_GBK" w:cs="Times New Roman"/>
          <w:sz w:val="32"/>
          <w:szCs w:val="32"/>
        </w:rPr>
        <w:t>。</w:t>
      </w:r>
    </w:p>
    <w:p>
      <w:pPr>
        <w:rPr>
          <w:rFonts w:hint="default" w:ascii="Times New Roman" w:hAnsi="Times New Roman" w:cs="Times New Roman"/>
        </w:rPr>
      </w:pPr>
      <w:bookmarkStart w:id="24" w:name="_Toc10453"/>
      <w:bookmarkStart w:id="25" w:name="_Toc5237"/>
      <w:r>
        <w:rPr>
          <w:rFonts w:hint="default" w:ascii="Times New Roman" w:hAnsi="Times New Roman" w:cs="Times New Roman"/>
        </w:rPr>
        <w:br w:type="page"/>
      </w:r>
    </w:p>
    <w:p>
      <w:pPr>
        <w:pStyle w:val="3"/>
        <w:keepNext w:val="0"/>
        <w:keepLines w:val="0"/>
        <w:pageBreakBefore w:val="0"/>
        <w:widowControl w:val="0"/>
        <w:tabs>
          <w:tab w:val="center" w:pos="4538"/>
        </w:tabs>
        <w:kinsoku/>
        <w:wordWrap/>
        <w:overflowPunct/>
        <w:topLinePunct w:val="0"/>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方正黑体_GBK" w:cs="Times New Roman"/>
        </w:rPr>
        <w:t>一、现状基础</w:t>
      </w:r>
      <w:bookmarkEnd w:id="24"/>
      <w:bookmarkEnd w:id="25"/>
      <w:r>
        <w:rPr>
          <w:rFonts w:hint="default" w:ascii="Times New Roman" w:hAnsi="Times New Roman" w:cs="Times New Roman"/>
        </w:rPr>
        <w:tab/>
      </w:r>
    </w:p>
    <w:p>
      <w:pPr>
        <w:pStyle w:val="18"/>
        <w:keepNext w:val="0"/>
        <w:keepLines w:val="0"/>
        <w:pageBreakBefore w:val="0"/>
        <w:widowControl w:val="0"/>
        <w:kinsoku/>
        <w:wordWrap/>
        <w:overflowPunct/>
        <w:topLinePunct w:val="0"/>
        <w:autoSpaceDN w:val="0"/>
        <w:bidi w:val="0"/>
        <w:adjustRightInd/>
        <w:snapToGrid/>
        <w:spacing w:beforeAutospacing="0" w:afterAutospacing="0" w:line="560" w:lineRule="exact"/>
        <w:ind w:firstLine="31680"/>
        <w:jc w:val="both"/>
        <w:textAlignment w:val="auto"/>
        <w:rPr>
          <w:rFonts w:hint="default" w:ascii="Times New Roman" w:hAnsi="Times New Roman" w:eastAsia="微软雅黑" w:cs="Times New Roman"/>
          <w:b/>
          <w:i/>
          <w:sz w:val="44"/>
        </w:rPr>
      </w:pPr>
      <w:r>
        <w:rPr>
          <w:rFonts w:hint="default" w:ascii="Times New Roman" w:hAnsi="Times New Roman" w:eastAsia="方正仿宋_GBK" w:cs="Times New Roman"/>
          <w:sz w:val="32"/>
          <w:szCs w:val="32"/>
        </w:rPr>
        <w:t>“十三五”以来，面对错综复杂的外部形势和持续增大的经济下行压力，易门在</w:t>
      </w:r>
      <w:r>
        <w:rPr>
          <w:rFonts w:hint="default" w:ascii="Times New Roman" w:hAnsi="Times New Roman" w:eastAsia="方正仿宋_GBK" w:cs="Times New Roman"/>
          <w:sz w:val="32"/>
          <w:szCs w:val="32"/>
          <w:lang w:eastAsia="zh-CN"/>
        </w:rPr>
        <w:t>云南</w:t>
      </w:r>
      <w:r>
        <w:rPr>
          <w:rFonts w:hint="default" w:ascii="Times New Roman" w:hAnsi="Times New Roman" w:eastAsia="方正仿宋_GBK" w:cs="Times New Roman"/>
          <w:sz w:val="32"/>
          <w:szCs w:val="32"/>
        </w:rPr>
        <w:t>省委省政府和</w:t>
      </w:r>
      <w:r>
        <w:rPr>
          <w:rFonts w:hint="default" w:ascii="Times New Roman" w:hAnsi="Times New Roman" w:eastAsia="方正仿宋_GBK" w:cs="Times New Roman"/>
          <w:sz w:val="32"/>
          <w:szCs w:val="32"/>
          <w:lang w:eastAsia="zh-CN"/>
        </w:rPr>
        <w:t>玉溪</w:t>
      </w:r>
      <w:r>
        <w:rPr>
          <w:rFonts w:hint="default" w:ascii="Times New Roman" w:hAnsi="Times New Roman" w:eastAsia="方正仿宋_GBK" w:cs="Times New Roman"/>
          <w:sz w:val="32"/>
          <w:szCs w:val="32"/>
        </w:rPr>
        <w:t>市委市政府的正确领导下，立足易门实际，突出自身区位、资源、气候、交通及产业基础等特点，持续推进经济社会发展，不断加大招商引资工作力度，显著提升区域协调发展能力，走出了一条独具特色的发展路子，创造了“易门速度”和“易门经验”，为“十四五”进一步深化区域合作、加强招商引资、推动产业升级奠定了坚实基础。</w:t>
      </w:r>
    </w:p>
    <w:p>
      <w:pPr>
        <w:pStyle w:val="4"/>
        <w:keepNext w:val="0"/>
        <w:keepLines w:val="0"/>
        <w:pageBreakBefore w:val="0"/>
        <w:widowControl w:val="0"/>
        <w:kinsoku/>
        <w:wordWrap/>
        <w:overflowPunct/>
        <w:topLinePunct w:val="0"/>
        <w:bidi w:val="0"/>
        <w:adjustRightInd/>
        <w:snapToGrid/>
        <w:ind w:firstLine="31680"/>
        <w:textAlignment w:val="auto"/>
        <w:rPr>
          <w:rFonts w:hint="default" w:ascii="Times New Roman" w:hAnsi="Times New Roman" w:eastAsia="方正楷体_GBK" w:cs="Times New Roman"/>
          <w:lang w:val="en-US"/>
        </w:rPr>
      </w:pPr>
      <w:bookmarkStart w:id="26" w:name="_Toc23540"/>
      <w:r>
        <w:rPr>
          <w:rFonts w:hint="default" w:ascii="Times New Roman" w:hAnsi="Times New Roman" w:eastAsia="方正楷体_GBK" w:cs="Times New Roman"/>
          <w:lang w:val="en-US"/>
        </w:rPr>
        <w:t>（一）易门概况</w:t>
      </w:r>
      <w:bookmarkEnd w:id="26"/>
    </w:p>
    <w:p>
      <w:pPr>
        <w:pStyle w:val="18"/>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3168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易门全县辖龙泉街道、六街街道、绿汁镇、浦贝彝族乡、十街彝族乡、铜厂彝族乡、小街乡，2020年全县总人口约</w:t>
      </w:r>
      <w:r>
        <w:rPr>
          <w:rFonts w:hint="default" w:ascii="Times New Roman" w:hAnsi="Times New Roman" w:eastAsia="方正仿宋_GBK" w:cs="Times New Roman"/>
          <w:sz w:val="32"/>
          <w:szCs w:val="32"/>
          <w:lang w:val="en-US" w:eastAsia="zh-CN"/>
        </w:rPr>
        <w:t>15.17</w:t>
      </w:r>
      <w:r>
        <w:rPr>
          <w:rFonts w:hint="default" w:ascii="Times New Roman" w:hAnsi="Times New Roman" w:eastAsia="方正仿宋_GBK" w:cs="Times New Roman"/>
          <w:sz w:val="32"/>
          <w:szCs w:val="32"/>
        </w:rPr>
        <w:t>万人</w:t>
      </w:r>
      <w:r>
        <w:rPr>
          <w:rStyle w:val="28"/>
          <w:rFonts w:hint="default" w:ascii="Times New Roman" w:hAnsi="Times New Roman" w:eastAsia="方正仿宋_GBK" w:cs="Times New Roman"/>
          <w:sz w:val="32"/>
          <w:szCs w:val="32"/>
        </w:rPr>
        <w:footnoteReference w:id="0"/>
      </w:r>
      <w:r>
        <w:rPr>
          <w:rFonts w:hint="default" w:ascii="Times New Roman" w:hAnsi="Times New Roman" w:eastAsia="方正仿宋_GBK" w:cs="Times New Roman"/>
          <w:sz w:val="32"/>
          <w:szCs w:val="32"/>
        </w:rPr>
        <w:t>。自古以来，易门就是一个山川秀美、人杰地灵、生机盎然的地方，有铜都、龙之故乡等美誉和“滇中水城、菌乡易门”之称。</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1.区位优势突出。</w:t>
      </w:r>
      <w:r>
        <w:rPr>
          <w:rFonts w:hint="default" w:ascii="Times New Roman" w:hAnsi="Times New Roman" w:eastAsia="方正仿宋_GBK" w:cs="Times New Roman"/>
          <w:szCs w:val="32"/>
        </w:rPr>
        <w:t>易门地处云南省中部，玉溪市西北部，东接安宁市、晋宁区，南连峨山县，西邻双柏县，北与安宁市、</w:t>
      </w:r>
      <w:r>
        <w:rPr>
          <w:rFonts w:hint="eastAsia" w:ascii="Times New Roman" w:hAnsi="Times New Roman" w:cs="Times New Roman"/>
          <w:szCs w:val="32"/>
          <w:lang w:eastAsia="zh-CN"/>
        </w:rPr>
        <w:t>禄丰市</w:t>
      </w:r>
      <w:r>
        <w:rPr>
          <w:rFonts w:hint="default" w:ascii="Times New Roman" w:hAnsi="Times New Roman" w:eastAsia="方正仿宋_GBK" w:cs="Times New Roman"/>
          <w:szCs w:val="32"/>
        </w:rPr>
        <w:t>接壤，是云南省地理中心和滇中城市群核心区域。县政府驻地龙泉街道，东南距玉溪市红塔区106公里，东北距省会昆明86公里，距国家门户枢纽机场昆明长水国际机场近132公里，是昆明“一小时经济圈”的重要通达地，地理位置和战略位置十分重要。</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2.资源比较丰富。</w:t>
      </w:r>
      <w:r>
        <w:rPr>
          <w:rFonts w:hint="default" w:ascii="Times New Roman" w:hAnsi="Times New Roman" w:eastAsia="方正仿宋_GBK" w:cs="Times New Roman"/>
          <w:szCs w:val="32"/>
        </w:rPr>
        <w:t>易门地质结构独特，矿产资源富集，有矿产资源24种，其中铜、陶瓷土等9种矿产列入《云南省矿产资源储量简表》，曾是中国八大铜矿之一。生物资源丰富，全县自然植被已知且具备使用价值的有317种，中药材240余种，经济果木林24种，食用野生菌种类达100余种。文化底蕴厚重，旅游资源丰富，少数民族人口占全县总人口的33.5%，各民族节日众多、文化独特，“二月二”戏会闻名全国，孙兰英爱国主义教育基地等红色文化突出，龙泉寺、静乐庵、绿汁铜矿遗址等历史古迹丰富多彩。</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3.生态环境良好。</w:t>
      </w:r>
      <w:r>
        <w:rPr>
          <w:rFonts w:hint="default" w:ascii="Times New Roman" w:hAnsi="Times New Roman" w:eastAsia="方正仿宋_GBK" w:cs="Times New Roman"/>
          <w:szCs w:val="32"/>
        </w:rPr>
        <w:t>易门地处低纬度高原，境内高山、丘陵、盆地、河谷交错，海拔高差悬殊大，立体性气候明显，具有气候垂直变化大、季节变化小的特点，全县可分为南亚热带、中亚热带、北亚热带、南温带四种气候类型。全县森林覆盖率超过65.53%，气候温润，年均气温16.8℃，年均降水量856.9毫米，拥有龙泉国家森林公园，是国家级生态示范区、国家园林县城。</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rPr>
      </w:pPr>
      <w:r>
        <w:rPr>
          <w:rFonts w:hint="default" w:ascii="Times New Roman" w:hAnsi="Times New Roman" w:eastAsia="方正仿宋_GBK" w:cs="Times New Roman"/>
          <w:b/>
          <w:bCs/>
          <w:szCs w:val="32"/>
        </w:rPr>
        <w:t>4.</w:t>
      </w:r>
      <w:r>
        <w:rPr>
          <w:rFonts w:hint="default" w:ascii="Times New Roman" w:hAnsi="Times New Roman" w:eastAsia="方正仿宋_GBK" w:cs="Times New Roman"/>
          <w:b/>
          <w:bCs/>
        </w:rPr>
        <w:t>交通愈加通畅。</w:t>
      </w:r>
      <w:r>
        <w:rPr>
          <w:rFonts w:hint="default" w:ascii="Times New Roman" w:hAnsi="Times New Roman" w:eastAsia="方正仿宋_GBK" w:cs="Times New Roman"/>
          <w:bCs/>
        </w:rPr>
        <w:t>全县</w:t>
      </w:r>
      <w:r>
        <w:rPr>
          <w:rFonts w:hint="default" w:ascii="Times New Roman" w:hAnsi="Times New Roman" w:eastAsia="方正仿宋_GBK" w:cs="Times New Roman"/>
          <w:szCs w:val="36"/>
        </w:rPr>
        <w:t>综合交通体系不断健全，公</w:t>
      </w:r>
      <w:r>
        <w:rPr>
          <w:rFonts w:hint="default" w:ascii="Times New Roman" w:hAnsi="Times New Roman" w:eastAsia="方正仿宋_GBK" w:cs="Times New Roman"/>
          <w:bCs/>
          <w:szCs w:val="36"/>
        </w:rPr>
        <w:t>路通车里程达2079公里，武易高速建成通车、玉楚高速稳步推进，基本</w:t>
      </w:r>
      <w:r>
        <w:rPr>
          <w:rFonts w:hint="default" w:ascii="Times New Roman" w:hAnsi="Times New Roman" w:eastAsia="方正仿宋_GBK" w:cs="Times New Roman"/>
          <w:bCs/>
          <w:szCs w:val="32"/>
        </w:rPr>
        <w:t>形成了以县城为中心，以安易公路、易峨公路</w:t>
      </w:r>
      <w:r>
        <w:rPr>
          <w:rFonts w:hint="default" w:ascii="Times New Roman" w:hAnsi="Times New Roman" w:eastAsia="方正仿宋_GBK" w:cs="Times New Roman"/>
          <w:szCs w:val="32"/>
        </w:rPr>
        <w:t>为动脉、县乡公路为骨架，辐射两街道办四乡一镇，连接各行政村、自然村的公路网络，基本实现了县城至省城公路高等级化、县乡（镇）公路油路化。</w:t>
      </w:r>
    </w:p>
    <w:p>
      <w:pPr>
        <w:pStyle w:val="4"/>
        <w:keepNext w:val="0"/>
        <w:keepLines w:val="0"/>
        <w:pageBreakBefore w:val="0"/>
        <w:widowControl w:val="0"/>
        <w:kinsoku/>
        <w:wordWrap/>
        <w:overflowPunct/>
        <w:topLinePunct w:val="0"/>
        <w:bidi w:val="0"/>
        <w:adjustRightInd/>
        <w:snapToGrid/>
        <w:ind w:firstLine="31680"/>
        <w:textAlignment w:val="auto"/>
        <w:rPr>
          <w:rFonts w:hint="default" w:ascii="Times New Roman" w:hAnsi="Times New Roman" w:eastAsia="方正楷体_GBK" w:cs="Times New Roman"/>
          <w:lang w:val="en-US"/>
        </w:rPr>
      </w:pPr>
      <w:bookmarkStart w:id="27" w:name="_Toc7095"/>
      <w:r>
        <w:rPr>
          <w:rFonts w:hint="default" w:ascii="Times New Roman" w:hAnsi="Times New Roman" w:eastAsia="方正楷体_GBK" w:cs="Times New Roman"/>
          <w:lang w:val="en-US"/>
        </w:rPr>
        <w:t>（二）合作基础</w:t>
      </w:r>
      <w:bookmarkEnd w:id="27"/>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十三五”以来，易门坚持“生态立县、产业富县、创新强县、开放兴县、共享和县”的发展战略，始终以开放的心态寻求对外合作，在基础设施共建、产业合作共赢、区域协调共振、城乡融合共享、招商引资等方面取得了良好成绩，“十四五”期间，进一步推动区域合作、加大招商引资的基础更加扎实。</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1.综合经济实力实现大跨越。</w:t>
      </w:r>
      <w:r>
        <w:rPr>
          <w:rFonts w:hint="default" w:ascii="Times New Roman" w:hAnsi="Times New Roman" w:eastAsia="方正仿宋_GBK" w:cs="Times New Roman"/>
          <w:szCs w:val="32"/>
        </w:rPr>
        <w:t>“十三五”期间，全县经济平稳健康发展。2020年全县生产总值达131.8亿元，较“十二五”末增长70.6%。“十三五”累计完成固定资产投资377.1亿元，较“十二五”翻一番。财政收入稳步增长，2020年一般公共预算收入达7.20亿元，年均增长6.5%。内需潜力不断激发，2020年社会消费品零售总额达60.3亿元，年均增长12.1%。对外贸易增长强劲，2020年外贸进出口总额达8.60亿美元，是“十二五”末的12.5倍。非公经济蓬勃发展，荣获2017年云南省民营经济争先进位10强县，2019年全县非公经济实现增加值80.83亿元，占全县GDP的比重达59.3%。科技创新成效显著，共培育高新技术企业8家，省级科技型中小企业40家，省级创新型试点企业4家，院士（专家）工作站3个，省级国际科技合作基地1个，省级工程技术研究中心1个。</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2.产业结构调整</w:t>
      </w:r>
      <w:r>
        <w:rPr>
          <w:rFonts w:hint="default" w:ascii="Times New Roman" w:hAnsi="Times New Roman" w:eastAsia="方正仿宋_GBK" w:cs="Times New Roman"/>
          <w:b/>
          <w:bCs/>
          <w:szCs w:val="32"/>
          <w:lang w:eastAsia="zh-CN"/>
        </w:rPr>
        <w:t>迈上新台阶</w:t>
      </w:r>
      <w:r>
        <w:rPr>
          <w:rFonts w:hint="default" w:ascii="Times New Roman" w:hAnsi="Times New Roman" w:eastAsia="方正仿宋_GBK" w:cs="Times New Roman"/>
          <w:b/>
          <w:bCs/>
          <w:szCs w:val="32"/>
        </w:rPr>
        <w:t>。</w:t>
      </w:r>
      <w:r>
        <w:rPr>
          <w:rFonts w:hint="default" w:ascii="Times New Roman" w:hAnsi="Times New Roman" w:eastAsia="方正仿宋_GBK" w:cs="Times New Roman"/>
          <w:szCs w:val="32"/>
        </w:rPr>
        <w:t>三次产业结构由2015年的13:41:46调整为2020年的13:32:55。第一产业实现快速发展，2020年农业总产值达24.9亿元，农作物种植结构进一步调优，优质高效经济作物得到快速发展，形成了以食用菌产业为重点</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畜、菜、果、烟、药、花”等为特色的“1+6”格局，新培育省市级农业龙头企业27户，获绿色食品、无公害农产品、名牌农产品认证6个。第二产业实现平稳发展，2020年工业生产总值达160.5亿元，年均增长5.6%，有色金属、陶瓷建材、食（药）品加工三大产业转型升级有力推进，新材料产业发展较快，建成省内重要的水泥熟料生产基地。第三产业实现跨越发展，2020年服务业增加值达72.6亿元，年均增长10.5%；旅游商贸活力持续增强，2020年接待游客达229万人次，年均增长12.1%</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城乡商贸流通体系初步形成，电子商务快速发展，入选2020年商务部电子商务进农村综合示范县。</w:t>
      </w:r>
    </w:p>
    <w:p>
      <w:pPr>
        <w:keepNext w:val="0"/>
        <w:keepLines w:val="0"/>
        <w:pageBreakBefore w:val="0"/>
        <w:widowControl w:val="0"/>
        <w:tabs>
          <w:tab w:val="left" w:pos="781"/>
        </w:tabs>
        <w:kinsoku/>
        <w:wordWrap/>
        <w:overflowPunct/>
        <w:topLinePunct w:val="0"/>
        <w:autoSpaceDN w:val="0"/>
        <w:bidi w:val="0"/>
        <w:adjustRightInd/>
        <w:snapToGrid/>
        <w:spacing w:line="560" w:lineRule="exact"/>
        <w:ind w:firstLine="31680"/>
        <w:textAlignment w:val="auto"/>
        <w:rPr>
          <w:rFonts w:hint="default" w:ascii="Times New Roman" w:hAnsi="Times New Roman" w:cs="Times New Roman"/>
          <w:bCs/>
          <w:kern w:val="0"/>
        </w:rPr>
      </w:pPr>
      <w:r>
        <w:rPr>
          <w:rFonts w:hint="default" w:ascii="Times New Roman" w:hAnsi="Times New Roman" w:eastAsia="方正仿宋_GBK" w:cs="Times New Roman"/>
          <w:b/>
          <w:bCs/>
        </w:rPr>
        <w:t>3.</w:t>
      </w:r>
      <w:bookmarkStart w:id="28" w:name="_Toc20118"/>
      <w:bookmarkStart w:id="29" w:name="_Toc26223"/>
      <w:r>
        <w:rPr>
          <w:rFonts w:hint="default" w:ascii="Times New Roman" w:hAnsi="Times New Roman" w:eastAsia="方正仿宋_GBK" w:cs="Times New Roman"/>
          <w:b/>
          <w:bCs/>
        </w:rPr>
        <w:t>工业化</w:t>
      </w:r>
      <w:r>
        <w:rPr>
          <w:rFonts w:hint="default" w:ascii="Times New Roman" w:hAnsi="Times New Roman" w:eastAsia="方正仿宋_GBK" w:cs="Times New Roman"/>
          <w:b/>
          <w:bCs/>
          <w:lang w:eastAsia="zh-CN"/>
        </w:rPr>
        <w:t>进程进入</w:t>
      </w:r>
      <w:r>
        <w:rPr>
          <w:rFonts w:hint="default" w:ascii="Times New Roman" w:hAnsi="Times New Roman" w:eastAsia="方正仿宋_GBK" w:cs="Times New Roman"/>
          <w:b/>
          <w:bCs/>
        </w:rPr>
        <w:t>发展</w:t>
      </w:r>
      <w:r>
        <w:rPr>
          <w:rFonts w:hint="default" w:ascii="Times New Roman" w:hAnsi="Times New Roman" w:eastAsia="方正仿宋_GBK" w:cs="Times New Roman"/>
          <w:b/>
          <w:bCs/>
          <w:lang w:eastAsia="zh-CN"/>
        </w:rPr>
        <w:t>新</w:t>
      </w:r>
      <w:r>
        <w:rPr>
          <w:rFonts w:hint="default" w:ascii="Times New Roman" w:hAnsi="Times New Roman" w:eastAsia="方正仿宋_GBK" w:cs="Times New Roman"/>
          <w:b/>
          <w:bCs/>
        </w:rPr>
        <w:t>阶段</w:t>
      </w:r>
      <w:bookmarkEnd w:id="28"/>
      <w:bookmarkEnd w:id="29"/>
      <w:r>
        <w:rPr>
          <w:rFonts w:hint="default" w:ascii="Times New Roman" w:hAnsi="Times New Roman" w:eastAsia="方正仿宋_GBK" w:cs="Times New Roman"/>
          <w:b/>
          <w:bCs/>
        </w:rPr>
        <w:t>。</w:t>
      </w:r>
      <w:r>
        <w:rPr>
          <w:rFonts w:hint="default" w:ascii="Times New Roman" w:hAnsi="Times New Roman" w:eastAsia="方正仿宋_GBK" w:cs="Times New Roman"/>
          <w:szCs w:val="32"/>
        </w:rPr>
        <w:t>根据发展经济学家钱纳里对于经济发展阶段划分的相关理论，</w:t>
      </w:r>
      <w:r>
        <w:rPr>
          <w:rFonts w:hint="default" w:ascii="Times New Roman" w:hAnsi="Times New Roman" w:eastAsia="方正仿宋_GBK" w:cs="Times New Roman"/>
          <w:kern w:val="0"/>
        </w:rPr>
        <w:t>在综合分析易门人均GDP、产业结构、就业结构、城镇化等的基础上，结合现代西方经济理论和研究成果，采用人均总量指标和结构指标对易门经济发展所处的阶段进行研判，</w:t>
      </w:r>
      <w:r>
        <w:rPr>
          <w:rFonts w:hint="default" w:ascii="Times New Roman" w:hAnsi="Times New Roman" w:eastAsia="方正仿宋_GBK" w:cs="Times New Roman"/>
          <w:b/>
          <w:kern w:val="0"/>
        </w:rPr>
        <w:t>结论为：</w:t>
      </w:r>
      <w:r>
        <w:rPr>
          <w:rFonts w:hint="default" w:ascii="Times New Roman" w:hAnsi="Times New Roman" w:eastAsia="方正仿宋_GBK" w:cs="Times New Roman"/>
          <w:bCs/>
          <w:kern w:val="0"/>
        </w:rPr>
        <w:t>20</w:t>
      </w:r>
      <w:r>
        <w:rPr>
          <w:rFonts w:hint="default" w:ascii="Times New Roman" w:hAnsi="Times New Roman" w:eastAsia="方正仿宋_GBK" w:cs="Times New Roman"/>
          <w:bCs/>
          <w:kern w:val="0"/>
          <w:lang w:val="en-US" w:eastAsia="zh-CN"/>
        </w:rPr>
        <w:t>20</w:t>
      </w:r>
      <w:r>
        <w:rPr>
          <w:rFonts w:hint="default" w:ascii="Times New Roman" w:hAnsi="Times New Roman" w:eastAsia="方正仿宋_GBK" w:cs="Times New Roman"/>
          <w:bCs/>
          <w:kern w:val="0"/>
        </w:rPr>
        <w:t>年，易门已进入工业化后期阶段（人均GDP为</w:t>
      </w:r>
      <w:r>
        <w:rPr>
          <w:rFonts w:hint="default" w:ascii="Times New Roman" w:hAnsi="Times New Roman" w:eastAsia="方正仿宋_GBK" w:cs="Times New Roman"/>
          <w:bCs/>
          <w:kern w:val="0"/>
          <w:lang w:val="en-US" w:eastAsia="zh-CN"/>
        </w:rPr>
        <w:t>13511</w:t>
      </w:r>
      <w:r>
        <w:rPr>
          <w:rFonts w:hint="default" w:ascii="Times New Roman" w:hAnsi="Times New Roman" w:eastAsia="方正仿宋_GBK" w:cs="Times New Roman"/>
          <w:bCs/>
          <w:kern w:val="0"/>
        </w:rPr>
        <w:t>美元）</w:t>
      </w:r>
      <w:r>
        <w:rPr>
          <w:rFonts w:hint="default" w:ascii="Times New Roman" w:hAnsi="Times New Roman" w:eastAsia="方正仿宋_GBK" w:cs="Times New Roman"/>
          <w:bCs/>
          <w:kern w:val="0"/>
          <w:lang w:eastAsia="zh-CN"/>
        </w:rPr>
        <w:t>，标志着易门工业化进程进入了发展的新阶段，意味着</w:t>
      </w:r>
      <w:r>
        <w:rPr>
          <w:rFonts w:hint="default" w:ascii="Times New Roman" w:hAnsi="Times New Roman" w:eastAsia="方正仿宋_GBK" w:cs="Times New Roman"/>
          <w:bCs/>
          <w:kern w:val="0"/>
        </w:rPr>
        <w:t>“十四五”易门</w:t>
      </w:r>
      <w:r>
        <w:rPr>
          <w:rFonts w:hint="default" w:ascii="Times New Roman" w:hAnsi="Times New Roman" w:eastAsia="方正仿宋_GBK" w:cs="Times New Roman"/>
          <w:bCs/>
          <w:szCs w:val="32"/>
        </w:rPr>
        <w:t>将进入产业加速转型升级、创新驱动是主要动力、生产成本要素上升、城乡一体化发展、城市功能全面提升的重要阶段，</w:t>
      </w:r>
      <w:r>
        <w:rPr>
          <w:rFonts w:hint="default" w:ascii="Times New Roman" w:hAnsi="Times New Roman" w:eastAsia="方正仿宋_GBK" w:cs="Times New Roman"/>
          <w:bCs/>
          <w:kern w:val="0"/>
        </w:rPr>
        <w:t>未来五年将是易门加快产业结构调整、塑造新一轮发展优势、凸显发展新地位的重要历史时期。</w:t>
      </w:r>
    </w:p>
    <w:p>
      <w:pPr>
        <w:keepNext w:val="0"/>
        <w:keepLines w:val="0"/>
        <w:pageBreakBefore w:val="0"/>
        <w:widowControl w:val="0"/>
        <w:kinsoku/>
        <w:wordWrap/>
        <w:overflowPunct/>
        <w:topLinePunct w:val="0"/>
        <w:autoSpaceDN w:val="0"/>
        <w:bidi w:val="0"/>
        <w:adjustRightInd/>
        <w:snapToGrid/>
        <w:spacing w:beforeLines="30" w:afterLines="30" w:line="400" w:lineRule="exact"/>
        <w:ind w:firstLine="0" w:firstLineChars="0"/>
        <w:jc w:val="center"/>
        <w:rPr>
          <w:rFonts w:hint="default" w:ascii="Times New Roman" w:hAnsi="Times New Roman" w:eastAsia="方正楷体_GBK" w:cs="Times New Roman"/>
          <w:b/>
          <w:sz w:val="6"/>
        </w:rPr>
      </w:pPr>
      <w:r>
        <w:rPr>
          <w:rFonts w:hint="default" w:ascii="Times New Roman" w:hAnsi="Times New Roman" w:eastAsia="方正楷体_GBK" w:cs="Times New Roman"/>
          <w:bCs/>
          <w:sz w:val="28"/>
          <w:szCs w:val="28"/>
          <w:shd w:val="clear" w:color="auto" w:fill="FFFFFF"/>
        </w:rPr>
        <w:t>表1 易门工业化阶段判断</w:t>
      </w:r>
    </w:p>
    <w:tbl>
      <w:tblPr>
        <w:tblStyle w:val="21"/>
        <w:tblW w:w="91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6"/>
        <w:gridCol w:w="1260"/>
        <w:gridCol w:w="1094"/>
        <w:gridCol w:w="1426"/>
        <w:gridCol w:w="1769"/>
        <w:gridCol w:w="1590"/>
        <w:gridCol w:w="1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2116" w:type="dxa"/>
            <w:gridSpan w:val="2"/>
            <w:vMerge w:val="restart"/>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指标</w:t>
            </w:r>
          </w:p>
        </w:tc>
        <w:tc>
          <w:tcPr>
            <w:tcW w:w="4289" w:type="dxa"/>
            <w:gridSpan w:val="3"/>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工业化阶段</w:t>
            </w:r>
          </w:p>
        </w:tc>
        <w:tc>
          <w:tcPr>
            <w:tcW w:w="1590" w:type="dxa"/>
            <w:vMerge w:val="restart"/>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发达经济阶段</w:t>
            </w:r>
          </w:p>
        </w:tc>
        <w:tc>
          <w:tcPr>
            <w:tcW w:w="1168" w:type="dxa"/>
            <w:vMerge w:val="restart"/>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易门</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（20</w:t>
            </w:r>
            <w:r>
              <w:rPr>
                <w:rFonts w:hint="default" w:ascii="Times New Roman" w:hAnsi="Times New Roman" w:eastAsia="宋体" w:cs="Times New Roman"/>
                <w:sz w:val="20"/>
                <w:szCs w:val="22"/>
                <w:lang w:val="en-US" w:eastAsia="zh-CN"/>
              </w:rPr>
              <w:t>20</w:t>
            </w:r>
            <w:r>
              <w:rPr>
                <w:rFonts w:hint="default" w:ascii="Times New Roman" w:hAnsi="Times New Roman" w:eastAsia="宋体" w:cs="Times New Roman"/>
                <w:sz w:val="20"/>
                <w:szCs w:val="22"/>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2116" w:type="dxa"/>
            <w:gridSpan w:val="2"/>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初期</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中期</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后期</w:t>
            </w:r>
          </w:p>
        </w:tc>
        <w:tc>
          <w:tcPr>
            <w:tcW w:w="1590"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p>
        </w:tc>
        <w:tc>
          <w:tcPr>
            <w:tcW w:w="1168"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85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收入水平</w:t>
            </w:r>
          </w:p>
        </w:tc>
        <w:tc>
          <w:tcPr>
            <w:tcW w:w="126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人均GDP</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（美元）</w:t>
            </w: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2400-4800</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b w:val="0"/>
                <w:bCs w:val="0"/>
                <w:sz w:val="20"/>
                <w:szCs w:val="22"/>
              </w:rPr>
              <w:t>4800-9500</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b w:val="0"/>
                <w:bCs w:val="0"/>
                <w:sz w:val="20"/>
                <w:szCs w:val="22"/>
              </w:rPr>
              <w:t>9500-18000</w:t>
            </w:r>
          </w:p>
        </w:tc>
        <w:tc>
          <w:tcPr>
            <w:tcW w:w="159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18000-50000</w:t>
            </w:r>
          </w:p>
        </w:tc>
        <w:tc>
          <w:tcPr>
            <w:tcW w:w="1168"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lang w:val="en-US" w:eastAsia="zh-CN"/>
              </w:rPr>
            </w:pPr>
            <w:r>
              <w:rPr>
                <w:rFonts w:hint="default" w:ascii="Times New Roman" w:hAnsi="Times New Roman" w:eastAsia="宋体" w:cs="Times New Roman"/>
                <w:sz w:val="20"/>
                <w:szCs w:val="22"/>
                <w:lang w:val="en-US" w:eastAsia="zh-CN"/>
              </w:rPr>
              <w:t>13511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jc w:val="center"/>
        </w:trPr>
        <w:tc>
          <w:tcPr>
            <w:tcW w:w="85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产业</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结构</w:t>
            </w:r>
          </w:p>
        </w:tc>
        <w:tc>
          <w:tcPr>
            <w:tcW w:w="126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三次产业比例</w:t>
            </w: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一产高，二</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产低，三产高</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一产〈20%，二</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产〉三产且比重最大</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一产〈10%</w:t>
            </w:r>
            <w:r>
              <w:rPr>
                <w:rFonts w:hint="default" w:ascii="Times New Roman" w:hAnsi="Times New Roman" w:eastAsia="宋体" w:cs="Times New Roman"/>
                <w:b/>
                <w:bCs/>
                <w:sz w:val="20"/>
                <w:szCs w:val="22"/>
                <w:lang w:eastAsia="zh-CN"/>
              </w:rPr>
              <w:t>，</w:t>
            </w:r>
            <w:r>
              <w:rPr>
                <w:rFonts w:hint="default" w:ascii="Times New Roman" w:hAnsi="Times New Roman" w:eastAsia="宋体" w:cs="Times New Roman"/>
                <w:b/>
                <w:bCs/>
                <w:sz w:val="20"/>
                <w:szCs w:val="22"/>
              </w:rPr>
              <w:t>二产保持</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最高水平</w:t>
            </w:r>
            <w:r>
              <w:rPr>
                <w:rFonts w:hint="default" w:ascii="Times New Roman" w:hAnsi="Times New Roman" w:eastAsia="宋体" w:cs="Times New Roman"/>
                <w:b/>
                <w:bCs/>
                <w:sz w:val="20"/>
                <w:szCs w:val="22"/>
                <w:lang w:eastAsia="zh-CN"/>
              </w:rPr>
              <w:t>，</w:t>
            </w:r>
            <w:r>
              <w:rPr>
                <w:rFonts w:hint="default" w:ascii="Times New Roman" w:hAnsi="Times New Roman" w:eastAsia="宋体" w:cs="Times New Roman"/>
                <w:b/>
                <w:bCs/>
                <w:sz w:val="20"/>
                <w:szCs w:val="22"/>
              </w:rPr>
              <w:t>三产持续上升</w:t>
            </w:r>
          </w:p>
        </w:tc>
        <w:tc>
          <w:tcPr>
            <w:tcW w:w="159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一产低</w:t>
            </w:r>
            <w:r>
              <w:rPr>
                <w:rFonts w:hint="default" w:ascii="Times New Roman" w:hAnsi="Times New Roman" w:eastAsia="宋体" w:cs="Times New Roman"/>
                <w:sz w:val="20"/>
                <w:szCs w:val="22"/>
                <w:lang w:eastAsia="zh-CN"/>
              </w:rPr>
              <w:t>，</w:t>
            </w:r>
            <w:r>
              <w:rPr>
                <w:rFonts w:hint="default" w:ascii="Times New Roman" w:hAnsi="Times New Roman" w:eastAsia="宋体" w:cs="Times New Roman"/>
                <w:sz w:val="20"/>
                <w:szCs w:val="22"/>
              </w:rPr>
              <w:t>二产相对</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稳定或下降</w:t>
            </w:r>
            <w:r>
              <w:rPr>
                <w:rFonts w:hint="default" w:ascii="Times New Roman" w:hAnsi="Times New Roman" w:eastAsia="宋体" w:cs="Times New Roman"/>
                <w:sz w:val="20"/>
                <w:szCs w:val="22"/>
                <w:lang w:eastAsia="zh-CN"/>
              </w:rPr>
              <w:t>，</w:t>
            </w:r>
            <w:r>
              <w:rPr>
                <w:rFonts w:hint="default" w:ascii="Times New Roman" w:hAnsi="Times New Roman" w:eastAsia="宋体" w:cs="Times New Roman"/>
                <w:sz w:val="20"/>
                <w:szCs w:val="22"/>
              </w:rPr>
              <w:t>三产比重最高</w:t>
            </w:r>
          </w:p>
        </w:tc>
        <w:tc>
          <w:tcPr>
            <w:tcW w:w="1168"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lang w:val="en-US" w:eastAsia="zh-CN"/>
              </w:rPr>
            </w:pPr>
            <w:r>
              <w:rPr>
                <w:rFonts w:hint="default" w:ascii="Times New Roman" w:hAnsi="Times New Roman" w:eastAsia="宋体" w:cs="Times New Roman"/>
                <w:sz w:val="20"/>
                <w:szCs w:val="22"/>
                <w:lang w:val="en-US" w:eastAsia="zh-CN"/>
              </w:rPr>
              <w:t>13:32:55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jc w:val="center"/>
        </w:trPr>
        <w:tc>
          <w:tcPr>
            <w:tcW w:w="85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工业</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结构</w:t>
            </w:r>
          </w:p>
        </w:tc>
        <w:tc>
          <w:tcPr>
            <w:tcW w:w="126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轻重工业比例</w:t>
            </w: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轻工业占优</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以原料工业为中心的重工业</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化阶段</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以加工装配工业为中心的高加工化阶</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段</w:t>
            </w:r>
          </w:p>
        </w:tc>
        <w:tc>
          <w:tcPr>
            <w:tcW w:w="159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技术集约化时期</w:t>
            </w:r>
          </w:p>
        </w:tc>
        <w:tc>
          <w:tcPr>
            <w:tcW w:w="1168"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jc w:val="center"/>
        </w:trPr>
        <w:tc>
          <w:tcPr>
            <w:tcW w:w="85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就业</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结构</w:t>
            </w:r>
          </w:p>
        </w:tc>
        <w:tc>
          <w:tcPr>
            <w:tcW w:w="126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非农产业就</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业比例</w:t>
            </w: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40－55%</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55－70%</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70－90%</w:t>
            </w:r>
          </w:p>
        </w:tc>
        <w:tc>
          <w:tcPr>
            <w:tcW w:w="159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90%以上</w:t>
            </w:r>
          </w:p>
        </w:tc>
        <w:tc>
          <w:tcPr>
            <w:tcW w:w="1168"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53.74％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jc w:val="center"/>
        </w:trPr>
        <w:tc>
          <w:tcPr>
            <w:tcW w:w="85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城镇化</w:t>
            </w:r>
          </w:p>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水平</w:t>
            </w:r>
          </w:p>
        </w:tc>
        <w:tc>
          <w:tcPr>
            <w:tcW w:w="126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城镇化率</w:t>
            </w:r>
          </w:p>
        </w:tc>
        <w:tc>
          <w:tcPr>
            <w:tcW w:w="1094"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〈10%</w:t>
            </w:r>
          </w:p>
        </w:tc>
        <w:tc>
          <w:tcPr>
            <w:tcW w:w="1426"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10－30%</w:t>
            </w:r>
          </w:p>
        </w:tc>
        <w:tc>
          <w:tcPr>
            <w:tcW w:w="1769"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b/>
                <w:bCs/>
                <w:sz w:val="20"/>
                <w:szCs w:val="22"/>
              </w:rPr>
            </w:pPr>
            <w:r>
              <w:rPr>
                <w:rFonts w:hint="default" w:ascii="Times New Roman" w:hAnsi="Times New Roman" w:eastAsia="宋体" w:cs="Times New Roman"/>
                <w:b/>
                <w:bCs/>
                <w:sz w:val="20"/>
                <w:szCs w:val="22"/>
              </w:rPr>
              <w:t>30－70%</w:t>
            </w:r>
          </w:p>
        </w:tc>
        <w:tc>
          <w:tcPr>
            <w:tcW w:w="1590"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〉70%</w:t>
            </w:r>
          </w:p>
        </w:tc>
        <w:tc>
          <w:tcPr>
            <w:tcW w:w="1168" w:type="dxa"/>
            <w:vAlign w:val="center"/>
          </w:tcPr>
          <w:p>
            <w:pPr>
              <w:keepNext w:val="0"/>
              <w:keepLines w:val="0"/>
              <w:pageBreakBefore w:val="0"/>
              <w:widowControl w:val="0"/>
              <w:kinsoku/>
              <w:wordWrap/>
              <w:overflowPunct/>
              <w:topLinePunct w:val="0"/>
              <w:bidi w:val="0"/>
              <w:adjustRightInd/>
              <w:snapToGrid/>
              <w:spacing w:line="240" w:lineRule="exact"/>
              <w:ind w:firstLine="0" w:firstLineChars="0"/>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t>48.96%</w:t>
            </w:r>
          </w:p>
        </w:tc>
      </w:tr>
    </w:tbl>
    <w:p>
      <w:pPr>
        <w:keepNext w:val="0"/>
        <w:keepLines w:val="0"/>
        <w:pageBreakBefore w:val="0"/>
        <w:widowControl w:val="0"/>
        <w:kinsoku/>
        <w:wordWrap/>
        <w:overflowPunct/>
        <w:topLinePunct w:val="0"/>
        <w:bidi w:val="0"/>
        <w:adjustRightInd/>
        <w:snapToGrid/>
        <w:spacing w:line="240" w:lineRule="exact"/>
        <w:ind w:firstLine="31680"/>
        <w:rPr>
          <w:rFonts w:hint="default" w:ascii="Times New Roman" w:hAnsi="Times New Roman" w:eastAsia="宋体" w:cs="Times New Roman"/>
          <w:sz w:val="20"/>
          <w:szCs w:val="22"/>
        </w:rPr>
      </w:pPr>
      <w:r>
        <w:rPr>
          <w:rFonts w:hint="default" w:ascii="Times New Roman" w:hAnsi="Times New Roman" w:eastAsia="方正仿宋_GBK" w:cs="Times New Roman"/>
          <w:sz w:val="20"/>
          <w:szCs w:val="22"/>
        </w:rPr>
        <w:t>注：收入水平参照钱纳里（2005年美元）；产业结构参照西蒙·库兹涅茨；这一理论的主要研究对象虽然是国家层面，但可以作为地区之间经济发展比较的参考。表中易门数据为2015年数值。</w:t>
      </w:r>
    </w:p>
    <w:p>
      <w:pPr>
        <w:keepNext w:val="0"/>
        <w:keepLines w:val="0"/>
        <w:pageBreakBefore w:val="0"/>
        <w:widowControl w:val="0"/>
        <w:tabs>
          <w:tab w:val="left" w:pos="781"/>
        </w:tabs>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4.深化改革开放</w:t>
      </w:r>
      <w:r>
        <w:rPr>
          <w:rFonts w:hint="default" w:ascii="Times New Roman" w:hAnsi="Times New Roman" w:eastAsia="方正仿宋_GBK" w:cs="Times New Roman"/>
          <w:b/>
          <w:bCs/>
          <w:szCs w:val="32"/>
          <w:lang w:eastAsia="zh-CN"/>
        </w:rPr>
        <w:t>取得</w:t>
      </w:r>
      <w:r>
        <w:rPr>
          <w:rFonts w:hint="default" w:ascii="Times New Roman" w:hAnsi="Times New Roman" w:eastAsia="方正仿宋_GBK" w:cs="Times New Roman"/>
          <w:b/>
          <w:bCs/>
          <w:szCs w:val="32"/>
        </w:rPr>
        <w:t>新突破。</w:t>
      </w:r>
      <w:r>
        <w:rPr>
          <w:rFonts w:hint="default" w:ascii="Times New Roman" w:hAnsi="Times New Roman" w:eastAsia="方正仿宋_GBK" w:cs="Times New Roman"/>
          <w:szCs w:val="32"/>
        </w:rPr>
        <w:t>营商环境更加优化，纵深推进“放管服”改革，完成了新一轮政府机构改革；以“一窗办、一网办、简化办、马上办”改革为抓手，持续推进“放管服”改革和审批服务便民化，推行“互联网+政务服务”，实施企业登记全程电子化管理，实行投资项目高效审批改革，行政审批提速明显。深化财税金融体制改革，“营改增”工作全面推开。事中事后监管体系建设不断加强，全面推行了市场监管领域部门联合“双随机、一公开”监管改革。农村土地承包经营权确权登记颁证工作圆满收官，有序推进了农村土地合法流转。开放型经济态势总体良好，成功举办第12~16届中国·云南野生食用菌交易会，易门影响力不断增强。</w:t>
      </w:r>
    </w:p>
    <w:p>
      <w:pPr>
        <w:pStyle w:val="4"/>
        <w:keepNext w:val="0"/>
        <w:keepLines w:val="0"/>
        <w:pageBreakBefore w:val="0"/>
        <w:widowControl w:val="0"/>
        <w:kinsoku/>
        <w:wordWrap/>
        <w:overflowPunct/>
        <w:topLinePunct w:val="0"/>
        <w:autoSpaceDE/>
        <w:bidi w:val="0"/>
        <w:adjustRightInd/>
        <w:snapToGrid/>
        <w:ind w:firstLine="31680"/>
        <w:textAlignment w:val="auto"/>
        <w:rPr>
          <w:rFonts w:hint="default" w:ascii="Times New Roman" w:hAnsi="Times New Roman" w:eastAsia="方正楷体_GBK" w:cs="Times New Roman"/>
          <w:lang w:val="en-US"/>
        </w:rPr>
      </w:pPr>
      <w:bookmarkStart w:id="30" w:name="_Toc4573"/>
      <w:r>
        <w:rPr>
          <w:rFonts w:hint="default" w:ascii="Times New Roman" w:hAnsi="Times New Roman" w:eastAsia="方正楷体_GBK" w:cs="Times New Roman"/>
          <w:lang w:val="en-US"/>
        </w:rPr>
        <w:t>（三）</w:t>
      </w:r>
      <w:r>
        <w:rPr>
          <w:rFonts w:hint="default" w:ascii="Times New Roman" w:hAnsi="Times New Roman" w:eastAsia="方正楷体_GBK" w:cs="Times New Roman"/>
          <w:lang w:val="en-US" w:eastAsia="zh-CN"/>
        </w:rPr>
        <w:t>合作</w:t>
      </w:r>
      <w:r>
        <w:rPr>
          <w:rFonts w:hint="default" w:ascii="Times New Roman" w:hAnsi="Times New Roman" w:eastAsia="方正楷体_GBK" w:cs="Times New Roman"/>
          <w:lang w:val="en-US"/>
        </w:rPr>
        <w:t>成效</w:t>
      </w:r>
      <w:bookmarkEnd w:id="30"/>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color w:val="000000"/>
          <w:kern w:val="21"/>
          <w:szCs w:val="32"/>
        </w:rPr>
      </w:pPr>
      <w:r>
        <w:rPr>
          <w:rFonts w:hint="default" w:ascii="Times New Roman" w:hAnsi="Times New Roman" w:eastAsia="方正仿宋_GBK" w:cs="Times New Roman"/>
          <w:color w:val="000000"/>
          <w:kern w:val="21"/>
          <w:szCs w:val="32"/>
        </w:rPr>
        <w:t>“十三五”期间，易门以“大招商、招大商、精准招商、高效招商”为目标全力推进，不断创新和改进招商方式、深化拓展对外合作交流、加大项目引进和建设力度，有效应对了各种风险和挑战，为全县经济社会转型跨越发展做出了重要贡献。</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color w:val="000000"/>
          <w:kern w:val="21"/>
          <w:szCs w:val="32"/>
        </w:rPr>
      </w:pPr>
      <w:r>
        <w:rPr>
          <w:rFonts w:hint="default" w:ascii="Times New Roman" w:hAnsi="Times New Roman" w:eastAsia="方正仿宋_GBK" w:cs="Times New Roman"/>
          <w:b/>
          <w:bCs/>
          <w:color w:val="000000"/>
          <w:kern w:val="21"/>
          <w:szCs w:val="32"/>
        </w:rPr>
        <w:t>1.招商引资规模不断扩大。</w:t>
      </w:r>
      <w:r>
        <w:rPr>
          <w:rFonts w:hint="default" w:ascii="Times New Roman" w:hAnsi="Times New Roman" w:eastAsia="方正仿宋_GBK" w:cs="Times New Roman"/>
          <w:color w:val="000000"/>
          <w:kern w:val="21"/>
          <w:szCs w:val="32"/>
        </w:rPr>
        <w:t>2016-2019年，全县实际利用市外国内资金增速均达到两位数以上，分别为：18.5%、18.3%、11.0%、10.6%。尤其是2018年、2019年，在全国经济下行形势严峻的情况下，仍顶住压力达到两位数增长。2020年，尽管受到新冠肺炎疫情的冲击，但易门招商引资工作也取得巨大突破，全年实现利用市外国内资金、外资均完成目标任务的100%。</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rPr>
        <w:t>2.投资来源</w:t>
      </w:r>
      <w:r>
        <w:rPr>
          <w:rFonts w:hint="default" w:ascii="Times New Roman" w:hAnsi="Times New Roman" w:eastAsia="方正仿宋_GBK" w:cs="Times New Roman"/>
          <w:b/>
          <w:bCs/>
          <w:lang w:eastAsia="zh-CN"/>
        </w:rPr>
        <w:t>区域</w:t>
      </w:r>
      <w:r>
        <w:rPr>
          <w:rFonts w:hint="default" w:ascii="Times New Roman" w:hAnsi="Times New Roman" w:eastAsia="方正仿宋_GBK" w:cs="Times New Roman"/>
          <w:b/>
          <w:bCs/>
        </w:rPr>
        <w:t>愈加广阔。</w:t>
      </w:r>
      <w:r>
        <w:rPr>
          <w:rFonts w:hint="default" w:ascii="Times New Roman" w:hAnsi="Times New Roman" w:eastAsia="方正仿宋_GBK" w:cs="Times New Roman"/>
          <w:bCs/>
          <w:color w:val="000000"/>
          <w:kern w:val="21"/>
          <w:szCs w:val="32"/>
        </w:rPr>
        <w:t>2016-2019年，全县</w:t>
      </w:r>
      <w:r>
        <w:rPr>
          <w:rFonts w:hint="default" w:ascii="Times New Roman" w:hAnsi="Times New Roman" w:eastAsia="方正仿宋_GBK" w:cs="Times New Roman"/>
          <w:bCs/>
          <w:szCs w:val="32"/>
        </w:rPr>
        <w:t>实际利用市外国内资金中，省外资金占比分别为：75.6%、74.4%、76.1%、80.7%，省外资金占比均达七成以上。投资来源地涉及全国22个省、市，范围从以广东、福建、浙江、江苏为重点区域向泛珠三角、长三角、环渤海、京津冀和川渝地区不断扩大。</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
          <w:bCs/>
        </w:rPr>
        <w:t>3.工业项目签约形势喜人</w:t>
      </w:r>
      <w:r>
        <w:rPr>
          <w:rFonts w:hint="default" w:ascii="Times New Roman" w:hAnsi="Times New Roman" w:eastAsia="方正仿宋_GBK" w:cs="Times New Roman"/>
        </w:rPr>
        <w:t>。</w:t>
      </w:r>
      <w:r>
        <w:rPr>
          <w:rFonts w:hint="default" w:ascii="Times New Roman" w:hAnsi="Times New Roman" w:eastAsia="方正仿宋_GBK" w:cs="Times New Roman"/>
          <w:bCs/>
          <w:color w:val="000000"/>
          <w:kern w:val="21"/>
          <w:szCs w:val="32"/>
        </w:rPr>
        <w:t>2016-2019年，</w:t>
      </w:r>
      <w:r>
        <w:rPr>
          <w:rFonts w:hint="default" w:ascii="Times New Roman" w:hAnsi="Times New Roman" w:eastAsia="方正仿宋_GBK" w:cs="Times New Roman"/>
          <w:bCs/>
          <w:szCs w:val="32"/>
        </w:rPr>
        <w:t>全县签约招商引资项目中，工业类项目占七成。易门工业园区从刚开始的陶瓷特色工业园区不断发展壮大，产业类别更加多元，有色金属、建材、现代物流、金属制品、轻化工、装备制造、新材料、生物医药、特色食品制造、日用品制造、消费品制造等产业相继入园，与每年招商引资引进大量的工业项目有着密不可分的关系。</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rPr>
        <w:t>4.一三产业招商成效突出。</w:t>
      </w:r>
      <w:r>
        <w:rPr>
          <w:rFonts w:hint="default" w:ascii="Times New Roman" w:hAnsi="Times New Roman" w:eastAsia="方正仿宋_GBK" w:cs="Times New Roman"/>
          <w:bCs/>
          <w:szCs w:val="32"/>
        </w:rPr>
        <w:t>在保持工业产业主导地位不动摇的同时，易门不断加强第一产业、第三产业招商力度，2016-2</w:t>
      </w:r>
      <w:r>
        <w:rPr>
          <w:rFonts w:hint="default" w:ascii="Times New Roman" w:hAnsi="Times New Roman" w:eastAsia="方正仿宋_GBK" w:cs="Times New Roman"/>
          <w:bCs/>
          <w:szCs w:val="32"/>
          <w:lang w:val="en-US" w:eastAsia="zh-CN"/>
        </w:rPr>
        <w:t>0</w:t>
      </w:r>
      <w:r>
        <w:rPr>
          <w:rFonts w:hint="default" w:ascii="Times New Roman" w:hAnsi="Times New Roman" w:eastAsia="方正仿宋_GBK" w:cs="Times New Roman"/>
          <w:bCs/>
          <w:szCs w:val="32"/>
        </w:rPr>
        <w:t>19年，实际利用市外资金中，一、三产业项目到位资金占比逐步提高，其中第一产业从7%提升至16%；第三产业从19%提升至28%。现代农业种植养殖、文化旅游等项目不断增加。</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cs="Times New Roman"/>
        </w:rPr>
      </w:pPr>
      <w:r>
        <w:rPr>
          <w:rFonts w:hint="default" w:ascii="Times New Roman" w:hAnsi="Times New Roman" w:eastAsia="方正仿宋_GBK" w:cs="Times New Roman"/>
          <w:b/>
          <w:bCs/>
        </w:rPr>
        <w:t>5.亿元以上项目逐年增加。</w:t>
      </w:r>
      <w:r>
        <w:rPr>
          <w:rFonts w:hint="default" w:ascii="Times New Roman" w:hAnsi="Times New Roman" w:eastAsia="方正仿宋_GBK" w:cs="Times New Roman"/>
          <w:bCs/>
          <w:szCs w:val="32"/>
        </w:rPr>
        <w:t>“十三五”期间，易门高度重视大项目的引进工作，2016-2020年，引进亿元以上工业项目数分别为：2个、4个、5个、5个、5个。雄塑科技、康贝特生物科技、大椿树水泥、官房钢构、裕隆盛食品、海沣药业、佑生药业等这些大项目的进驻，对易门工业产业结构的优化、带动作用十分显著。</w:t>
      </w:r>
    </w:p>
    <w:p>
      <w:pPr>
        <w:pStyle w:val="4"/>
        <w:keepNext w:val="0"/>
        <w:keepLines w:val="0"/>
        <w:pageBreakBefore w:val="0"/>
        <w:widowControl w:val="0"/>
        <w:kinsoku/>
        <w:wordWrap/>
        <w:overflowPunct/>
        <w:topLinePunct w:val="0"/>
        <w:autoSpaceDE/>
        <w:bidi w:val="0"/>
        <w:adjustRightInd/>
        <w:snapToGrid/>
        <w:ind w:firstLine="31680"/>
        <w:textAlignment w:val="auto"/>
        <w:rPr>
          <w:rFonts w:hint="default" w:ascii="Times New Roman" w:hAnsi="Times New Roman" w:eastAsia="方正楷体_GBK" w:cs="Times New Roman"/>
          <w:lang w:val="en-US"/>
        </w:rPr>
      </w:pPr>
      <w:bookmarkStart w:id="31" w:name="_Toc26253"/>
      <w:r>
        <w:rPr>
          <w:rFonts w:hint="default" w:ascii="Times New Roman" w:hAnsi="Times New Roman" w:eastAsia="方正楷体_GBK" w:cs="Times New Roman"/>
          <w:lang w:val="en-US"/>
        </w:rPr>
        <w:t>（四）存在问题</w:t>
      </w:r>
      <w:bookmarkEnd w:id="31"/>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客观审视现实，</w:t>
      </w:r>
      <w:r>
        <w:rPr>
          <w:rFonts w:hint="default" w:ascii="Times New Roman" w:hAnsi="Times New Roman" w:eastAsia="方正仿宋_GBK" w:cs="Times New Roman"/>
          <w:szCs w:val="32"/>
          <w:lang w:eastAsia="zh-CN"/>
        </w:rPr>
        <w:t>“十三五”以来，</w:t>
      </w:r>
      <w:r>
        <w:rPr>
          <w:rFonts w:hint="default" w:ascii="Times New Roman" w:hAnsi="Times New Roman" w:eastAsia="方正仿宋_GBK" w:cs="Times New Roman"/>
          <w:szCs w:val="32"/>
        </w:rPr>
        <w:t>易门区域合作、招商引资虽然取得了显著成效，但面向“十四五”</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易门正处在转型发展的“攻坚期”，发展不足仍将是最大的县情，加快区域合作发展和招商仍然存在亟待解决的问题。主要是：资金投向与产业规划导向结合不紧密，外来投资结构不优，大项目好项目缺乏；产业布局有待优化，产业集聚效果不明显；机制创新进展缓慢，园区体制机制还未理顺，招商引资工作主动性不足；招商引资工作经费、人员等各项保障不足；交通瓶颈制约依然突出，土地、人才、技术、资本等要素保障不足，投资吸引力不强。“十四五”招商引资工作中，必须高度重视，认真解决这些问题。</w:t>
      </w:r>
    </w:p>
    <w:bookmarkEnd w:id="23"/>
    <w:p>
      <w:pPr>
        <w:pStyle w:val="3"/>
        <w:keepNext w:val="0"/>
        <w:keepLines w:val="0"/>
        <w:pageBreakBefore w:val="0"/>
        <w:widowControl w:val="0"/>
        <w:tabs>
          <w:tab w:val="center" w:pos="4538"/>
        </w:tabs>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方正黑体_GBK" w:cs="Times New Roman"/>
        </w:rPr>
      </w:pPr>
      <w:bookmarkStart w:id="32" w:name="_Toc6326"/>
      <w:bookmarkStart w:id="33" w:name="_Toc31941"/>
      <w:r>
        <w:rPr>
          <w:rFonts w:hint="default" w:ascii="Times New Roman" w:hAnsi="Times New Roman" w:eastAsia="方正黑体_GBK" w:cs="Times New Roman"/>
        </w:rPr>
        <w:t>二、发展形势</w:t>
      </w:r>
      <w:bookmarkEnd w:id="32"/>
      <w:bookmarkEnd w:id="33"/>
    </w:p>
    <w:p>
      <w:pPr>
        <w:pStyle w:val="41"/>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bookmarkStart w:id="34" w:name="_Toc24206"/>
      <w:r>
        <w:rPr>
          <w:rFonts w:hint="default" w:ascii="Times New Roman" w:hAnsi="Times New Roman" w:eastAsia="方正仿宋_GBK" w:cs="Times New Roman"/>
          <w:szCs w:val="32"/>
        </w:rPr>
        <w:t>“十四五”时期，我国经济社会发展进入新常态的深刻变革、大转型和新竞合时期，易门将进入“追赶超越”新阶段，招商引资的内涵和外延发生深刻变化，既具有广阔的发展前景和有利条件，也面临诸多矛盾叠加、风险隐患增多的不利条件和严峻挑战。</w:t>
      </w:r>
    </w:p>
    <w:p>
      <w:pPr>
        <w:pStyle w:val="4"/>
        <w:keepNext w:val="0"/>
        <w:keepLines w:val="0"/>
        <w:pageBreakBefore w:val="0"/>
        <w:widowControl w:val="0"/>
        <w:kinsoku/>
        <w:wordWrap/>
        <w:overflowPunct/>
        <w:topLinePunct w:val="0"/>
        <w:autoSpaceDE/>
        <w:bidi w:val="0"/>
        <w:adjustRightInd/>
        <w:snapToGrid/>
        <w:ind w:firstLine="31680"/>
        <w:textAlignment w:val="auto"/>
        <w:rPr>
          <w:rFonts w:hint="default" w:ascii="Times New Roman" w:hAnsi="Times New Roman" w:eastAsia="方正楷体_GBK" w:cs="Times New Roman"/>
          <w:lang w:val="en-US"/>
        </w:rPr>
      </w:pPr>
      <w:bookmarkStart w:id="35" w:name="_Toc4150"/>
      <w:r>
        <w:rPr>
          <w:rFonts w:hint="default" w:ascii="Times New Roman" w:hAnsi="Times New Roman" w:eastAsia="方正楷体_GBK" w:cs="Times New Roman"/>
          <w:lang w:val="en-US"/>
        </w:rPr>
        <w:t>（一）重大机遇</w:t>
      </w:r>
      <w:bookmarkEnd w:id="34"/>
      <w:bookmarkEnd w:id="35"/>
    </w:p>
    <w:p>
      <w:pPr>
        <w:pStyle w:val="41"/>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十四五”时期是易门由全面建成小康社会向基本实现社会主义现代化迈进的关键时期，是推动易门现代化高质量跨越式发展的重要时期。眺看发展大势，易门正处于振兴发展的“窗口期”，区域合作中，面对的机遇多、潜力大、势头好。“十四五”期间乃至到2035年，易门“十四五”期间面临难得的历史机遇。</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bookmarkStart w:id="36" w:name="_Toc15998"/>
      <w:bookmarkStart w:id="37" w:name="_Toc11399"/>
      <w:r>
        <w:rPr>
          <w:rFonts w:hint="default" w:ascii="Times New Roman" w:hAnsi="Times New Roman" w:eastAsia="方正仿宋_GBK" w:cs="Times New Roman"/>
          <w:b/>
          <w:bCs/>
        </w:rPr>
        <w:t>1.战略机遇</w:t>
      </w:r>
      <w:bookmarkEnd w:id="36"/>
      <w:bookmarkEnd w:id="37"/>
      <w:r>
        <w:rPr>
          <w:rFonts w:hint="default" w:ascii="Times New Roman" w:hAnsi="Times New Roman" w:eastAsia="方正仿宋_GBK" w:cs="Times New Roman"/>
          <w:b/>
          <w:bCs/>
        </w:rPr>
        <w:t>。</w:t>
      </w:r>
      <w:r>
        <w:rPr>
          <w:rFonts w:hint="default" w:ascii="Times New Roman" w:hAnsi="Times New Roman" w:eastAsia="方正仿宋_GBK" w:cs="Times New Roman"/>
          <w:szCs w:val="32"/>
        </w:rPr>
        <w:t>“十四五”时期，国家“一带一路”、粤港澳大湾区、西部大开发、乡村振兴等国家重大战略和趋势，为易门经济社会发展提供了有利环境；云南深入贯彻习</w:t>
      </w:r>
      <w:r>
        <w:rPr>
          <w:rFonts w:hint="eastAsia" w:ascii="Times New Roman" w:hAnsi="Times New Roman" w:cs="Times New Roman"/>
          <w:szCs w:val="32"/>
          <w:lang w:eastAsia="zh-CN"/>
        </w:rPr>
        <w:t>近平</w:t>
      </w:r>
      <w:r>
        <w:rPr>
          <w:rFonts w:hint="default" w:ascii="Times New Roman" w:hAnsi="Times New Roman" w:eastAsia="方正仿宋_GBK" w:cs="Times New Roman"/>
          <w:szCs w:val="32"/>
        </w:rPr>
        <w:t>总书记考察云南重要指示、落实“三大定位”、构建“两型三化”现代产业体系、打造世界一流绿色“三张牌”、建设成为生态文明排头兵和“最美丽省份”实施，为易门经济社会发展提供了良好契机；昆玉同城化、</w:t>
      </w:r>
      <w:r>
        <w:rPr>
          <w:rFonts w:hint="default" w:ascii="Times New Roman" w:hAnsi="Times New Roman" w:eastAsia="方正仿宋_GBK" w:cs="Times New Roman"/>
        </w:rPr>
        <w:t>玉溪“两区一高地”发展定位、玉溪“一核三带”生产力布局，</w:t>
      </w:r>
      <w:r>
        <w:rPr>
          <w:rFonts w:hint="default" w:ascii="Times New Roman" w:hAnsi="Times New Roman" w:eastAsia="方正仿宋_GBK" w:cs="Times New Roman"/>
          <w:szCs w:val="32"/>
        </w:rPr>
        <w:t>为易门产业高质量发展提供了广阔空间。同时，更为重要的是，我国“两新一重”的深入实施和《区域全面经济伙伴关系协定》（RCEP）的签署，对于基础设施相对薄弱、经济总量相对较小的易门来讲，是重大利好。</w:t>
      </w:r>
      <w:bookmarkStart w:id="38" w:name="_Toc24504"/>
      <w:bookmarkStart w:id="39" w:name="_Toc30893"/>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b/>
          <w:bCs/>
        </w:rPr>
        <w:t>2.政策机遇</w:t>
      </w:r>
      <w:bookmarkEnd w:id="38"/>
      <w:bookmarkEnd w:id="39"/>
      <w:r>
        <w:rPr>
          <w:rFonts w:hint="default" w:ascii="Times New Roman" w:hAnsi="Times New Roman" w:eastAsia="方正仿宋_GBK" w:cs="Times New Roman"/>
          <w:b/>
          <w:bCs/>
        </w:rPr>
        <w:t>。</w:t>
      </w:r>
      <w:r>
        <w:rPr>
          <w:rFonts w:hint="default" w:ascii="Times New Roman" w:hAnsi="Times New Roman" w:eastAsia="方正仿宋_GBK" w:cs="Times New Roman"/>
          <w:szCs w:val="32"/>
        </w:rPr>
        <w:t>2020年新冠疫情</w:t>
      </w:r>
      <w:r>
        <w:rPr>
          <w:rFonts w:hint="default" w:ascii="Times New Roman" w:hAnsi="Times New Roman" w:eastAsia="方正仿宋_GBK" w:cs="Times New Roman"/>
          <w:szCs w:val="32"/>
          <w:lang w:eastAsia="zh-CN"/>
        </w:rPr>
        <w:t>发生</w:t>
      </w:r>
      <w:r>
        <w:rPr>
          <w:rFonts w:hint="default" w:ascii="Times New Roman" w:hAnsi="Times New Roman" w:eastAsia="方正仿宋_GBK" w:cs="Times New Roman"/>
          <w:szCs w:val="32"/>
        </w:rPr>
        <w:t>以来，国家全面加快了</w:t>
      </w:r>
      <w:bookmarkStart w:id="104" w:name="_GoBack"/>
      <w:bookmarkEnd w:id="104"/>
      <w:r>
        <w:rPr>
          <w:rFonts w:hint="eastAsia" w:ascii="Times New Roman" w:hAnsi="Times New Roman" w:cs="Times New Roman"/>
          <w:szCs w:val="32"/>
          <w:lang w:eastAsia="zh-CN"/>
        </w:rPr>
        <w:t>“六稳”、“六保”</w:t>
      </w:r>
      <w:r>
        <w:rPr>
          <w:rFonts w:hint="default" w:ascii="Times New Roman" w:hAnsi="Times New Roman" w:eastAsia="方正仿宋_GBK" w:cs="Times New Roman"/>
          <w:szCs w:val="32"/>
          <w:vertAlign w:val="superscript"/>
        </w:rPr>
        <w:footnoteReference w:id="1"/>
      </w:r>
      <w:r>
        <w:rPr>
          <w:rFonts w:hint="default" w:ascii="Times New Roman" w:hAnsi="Times New Roman" w:eastAsia="方正仿宋_GBK" w:cs="Times New Roman"/>
          <w:szCs w:val="32"/>
        </w:rPr>
        <w:t>等方面的工作，中共中央、国务院连续发布了《关于新时代加快完善社会主义市场经济体制的意见》《关于新时代推进西部大开发形成新格局的指导意见》等文件，云南省也发布了《关于支持实体经济发展的若干措施》《关于扩大有效投资促进经济发展的通知》等文件，这些政策对易门未来发展带来好机遇，特别是“三农”方面，中央及省级涉农单位，从农业发展、农村改革等方面制定了含金量高、指导性强的政策措施，构建起了覆盖全面、重点突出的农业发展制度。从党中央国务院到云南省委省政府，再到玉溪市委市政府的各级政策，为易门争取财力支持、盘活存量资源和推动重大项目建设提供难得的政策性机遇。</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bookmarkStart w:id="40" w:name="_Toc30869"/>
      <w:bookmarkStart w:id="41" w:name="_Toc21560"/>
      <w:r>
        <w:rPr>
          <w:rFonts w:hint="default" w:ascii="Times New Roman" w:hAnsi="Times New Roman" w:eastAsia="方正仿宋_GBK" w:cs="Times New Roman"/>
          <w:b/>
          <w:bCs/>
        </w:rPr>
        <w:t>3.市场机遇</w:t>
      </w:r>
      <w:bookmarkEnd w:id="40"/>
      <w:bookmarkEnd w:id="41"/>
      <w:r>
        <w:rPr>
          <w:rFonts w:hint="default" w:ascii="Times New Roman" w:hAnsi="Times New Roman" w:eastAsia="方正仿宋_GBK" w:cs="Times New Roman"/>
          <w:b/>
          <w:bCs/>
        </w:rPr>
        <w:t>。</w:t>
      </w:r>
      <w:r>
        <w:rPr>
          <w:rFonts w:hint="default" w:ascii="Times New Roman" w:hAnsi="Times New Roman" w:eastAsia="方正仿宋_GBK" w:cs="Times New Roman"/>
          <w:szCs w:val="32"/>
        </w:rPr>
        <w:t>习近平总书记提出：“面向未来，我们要把满足国内需求作为发展的出发点和落脚点，加快构建完整的内需体系，逐步形成以国内大循环为主体、国内国际双循环相互促进的新发展格局，培育新形势下我国参与国际合作和竞争新优势”。尽管2020年突如其来的新冠肺炎疫情对我国消费市场带来巨大冲击，但随着疫情得到有效控制，“十四五”期间，我国内需市场仍有巨大潜力。强大的国内市场，为易门安全、优质、生态的特色农产品巨大国内市场，而新冠肺炎疫情催生的“带货直播”等电子商务新业态，也为特色产业、特色产品转型升级创造了契机。同时，大众旅游时代，也为易门文化旅游的升级带来重大机遇。</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bookmarkStart w:id="42" w:name="_Toc982"/>
      <w:bookmarkStart w:id="43" w:name="_Toc14669"/>
      <w:r>
        <w:rPr>
          <w:rFonts w:hint="default" w:ascii="Times New Roman" w:hAnsi="Times New Roman" w:eastAsia="方正仿宋_GBK" w:cs="Times New Roman"/>
          <w:b/>
          <w:bCs/>
        </w:rPr>
        <w:t>4.其他机遇</w:t>
      </w:r>
      <w:bookmarkEnd w:id="42"/>
      <w:bookmarkEnd w:id="43"/>
      <w:r>
        <w:rPr>
          <w:rFonts w:hint="default" w:ascii="Times New Roman" w:hAnsi="Times New Roman" w:eastAsia="方正仿宋_GBK" w:cs="Times New Roman"/>
          <w:b/>
          <w:bCs/>
        </w:rPr>
        <w:t>。</w:t>
      </w:r>
      <w:r>
        <w:rPr>
          <w:rFonts w:hint="default" w:ascii="Times New Roman" w:hAnsi="Times New Roman" w:eastAsia="方正仿宋_GBK" w:cs="Times New Roman"/>
          <w:szCs w:val="32"/>
        </w:rPr>
        <w:t>新一轮技术革命和产业变革为易门产业升级带来重大机遇。当前，以人工智能、区块链、云计算、大数据Data、5G为重点的新技术正在加速发展，这为易门传统产业转型升级，探索为新技术提供应用基地、应用场景、应用资源，走以“应用试验换产业、以市场开放换产业”的发展路子带来重大机遇，可以在全省、全国科技发展的浪潮中分享发展红利。</w:t>
      </w:r>
    </w:p>
    <w:p>
      <w:pPr>
        <w:pStyle w:val="4"/>
        <w:keepNext w:val="0"/>
        <w:keepLines w:val="0"/>
        <w:pageBreakBefore w:val="0"/>
        <w:widowControl w:val="0"/>
        <w:kinsoku/>
        <w:wordWrap/>
        <w:overflowPunct/>
        <w:topLinePunct w:val="0"/>
        <w:autoSpaceDE/>
        <w:bidi w:val="0"/>
        <w:adjustRightInd/>
        <w:snapToGrid/>
        <w:ind w:firstLine="31680"/>
        <w:textAlignment w:val="auto"/>
        <w:rPr>
          <w:rFonts w:hint="default" w:ascii="Times New Roman" w:hAnsi="Times New Roman" w:eastAsia="方正楷体_GBK" w:cs="Times New Roman"/>
          <w:lang w:val="en-US"/>
        </w:rPr>
      </w:pPr>
      <w:bookmarkStart w:id="44" w:name="_Toc23243"/>
      <w:bookmarkStart w:id="45" w:name="_Toc4716"/>
      <w:r>
        <w:rPr>
          <w:rFonts w:hint="default" w:ascii="Times New Roman" w:hAnsi="Times New Roman" w:eastAsia="方正楷体_GBK" w:cs="Times New Roman"/>
          <w:lang w:val="en-US"/>
        </w:rPr>
        <w:t>（二）潜在挑战</w:t>
      </w:r>
      <w:bookmarkEnd w:id="44"/>
      <w:bookmarkEnd w:id="45"/>
    </w:p>
    <w:p>
      <w:pPr>
        <w:pStyle w:val="41"/>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总体上看，易门面临快转型、快突破、快赶超的压力，也面临环保、土地、融资等方面的要素制约。新冠肺炎疫情必将影响“十四五”乃至更长时期全国各地的产业链条和对外贸易销售网络。对易门而言，由于产业层次不高、竞争力不强，加快新旧动能转换任务重、压力大。“十四五”区域合作面临的挑战将更多，外部环境带来的影响更为深刻。</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bCs/>
          <w:szCs w:val="32"/>
        </w:rPr>
      </w:pPr>
      <w:bookmarkStart w:id="46" w:name="_Toc30665"/>
      <w:bookmarkStart w:id="47" w:name="_Toc15785"/>
      <w:r>
        <w:rPr>
          <w:rFonts w:hint="default" w:ascii="Times New Roman" w:hAnsi="Times New Roman" w:eastAsia="方正仿宋_GBK" w:cs="Times New Roman"/>
          <w:b/>
        </w:rPr>
        <w:t>1.国内外竞争日益复杂激烈</w:t>
      </w:r>
      <w:bookmarkEnd w:id="46"/>
      <w:bookmarkEnd w:id="47"/>
      <w:r>
        <w:rPr>
          <w:rFonts w:hint="default" w:ascii="Times New Roman" w:hAnsi="Times New Roman" w:eastAsia="方正仿宋_GBK" w:cs="Times New Roman"/>
          <w:b/>
        </w:rPr>
        <w:t>。</w:t>
      </w:r>
      <w:r>
        <w:rPr>
          <w:rFonts w:hint="default" w:ascii="Times New Roman" w:hAnsi="Times New Roman" w:eastAsia="方正仿宋_GBK" w:cs="Times New Roman"/>
          <w:bCs/>
          <w:szCs w:val="32"/>
        </w:rPr>
        <w:t>从国际看，中美贸易摩擦不断升级，大国间关税和非关税贸易壁垒的增加，促使企业重新审视未来产业定位，新冠肺炎疫情更是加速全球分裂，产业链供应链循环受阻，为易门争取国际投资带来挑战。从国内发展环境看，易门地处西南，也始终处在国内区域经济合作的末端地位，要完全融入“国内双循环、国际国内大循环”新格局、经济合作空间大的珠三角和长三角经济区的实际难度很大。从省内看，云南仍属欠发达省份，基础设施投资面临土地、资金等多种制约，中低端制造业竞争激烈而中高端制造业技术门槛较高，西部地区投资领域的深层次矛盾导致投资空间承压和投资下滑。从区域看，区域间资金、人才、技术等要素竞争更趋激烈，招商引资沦陷为争商抢资，招商引资的难度不断加大。在国内外多重因素的影响下，易门产业体系层次总体偏低，应对风险和危机能力弱。</w:t>
      </w:r>
      <w:bookmarkStart w:id="48" w:name="_Toc16085"/>
      <w:bookmarkStart w:id="49" w:name="_Toc6538"/>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
        </w:rPr>
        <w:t>2.产业</w:t>
      </w:r>
      <w:r>
        <w:rPr>
          <w:rFonts w:hint="default" w:ascii="Times New Roman" w:hAnsi="Times New Roman" w:eastAsia="方正仿宋_GBK" w:cs="Times New Roman"/>
          <w:b/>
          <w:lang w:eastAsia="zh-CN"/>
        </w:rPr>
        <w:t>高质量发展</w:t>
      </w:r>
      <w:r>
        <w:rPr>
          <w:rFonts w:hint="default" w:ascii="Times New Roman" w:hAnsi="Times New Roman" w:eastAsia="方正仿宋_GBK" w:cs="Times New Roman"/>
          <w:b/>
        </w:rPr>
        <w:t>缺乏支撑</w:t>
      </w:r>
      <w:bookmarkEnd w:id="48"/>
      <w:bookmarkEnd w:id="49"/>
      <w:r>
        <w:rPr>
          <w:rFonts w:hint="default" w:ascii="Times New Roman" w:hAnsi="Times New Roman" w:eastAsia="方正仿宋_GBK" w:cs="Times New Roman"/>
          <w:b/>
        </w:rPr>
        <w:t>。</w:t>
      </w:r>
      <w:r>
        <w:rPr>
          <w:rFonts w:hint="default" w:ascii="Times New Roman" w:hAnsi="Times New Roman" w:eastAsia="方正仿宋_GBK" w:cs="Times New Roman"/>
          <w:bCs/>
          <w:szCs w:val="32"/>
        </w:rPr>
        <w:t>一方面，易门是资源枯竭型城市，以铜矿为主的矿产资源曾经带来产业的繁盛一时，现在已经面临枯竭，产业发展可持续性较差。另一方面，易门现状工业布局零散且发展效率低，与</w:t>
      </w:r>
      <w:r>
        <w:rPr>
          <w:rFonts w:hint="default" w:ascii="Times New Roman" w:hAnsi="Times New Roman" w:eastAsia="方正仿宋_GBK" w:cs="Times New Roman"/>
          <w:bCs/>
          <w:szCs w:val="32"/>
          <w:lang w:eastAsia="zh-CN"/>
        </w:rPr>
        <w:t>高质量</w:t>
      </w:r>
      <w:r>
        <w:rPr>
          <w:rFonts w:hint="default" w:ascii="Times New Roman" w:hAnsi="Times New Roman" w:eastAsia="方正仿宋_GBK" w:cs="Times New Roman"/>
          <w:bCs/>
          <w:szCs w:val="32"/>
        </w:rPr>
        <w:t>发展要求有较大差距，具体表现为：易门工业园区除大椿树产业园外，其他园区还处于起步发展阶段；效率不达标，园区用地效率较低，地均工业增加值3亿元/平方公里（国家级开发区平均为14亿元/平方公里）。</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cs="Times New Roman"/>
          <w:bCs/>
          <w:szCs w:val="32"/>
        </w:rPr>
      </w:pPr>
      <w:bookmarkStart w:id="50" w:name="_Toc28455"/>
      <w:bookmarkStart w:id="51" w:name="_Toc32408"/>
      <w:r>
        <w:rPr>
          <w:rFonts w:hint="default" w:ascii="Times New Roman" w:hAnsi="Times New Roman" w:eastAsia="方正仿宋_GBK" w:cs="Times New Roman"/>
          <w:b/>
        </w:rPr>
        <w:t>3.生态环境与发展诉求矛盾</w:t>
      </w:r>
      <w:bookmarkEnd w:id="50"/>
      <w:bookmarkEnd w:id="51"/>
      <w:r>
        <w:rPr>
          <w:rFonts w:hint="default" w:ascii="Times New Roman" w:hAnsi="Times New Roman" w:eastAsia="方正仿宋_GBK" w:cs="Times New Roman"/>
          <w:b/>
        </w:rPr>
        <w:t>。</w:t>
      </w:r>
      <w:r>
        <w:rPr>
          <w:rFonts w:hint="default" w:ascii="Times New Roman" w:hAnsi="Times New Roman" w:eastAsia="方正仿宋_GBK" w:cs="Times New Roman"/>
          <w:bCs/>
          <w:szCs w:val="32"/>
        </w:rPr>
        <w:t>十四五”期间，国家对于生态环境保护无疑将更加重视，能耗强度和能源消费总量“双控”措施会更加严格，对地方能降耗工作、农村的节能减排、环境承载受限等问题形成</w:t>
      </w:r>
      <w:r>
        <w:rPr>
          <w:rFonts w:hint="default" w:ascii="Times New Roman" w:hAnsi="Times New Roman" w:eastAsia="方正仿宋_GBK" w:cs="Times New Roman"/>
          <w:bCs/>
          <w:szCs w:val="32"/>
          <w:lang w:eastAsia="zh-CN"/>
        </w:rPr>
        <w:t>倒逼</w:t>
      </w:r>
      <w:r>
        <w:rPr>
          <w:rFonts w:hint="default" w:ascii="Times New Roman" w:hAnsi="Times New Roman" w:eastAsia="方正仿宋_GBK" w:cs="Times New Roman"/>
          <w:bCs/>
          <w:szCs w:val="32"/>
        </w:rPr>
        <w:t>压力。易门矿产开采造成生态环境破坏亟待治理，县域石漠化问题仍然比较突出，产业发展对环境破坏一直持续。易门矿产开采多年，几乎没有实施矿山生态修复。特别是绿汁镇经过几十年的铜矿开采，地面坍陷、滑坡等地质灾害时有发生。由于粮食种植的利益，易门大多缓坡丘陵被开垦为坡耕地，无任何生态防护措施，石漠化问题加重，造成水土流失、滑坡、泥石流等地质灾害。易门水资源量丰富，但供水能力较弱，干旱气候及产业、农业低效用水不断加剧水资源矛盾。</w:t>
      </w:r>
    </w:p>
    <w:p>
      <w:pPr>
        <w:pStyle w:val="4"/>
        <w:keepNext w:val="0"/>
        <w:keepLines w:val="0"/>
        <w:pageBreakBefore w:val="0"/>
        <w:widowControl w:val="0"/>
        <w:kinsoku/>
        <w:wordWrap/>
        <w:overflowPunct/>
        <w:topLinePunct w:val="0"/>
        <w:autoSpaceDE/>
        <w:bidi w:val="0"/>
        <w:adjustRightInd/>
        <w:snapToGrid/>
        <w:ind w:firstLine="31680"/>
        <w:textAlignment w:val="auto"/>
        <w:rPr>
          <w:rFonts w:hint="default" w:ascii="Times New Roman" w:hAnsi="Times New Roman" w:eastAsia="方正楷体_GBK" w:cs="Times New Roman"/>
          <w:lang w:val="en-US"/>
        </w:rPr>
      </w:pPr>
      <w:bookmarkStart w:id="52" w:name="_Toc20900"/>
      <w:bookmarkStart w:id="53" w:name="_Toc5828"/>
      <w:r>
        <w:rPr>
          <w:rFonts w:hint="default" w:ascii="Times New Roman" w:hAnsi="Times New Roman" w:eastAsia="方正楷体_GBK" w:cs="Times New Roman"/>
          <w:lang w:val="en-US"/>
        </w:rPr>
        <w:t>（三）周边形势</w:t>
      </w:r>
      <w:bookmarkEnd w:id="52"/>
      <w:bookmarkEnd w:id="53"/>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易门周边区域主要有安宁市、晋宁区、双柏县、</w:t>
      </w:r>
      <w:r>
        <w:rPr>
          <w:rFonts w:hint="eastAsia" w:ascii="Times New Roman" w:hAnsi="Times New Roman" w:cs="Times New Roman"/>
          <w:szCs w:val="32"/>
          <w:lang w:eastAsia="zh-CN"/>
        </w:rPr>
        <w:t>禄丰市</w:t>
      </w:r>
      <w:r>
        <w:rPr>
          <w:rFonts w:hint="default" w:ascii="Times New Roman" w:hAnsi="Times New Roman" w:eastAsia="方正仿宋_GBK" w:cs="Times New Roman"/>
          <w:szCs w:val="32"/>
        </w:rPr>
        <w:t>、峨山县等。近年来，易门与周边区域“你追我赶”，总体上均发展较快，特别是安宁市在2020年中国县域经济百强榜位列第95位。可以说，易门周边区域既</w:t>
      </w:r>
      <w:r>
        <w:rPr>
          <w:rFonts w:hint="default" w:ascii="Times New Roman" w:hAnsi="Times New Roman" w:eastAsia="方正仿宋_GBK" w:cs="Times New Roman"/>
          <w:szCs w:val="32"/>
          <w:lang w:eastAsia="zh-CN"/>
        </w:rPr>
        <w:t>有</w:t>
      </w:r>
      <w:r>
        <w:rPr>
          <w:rFonts w:hint="default" w:ascii="Times New Roman" w:hAnsi="Times New Roman" w:eastAsia="方正仿宋_GBK" w:cs="Times New Roman"/>
          <w:szCs w:val="32"/>
        </w:rPr>
        <w:t>“强市为伴”，也有“弱县与邻”。</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1.易门周边地区总体发展情况。</w:t>
      </w:r>
      <w:r>
        <w:rPr>
          <w:rFonts w:hint="default" w:ascii="Times New Roman" w:hAnsi="Times New Roman" w:eastAsia="方正仿宋_GBK" w:cs="Times New Roman"/>
        </w:rPr>
        <w:t>通过与易门周边的县</w:t>
      </w:r>
      <w:r>
        <w:rPr>
          <w:rFonts w:hint="default" w:ascii="Times New Roman" w:hAnsi="Times New Roman" w:eastAsia="方正仿宋_GBK" w:cs="Times New Roman"/>
          <w:szCs w:val="32"/>
        </w:rPr>
        <w:t>“一市、一区、三县”</w:t>
      </w:r>
      <w:r>
        <w:rPr>
          <w:rFonts w:hint="default" w:ascii="Times New Roman" w:hAnsi="Times New Roman" w:eastAsia="方正仿宋_GBK" w:cs="Times New Roman"/>
        </w:rPr>
        <w:t>进行比较分析（见表1），除安宁</w:t>
      </w:r>
      <w:r>
        <w:rPr>
          <w:rFonts w:hint="eastAsia" w:ascii="Times New Roman" w:hAnsi="Times New Roman" w:cs="Times New Roman"/>
          <w:lang w:eastAsia="zh-CN"/>
        </w:rPr>
        <w:t>市</w:t>
      </w:r>
      <w:r>
        <w:rPr>
          <w:rFonts w:hint="default" w:ascii="Times New Roman" w:hAnsi="Times New Roman" w:eastAsia="方正仿宋_GBK" w:cs="Times New Roman"/>
        </w:rPr>
        <w:t>以外，其他县基本上处于同样的发展阶段。在2019年常住总人口排名中，易门位列第4位；GDP位列第4位；财政收入位列第3位；进3年引进国内外资金位列第4位。易门在周边县域经济体中，属于中等水平。</w:t>
      </w:r>
    </w:p>
    <w:p>
      <w:pPr>
        <w:keepNext w:val="0"/>
        <w:keepLines w:val="0"/>
        <w:pageBreakBefore w:val="0"/>
        <w:widowControl w:val="0"/>
        <w:kinsoku/>
        <w:wordWrap/>
        <w:overflowPunct/>
        <w:topLinePunct w:val="0"/>
        <w:autoSpaceDE/>
        <w:autoSpaceDN w:val="0"/>
        <w:bidi w:val="0"/>
        <w:adjustRightInd/>
        <w:snapToGrid/>
        <w:spacing w:line="560" w:lineRule="exact"/>
        <w:ind w:firstLine="31680"/>
        <w:textAlignment w:val="auto"/>
        <w:rPr>
          <w:rFonts w:hint="default" w:ascii="Times New Roman" w:hAnsi="Times New Roman" w:eastAsia="方正仿宋_GBK" w:cs="Times New Roman"/>
        </w:rPr>
      </w:pPr>
      <w:r>
        <w:rPr>
          <w:rFonts w:hint="default" w:ascii="Times New Roman" w:hAnsi="Times New Roman" w:eastAsia="方正仿宋_GBK" w:cs="Times New Roman"/>
          <w:b/>
          <w:bCs/>
        </w:rPr>
        <w:t>2.易门周边地区产业发展情况。</w:t>
      </w:r>
      <w:r>
        <w:rPr>
          <w:rFonts w:hint="default" w:ascii="Times New Roman" w:hAnsi="Times New Roman" w:eastAsia="方正仿宋_GBK" w:cs="Times New Roman"/>
        </w:rPr>
        <w:t>如表1所示，易门周边各县（市、区）已经初步形成了基于自身资源特色的三次产业结构。易门周边地区均立足自身特色的资源条件，推动特色产业发展，目前，区域内烟草、花卉、食用菌、生物制药、冶金、化工、文旅等产业在国内外具有一定影响力。同时，</w:t>
      </w:r>
      <w:r>
        <w:rPr>
          <w:rFonts w:hint="default" w:ascii="Times New Roman" w:hAnsi="Times New Roman" w:eastAsia="方正仿宋_GBK" w:cs="Times New Roman"/>
          <w:szCs w:val="40"/>
        </w:rPr>
        <w:t>区域内各城市均有自身独特的发展优势，如资源、能源、人才、环境等，但受行政分割和发展机制影响，各地在强化对外开放性的同时却并未同步提升对内开放性，区域内部统一市场并未形成。另外，各城市间未能达成统一、有效的区域性政策，也缺少一个适当的平台作为区域合作与整体协调发展的制度保障。</w:t>
      </w:r>
    </w:p>
    <w:p>
      <w:pPr>
        <w:keepNext w:val="0"/>
        <w:keepLines w:val="0"/>
        <w:pageBreakBefore w:val="0"/>
        <w:widowControl w:val="0"/>
        <w:kinsoku/>
        <w:wordWrap/>
        <w:overflowPunct/>
        <w:topLinePunct w:val="0"/>
        <w:autoSpaceDN w:val="0"/>
        <w:bidi w:val="0"/>
        <w:adjustRightInd/>
        <w:snapToGrid/>
        <w:spacing w:beforeLines="30" w:afterLines="30" w:line="400" w:lineRule="exact"/>
        <w:ind w:firstLine="0" w:firstLineChars="0"/>
        <w:jc w:val="center"/>
        <w:rPr>
          <w:rFonts w:hint="default" w:ascii="Times New Roman" w:hAnsi="Times New Roman" w:eastAsia="楷体_GB2312" w:cs="Times New Roman"/>
          <w:bCs/>
          <w:sz w:val="28"/>
          <w:szCs w:val="28"/>
          <w:shd w:val="clear" w:color="auto" w:fill="FFFFFF"/>
        </w:rPr>
      </w:pPr>
      <w:r>
        <w:rPr>
          <w:rFonts w:hint="default" w:ascii="Times New Roman" w:hAnsi="Times New Roman" w:eastAsia="方正楷体_GBK" w:cs="Times New Roman"/>
          <w:bCs/>
          <w:sz w:val="28"/>
          <w:szCs w:val="28"/>
          <w:shd w:val="clear" w:color="auto" w:fill="FFFFFF"/>
        </w:rPr>
        <w:t>表4  易门与周边县（市、区）经济社会发展现状对比一览表</w:t>
      </w:r>
      <w:r>
        <w:rPr>
          <w:rStyle w:val="28"/>
          <w:rFonts w:hint="default" w:ascii="Times New Roman" w:hAnsi="Times New Roman" w:eastAsia="楷体_GB2312" w:cs="Times New Roman"/>
          <w:bCs/>
          <w:sz w:val="28"/>
          <w:szCs w:val="28"/>
          <w:shd w:val="clear" w:color="auto" w:fill="FFFFFF"/>
        </w:rPr>
        <w:footnoteReference w:id="2"/>
      </w:r>
    </w:p>
    <w:tbl>
      <w:tblPr>
        <w:tblStyle w:val="21"/>
        <w:tblW w:w="9231" w:type="dxa"/>
        <w:tblInd w:w="0" w:type="dxa"/>
        <w:tblLayout w:type="fixed"/>
        <w:tblCellMar>
          <w:top w:w="0" w:type="dxa"/>
          <w:left w:w="0" w:type="dxa"/>
          <w:bottom w:w="0" w:type="dxa"/>
          <w:right w:w="0" w:type="dxa"/>
        </w:tblCellMar>
      </w:tblPr>
      <w:tblGrid>
        <w:gridCol w:w="2055"/>
        <w:gridCol w:w="1390"/>
        <w:gridCol w:w="1630"/>
        <w:gridCol w:w="1999"/>
        <w:gridCol w:w="2157"/>
      </w:tblGrid>
      <w:tr>
        <w:trPr>
          <w:trHeight w:val="445" w:hRule="atLeast"/>
        </w:trPr>
        <w:tc>
          <w:tcPr>
            <w:tcW w:w="9231" w:type="dxa"/>
            <w:gridSpan w:val="5"/>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易门县</w:t>
            </w:r>
          </w:p>
        </w:tc>
      </w:tr>
      <w:tr>
        <w:trPr>
          <w:trHeight w:val="678" w:hRule="atLeast"/>
        </w:trPr>
        <w:tc>
          <w:tcPr>
            <w:tcW w:w="205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20</w:t>
            </w:r>
            <w:r>
              <w:rPr>
                <w:rFonts w:hint="default" w:ascii="Times New Roman" w:hAnsi="Times New Roman" w:eastAsia="方正仿宋_GBK" w:cs="Times New Roman"/>
                <w:color w:val="000000"/>
                <w:kern w:val="0"/>
                <w:sz w:val="24"/>
                <w:lang w:val="en-US" w:eastAsia="zh-CN"/>
              </w:rPr>
              <w:t>20</w:t>
            </w:r>
            <w:r>
              <w:rPr>
                <w:rFonts w:hint="default" w:ascii="Times New Roman" w:hAnsi="Times New Roman" w:eastAsia="方正仿宋_GBK" w:cs="Times New Roman"/>
                <w:color w:val="000000"/>
                <w:kern w:val="0"/>
                <w:sz w:val="24"/>
              </w:rPr>
              <w:t>年常住总人口（万人）</w:t>
            </w:r>
          </w:p>
        </w:tc>
        <w:tc>
          <w:tcPr>
            <w:tcW w:w="13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20</w:t>
            </w:r>
            <w:r>
              <w:rPr>
                <w:rFonts w:hint="default" w:ascii="Times New Roman" w:hAnsi="Times New Roman" w:eastAsia="方正仿宋_GBK" w:cs="Times New Roman"/>
                <w:color w:val="000000"/>
                <w:kern w:val="0"/>
                <w:sz w:val="24"/>
                <w:lang w:val="en-US" w:eastAsia="zh-CN"/>
              </w:rPr>
              <w:t>20</w:t>
            </w:r>
            <w:r>
              <w:rPr>
                <w:rFonts w:hint="default" w:ascii="Times New Roman" w:hAnsi="Times New Roman" w:eastAsia="方正仿宋_GBK" w:cs="Times New Roman"/>
                <w:color w:val="000000"/>
                <w:kern w:val="0"/>
                <w:sz w:val="24"/>
              </w:rPr>
              <w:t>年GDP（亿元）</w:t>
            </w:r>
          </w:p>
        </w:tc>
        <w:tc>
          <w:tcPr>
            <w:tcW w:w="16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20</w:t>
            </w:r>
            <w:r>
              <w:rPr>
                <w:rFonts w:hint="default" w:ascii="Times New Roman" w:hAnsi="Times New Roman" w:eastAsia="方正仿宋_GBK" w:cs="Times New Roman"/>
                <w:color w:val="000000"/>
                <w:kern w:val="0"/>
                <w:sz w:val="24"/>
                <w:lang w:val="en-US" w:eastAsia="zh-CN"/>
              </w:rPr>
              <w:t>20</w:t>
            </w:r>
            <w:r>
              <w:rPr>
                <w:rFonts w:hint="default" w:ascii="Times New Roman" w:hAnsi="Times New Roman" w:eastAsia="方正仿宋_GBK" w:cs="Times New Roman"/>
                <w:color w:val="000000"/>
                <w:kern w:val="0"/>
                <w:sz w:val="24"/>
              </w:rPr>
              <w:t>年三产结构比重</w:t>
            </w:r>
          </w:p>
        </w:tc>
        <w:tc>
          <w:tcPr>
            <w:tcW w:w="199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20</w:t>
            </w:r>
            <w:r>
              <w:rPr>
                <w:rFonts w:hint="default" w:ascii="Times New Roman" w:hAnsi="Times New Roman" w:eastAsia="方正仿宋_GBK" w:cs="Times New Roman"/>
                <w:color w:val="000000"/>
                <w:kern w:val="0"/>
                <w:sz w:val="24"/>
                <w:lang w:val="en-US" w:eastAsia="zh-CN"/>
              </w:rPr>
              <w:t>20</w:t>
            </w:r>
            <w:r>
              <w:rPr>
                <w:rFonts w:hint="default" w:ascii="Times New Roman" w:hAnsi="Times New Roman" w:eastAsia="方正仿宋_GBK" w:cs="Times New Roman"/>
                <w:color w:val="000000"/>
                <w:kern w:val="0"/>
                <w:sz w:val="24"/>
              </w:rPr>
              <w:t>年一般公共预算收入（亿元）</w:t>
            </w:r>
          </w:p>
        </w:tc>
        <w:tc>
          <w:tcPr>
            <w:tcW w:w="2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rPr>
              <w:t>近3年累计引进资金（亿元）</w:t>
            </w:r>
          </w:p>
        </w:tc>
      </w:tr>
      <w:tr>
        <w:trPr>
          <w:trHeight w:val="36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lang w:val="en-US" w:eastAsia="zh-CN"/>
              </w:rPr>
              <w:t>15.17</w:t>
            </w: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rPr>
              <w:t>13</w:t>
            </w:r>
            <w:r>
              <w:rPr>
                <w:rFonts w:hint="default" w:ascii="Times New Roman" w:hAnsi="Times New Roman" w:eastAsia="方正仿宋_GBK" w:cs="Times New Roman"/>
                <w:color w:val="000000"/>
                <w:kern w:val="0"/>
                <w:sz w:val="24"/>
                <w:lang w:val="en-US" w:eastAsia="zh-CN"/>
              </w:rPr>
              <w:t>1.8</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rPr>
              <w:t>1</w:t>
            </w:r>
            <w:r>
              <w:rPr>
                <w:rFonts w:hint="default" w:ascii="Times New Roman" w:hAnsi="Times New Roman" w:eastAsia="方正仿宋_GBK" w:cs="Times New Roman"/>
                <w:color w:val="000000"/>
                <w:kern w:val="0"/>
                <w:sz w:val="24"/>
                <w:lang w:val="en-US" w:eastAsia="zh-CN"/>
              </w:rPr>
              <w:t>3</w:t>
            </w:r>
            <w:r>
              <w:rPr>
                <w:rFonts w:hint="default" w:ascii="Times New Roman" w:hAnsi="Times New Roman" w:eastAsia="方正仿宋_GBK" w:cs="Times New Roman"/>
                <w:color w:val="000000"/>
                <w:kern w:val="0"/>
                <w:sz w:val="24"/>
              </w:rPr>
              <w:t>:</w:t>
            </w:r>
            <w:r>
              <w:rPr>
                <w:rFonts w:hint="default" w:ascii="Times New Roman" w:hAnsi="Times New Roman" w:eastAsia="方正仿宋_GBK" w:cs="Times New Roman"/>
                <w:color w:val="000000"/>
                <w:kern w:val="0"/>
                <w:sz w:val="24"/>
                <w:lang w:val="en-US" w:eastAsia="zh-CN"/>
              </w:rPr>
              <w:t>32</w:t>
            </w:r>
            <w:r>
              <w:rPr>
                <w:rFonts w:hint="default" w:ascii="Times New Roman" w:hAnsi="Times New Roman" w:eastAsia="方正仿宋_GBK" w:cs="Times New Roman"/>
                <w:color w:val="000000"/>
                <w:kern w:val="0"/>
                <w:sz w:val="24"/>
              </w:rPr>
              <w:t>:</w:t>
            </w:r>
            <w:r>
              <w:rPr>
                <w:rFonts w:hint="default" w:ascii="Times New Roman" w:hAnsi="Times New Roman" w:eastAsia="方正仿宋_GBK" w:cs="Times New Roman"/>
                <w:color w:val="000000"/>
                <w:kern w:val="0"/>
                <w:sz w:val="24"/>
                <w:lang w:val="en-US" w:eastAsia="zh-CN"/>
              </w:rPr>
              <w:t>55</w:t>
            </w:r>
          </w:p>
        </w:tc>
        <w:tc>
          <w:tcPr>
            <w:tcW w:w="1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lang w:val="en-US" w:eastAsia="zh-CN"/>
              </w:rPr>
              <w:t>7.2</w:t>
            </w:r>
          </w:p>
        </w:tc>
        <w:tc>
          <w:tcPr>
            <w:tcW w:w="2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rPr>
              <w:t>258.9</w:t>
            </w:r>
          </w:p>
        </w:tc>
      </w:tr>
      <w:tr>
        <w:trPr>
          <w:trHeight w:val="452" w:hRule="atLeast"/>
        </w:trPr>
        <w:tc>
          <w:tcPr>
            <w:tcW w:w="9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67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初步形成了以食用菌为重点，“烟、畜、菜、果、花、药”等为特色的现代农业格局。</w:t>
            </w:r>
          </w:p>
        </w:tc>
      </w:tr>
      <w:tr>
        <w:trPr>
          <w:trHeight w:val="7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主要有采矿业和制造业2大重点门类、有色金属冶炼和压延加工业2大重点行业。形成了有色金属、陶瓷建材、农产品加工3大支柱产业。</w:t>
            </w:r>
          </w:p>
        </w:tc>
      </w:tr>
      <w:tr>
        <w:trPr>
          <w:trHeight w:val="817" w:hRule="atLeast"/>
        </w:trPr>
        <w:tc>
          <w:tcPr>
            <w:tcW w:w="205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餐饮住宿、批发零售等传统服务业巩固提升，文化旅游、现代物流、信息服务、金融保险、健康养老等新兴服务业稳步推进。</w:t>
            </w:r>
          </w:p>
        </w:tc>
      </w:tr>
      <w:tr>
        <w:trPr>
          <w:trHeight w:val="445" w:hRule="atLeast"/>
        </w:trPr>
        <w:tc>
          <w:tcPr>
            <w:tcW w:w="9231" w:type="dxa"/>
            <w:gridSpan w:val="5"/>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安宁市</w:t>
            </w:r>
          </w:p>
        </w:tc>
      </w:tr>
      <w:tr>
        <w:trPr>
          <w:trHeight w:val="600" w:hRule="atLeast"/>
        </w:trPr>
        <w:tc>
          <w:tcPr>
            <w:tcW w:w="205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20</w:t>
            </w:r>
            <w:r>
              <w:rPr>
                <w:rStyle w:val="47"/>
                <w:rFonts w:hint="default" w:ascii="Times New Roman" w:hAnsi="Times New Roman" w:eastAsia="方正仿宋_GBK" w:cs="Times New Roman"/>
                <w:lang w:val="en-US" w:eastAsia="zh-CN" w:bidi="ar"/>
              </w:rPr>
              <w:t>20</w:t>
            </w:r>
            <w:r>
              <w:rPr>
                <w:rStyle w:val="48"/>
                <w:rFonts w:hint="default" w:ascii="Times New Roman" w:hAnsi="Times New Roman" w:eastAsia="方正仿宋_GBK" w:cs="Times New Roman"/>
                <w:lang w:val="en-US" w:eastAsia="zh-CN" w:bidi="ar"/>
              </w:rPr>
              <w:t>年常住总人口（万人）</w:t>
            </w:r>
          </w:p>
        </w:tc>
        <w:tc>
          <w:tcPr>
            <w:tcW w:w="13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20</w:t>
            </w:r>
            <w:r>
              <w:rPr>
                <w:rStyle w:val="47"/>
                <w:rFonts w:hint="default" w:ascii="Times New Roman" w:hAnsi="Times New Roman" w:eastAsia="方正仿宋_GBK" w:cs="Times New Roman"/>
                <w:lang w:val="en-US" w:eastAsia="zh-CN" w:bidi="ar"/>
              </w:rPr>
              <w:t>20</w:t>
            </w:r>
            <w:r>
              <w:rPr>
                <w:rStyle w:val="48"/>
                <w:rFonts w:hint="default" w:ascii="Times New Roman" w:hAnsi="Times New Roman" w:eastAsia="方正仿宋_GBK" w:cs="Times New Roman"/>
                <w:lang w:val="en-US" w:eastAsia="zh-CN" w:bidi="ar"/>
              </w:rPr>
              <w:t>年GDP</w:t>
            </w:r>
            <w:r>
              <w:rPr>
                <w:rStyle w:val="47"/>
                <w:rFonts w:hint="default" w:ascii="Times New Roman" w:hAnsi="Times New Roman" w:eastAsia="方正仿宋_GBK" w:cs="Times New Roman"/>
                <w:lang w:val="en-US" w:eastAsia="zh-CN" w:bidi="ar"/>
              </w:rPr>
              <w:t>（亿元）</w:t>
            </w:r>
          </w:p>
        </w:tc>
        <w:tc>
          <w:tcPr>
            <w:tcW w:w="16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20</w:t>
            </w:r>
            <w:r>
              <w:rPr>
                <w:rStyle w:val="47"/>
                <w:rFonts w:hint="default" w:ascii="Times New Roman" w:hAnsi="Times New Roman" w:eastAsia="方正仿宋_GBK" w:cs="Times New Roman"/>
                <w:lang w:val="en-US" w:eastAsia="zh-CN" w:bidi="ar"/>
              </w:rPr>
              <w:t>20</w:t>
            </w:r>
            <w:r>
              <w:rPr>
                <w:rStyle w:val="48"/>
                <w:rFonts w:hint="default" w:ascii="Times New Roman" w:hAnsi="Times New Roman" w:eastAsia="方正仿宋_GBK" w:cs="Times New Roman"/>
                <w:lang w:val="en-US" w:eastAsia="zh-CN" w:bidi="ar"/>
              </w:rPr>
              <w:t>年三产结构比重</w:t>
            </w:r>
          </w:p>
        </w:tc>
        <w:tc>
          <w:tcPr>
            <w:tcW w:w="199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2</w:t>
            </w:r>
            <w:r>
              <w:rPr>
                <w:rStyle w:val="47"/>
                <w:rFonts w:hint="default" w:ascii="Times New Roman" w:hAnsi="Times New Roman" w:eastAsia="方正仿宋_GBK" w:cs="Times New Roman"/>
                <w:lang w:val="en-US" w:eastAsia="zh-CN" w:bidi="ar"/>
              </w:rPr>
              <w:t>020年一般公共预算收入（亿元）</w:t>
            </w:r>
          </w:p>
        </w:tc>
        <w:tc>
          <w:tcPr>
            <w:tcW w:w="215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i w:val="0"/>
                <w:color w:val="000000"/>
                <w:kern w:val="0"/>
                <w:sz w:val="22"/>
                <w:szCs w:val="22"/>
                <w:u w:val="none"/>
                <w:lang w:val="en-US" w:eastAsia="zh-CN" w:bidi="ar"/>
              </w:rPr>
              <w:t>近3</w:t>
            </w:r>
            <w:r>
              <w:rPr>
                <w:rStyle w:val="49"/>
                <w:rFonts w:hint="default" w:ascii="Times New Roman" w:hAnsi="Times New Roman" w:eastAsia="方正仿宋_GBK" w:cs="Times New Roman"/>
                <w:lang w:val="en-US" w:eastAsia="zh-CN" w:bidi="ar"/>
              </w:rPr>
              <w:t>年累计引进资金（亿元）</w:t>
            </w:r>
          </w:p>
        </w:tc>
      </w:tr>
      <w:tr>
        <w:trPr>
          <w:trHeight w:val="315"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000000"/>
                <w:sz w:val="24"/>
                <w:lang w:val="en-US"/>
              </w:rPr>
            </w:pPr>
            <w:r>
              <w:rPr>
                <w:rFonts w:hint="default" w:ascii="Times New Roman" w:hAnsi="Times New Roman" w:eastAsia="方正仿宋_GBK" w:cs="Times New Roman"/>
                <w:i w:val="0"/>
                <w:color w:val="000000"/>
                <w:kern w:val="0"/>
                <w:sz w:val="24"/>
                <w:szCs w:val="24"/>
                <w:u w:val="none"/>
                <w:lang w:val="en-US" w:eastAsia="zh-CN" w:bidi="ar"/>
              </w:rPr>
              <w:t>36.6</w:t>
            </w: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562</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3.4:55.8:40.8</w:t>
            </w:r>
          </w:p>
        </w:tc>
        <w:tc>
          <w:tcPr>
            <w:tcW w:w="1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color w:val="000000"/>
                <w:kern w:val="0"/>
                <w:sz w:val="24"/>
                <w:szCs w:val="24"/>
                <w:u w:val="none"/>
                <w:lang w:val="en-US" w:eastAsia="zh-CN" w:bidi="ar"/>
              </w:rPr>
              <w:t>50.1</w:t>
            </w:r>
          </w:p>
        </w:tc>
        <w:tc>
          <w:tcPr>
            <w:tcW w:w="2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b/>
                <w:i w:val="0"/>
                <w:color w:val="000000"/>
                <w:kern w:val="0"/>
                <w:sz w:val="22"/>
                <w:szCs w:val="22"/>
                <w:u w:val="none"/>
                <w:lang w:val="en-US" w:eastAsia="zh-CN" w:bidi="ar"/>
              </w:rPr>
              <w:t>501.6</w:t>
            </w:r>
          </w:p>
        </w:tc>
      </w:tr>
      <w:tr>
        <w:trPr>
          <w:trHeight w:val="506" w:hRule="atLeast"/>
        </w:trPr>
        <w:tc>
          <w:tcPr>
            <w:tcW w:w="9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7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抓特色、建园区、扶龙头、创品牌，推动绿色、品牌高原特色农业发展。重点是粮食、烤烟。</w:t>
            </w:r>
          </w:p>
        </w:tc>
      </w:tr>
      <w:tr>
        <w:trPr>
          <w:trHeight w:val="682" w:hRule="atLeast"/>
        </w:trPr>
        <w:tc>
          <w:tcPr>
            <w:tcW w:w="20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做优钢铁、磷盐化工产业，转型升级装备制造、新能源、生物医药产业、节能环保产业、新材料等新兴产业。</w:t>
            </w:r>
          </w:p>
        </w:tc>
      </w:tr>
      <w:tr>
        <w:trPr>
          <w:trHeight w:val="1155" w:hRule="atLeast"/>
        </w:trPr>
        <w:tc>
          <w:tcPr>
            <w:tcW w:w="20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生产性服务业：主要以现代物流业为主，打造南亚国际陆港、昆安物流带，面向东南亚的工业物流枢纽。生活性服务业：以文化旅游业为重点，打造温泉康体度假、宗教文化</w:t>
            </w:r>
            <w:r>
              <w:rPr>
                <w:rFonts w:hint="eastAsia" w:ascii="Times New Roman" w:hAnsi="Times New Roman" w:cs="Times New Roman"/>
                <w:color w:val="000000"/>
                <w:kern w:val="0"/>
                <w:sz w:val="24"/>
                <w:lang w:eastAsia="zh-CN"/>
              </w:rPr>
              <w:t>旅游胜地</w:t>
            </w:r>
            <w:r>
              <w:rPr>
                <w:rFonts w:hint="default" w:ascii="Times New Roman" w:hAnsi="Times New Roman" w:eastAsia="方正仿宋_GBK" w:cs="Times New Roman"/>
                <w:color w:val="000000"/>
                <w:kern w:val="0"/>
                <w:sz w:val="24"/>
              </w:rPr>
              <w:t>，螳螂川沿线的生态旅游、户外运动。</w:t>
            </w:r>
          </w:p>
        </w:tc>
      </w:tr>
      <w:tr>
        <w:trPr>
          <w:trHeight w:val="450" w:hRule="atLeast"/>
        </w:trPr>
        <w:tc>
          <w:tcPr>
            <w:tcW w:w="9231" w:type="dxa"/>
            <w:gridSpan w:val="5"/>
            <w:tcBorders>
              <w:top w:val="single" w:color="auto" w:sz="4" w:space="0"/>
              <w:left w:val="single" w:color="000000" w:sz="4" w:space="0"/>
              <w:bottom w:val="single" w:color="auto" w:sz="4" w:space="0"/>
              <w:right w:val="single" w:color="000000"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晋宁区</w:t>
            </w:r>
          </w:p>
        </w:tc>
      </w:tr>
      <w:tr>
        <w:trPr>
          <w:trHeight w:val="725" w:hRule="atLeast"/>
        </w:trPr>
        <w:tc>
          <w:tcPr>
            <w:tcW w:w="20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2020年常住总人口（万人）</w:t>
            </w:r>
          </w:p>
        </w:tc>
        <w:tc>
          <w:tcPr>
            <w:tcW w:w="13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2020年GDP（亿元）</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2020年三产结构比重</w:t>
            </w:r>
          </w:p>
        </w:tc>
        <w:tc>
          <w:tcPr>
            <w:tcW w:w="19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2020年一般公共预算收入（亿元）</w:t>
            </w:r>
          </w:p>
        </w:tc>
        <w:tc>
          <w:tcPr>
            <w:tcW w:w="21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近3年累计引进资金（亿元）</w:t>
            </w:r>
          </w:p>
        </w:tc>
      </w:tr>
      <w:tr>
        <w:trPr>
          <w:trHeight w:val="443" w:hRule="atLeast"/>
        </w:trPr>
        <w:tc>
          <w:tcPr>
            <w:tcW w:w="205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rPr>
            </w:pPr>
            <w:r>
              <w:rPr>
                <w:rFonts w:hint="default" w:ascii="Times New Roman" w:hAnsi="Times New Roman" w:eastAsia="方正仿宋_GBK" w:cs="Times New Roman"/>
                <w:color w:val="000000"/>
                <w:kern w:val="0"/>
                <w:sz w:val="24"/>
                <w:lang w:val="en-US" w:eastAsia="zh-CN"/>
              </w:rPr>
              <w:t>3</w:t>
            </w:r>
            <w:r>
              <w:rPr>
                <w:rFonts w:hint="default" w:ascii="Times New Roman" w:hAnsi="Times New Roman" w:cs="Times New Roman"/>
                <w:color w:val="000000"/>
                <w:kern w:val="0"/>
                <w:sz w:val="24"/>
                <w:lang w:val="en-US" w:eastAsia="zh-CN"/>
              </w:rPr>
              <w:t>4.63</w:t>
            </w:r>
          </w:p>
        </w:tc>
        <w:tc>
          <w:tcPr>
            <w:tcW w:w="139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val="en-US" w:eastAsia="zh-CN"/>
              </w:rPr>
              <w:t>194.8</w:t>
            </w:r>
          </w:p>
        </w:tc>
        <w:tc>
          <w:tcPr>
            <w:tcW w:w="163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16.3:20.5:63.2</w:t>
            </w:r>
          </w:p>
        </w:tc>
        <w:tc>
          <w:tcPr>
            <w:tcW w:w="199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15.76</w:t>
            </w:r>
          </w:p>
        </w:tc>
        <w:tc>
          <w:tcPr>
            <w:tcW w:w="215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b/>
                <w:bCs/>
                <w:color w:val="000000"/>
                <w:kern w:val="0"/>
                <w:sz w:val="24"/>
                <w:lang w:val="en-US" w:eastAsia="zh-CN"/>
              </w:rPr>
              <w:t>192.6</w:t>
            </w:r>
          </w:p>
        </w:tc>
      </w:tr>
      <w:tr>
        <w:trPr>
          <w:trHeight w:val="476" w:hRule="atLeast"/>
        </w:trPr>
        <w:tc>
          <w:tcPr>
            <w:tcW w:w="9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948" w:hRule="atLeast"/>
        </w:trPr>
        <w:tc>
          <w:tcPr>
            <w:tcW w:w="20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强化工业反哺农业、城镇支持农村方略，以发展现代都市农业为引领，大力调整农业产业结构。优化农业布局，切实提高农业效益。重点是粮食、花卉、肉类。</w:t>
            </w:r>
          </w:p>
        </w:tc>
      </w:tr>
      <w:tr>
        <w:trPr>
          <w:trHeight w:val="640" w:hRule="atLeast"/>
        </w:trPr>
        <w:tc>
          <w:tcPr>
            <w:tcW w:w="20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磷矿采选及磷化工产业、现代装备制造业、冶金业和轻工业的</w:t>
            </w:r>
            <w:r>
              <w:rPr>
                <w:rFonts w:hint="default" w:ascii="Times New Roman" w:hAnsi="Times New Roman" w:cs="Times New Roman"/>
                <w:color w:val="000000"/>
                <w:kern w:val="0"/>
                <w:sz w:val="24"/>
                <w:lang w:eastAsia="zh-CN"/>
              </w:rPr>
              <w:t>产业</w:t>
            </w:r>
            <w:r>
              <w:rPr>
                <w:rFonts w:hint="default" w:ascii="Times New Roman" w:hAnsi="Times New Roman" w:eastAsia="方正仿宋_GBK" w:cs="Times New Roman"/>
                <w:color w:val="000000"/>
                <w:kern w:val="0"/>
                <w:sz w:val="24"/>
              </w:rPr>
              <w:t>升级和结构调整，加快新型工业化进程。</w:t>
            </w:r>
          </w:p>
        </w:tc>
      </w:tr>
      <w:tr>
        <w:trPr>
          <w:trHeight w:val="897" w:hRule="atLeast"/>
        </w:trPr>
        <w:tc>
          <w:tcPr>
            <w:tcW w:w="20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提升传统服务业水平，培育壮大现代服务业，积极构覆盖城乡、布局合理、功能齐全、充满活力的现代服务业发展格局。主要有旅游业、商贸物流业、金融业等。</w:t>
            </w:r>
          </w:p>
        </w:tc>
      </w:tr>
      <w:tr>
        <w:trPr>
          <w:trHeight w:val="474" w:hRule="atLeast"/>
        </w:trPr>
        <w:tc>
          <w:tcPr>
            <w:tcW w:w="9231" w:type="dxa"/>
            <w:gridSpan w:val="5"/>
            <w:tcBorders>
              <w:top w:val="single" w:color="auto"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峨山县</w:t>
            </w:r>
          </w:p>
        </w:tc>
      </w:tr>
      <w:tr>
        <w:trPr>
          <w:trHeight w:val="679" w:hRule="atLeast"/>
        </w:trPr>
        <w:tc>
          <w:tcPr>
            <w:tcW w:w="205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2020年常住总人口（万人）</w:t>
            </w:r>
          </w:p>
        </w:tc>
        <w:tc>
          <w:tcPr>
            <w:tcW w:w="13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2020年GDP（亿元）</w:t>
            </w:r>
          </w:p>
        </w:tc>
        <w:tc>
          <w:tcPr>
            <w:tcW w:w="16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2020年三产结构比重</w:t>
            </w:r>
          </w:p>
        </w:tc>
        <w:tc>
          <w:tcPr>
            <w:tcW w:w="199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2020年一般公共预算收入（亿元）</w:t>
            </w:r>
          </w:p>
        </w:tc>
        <w:tc>
          <w:tcPr>
            <w:tcW w:w="215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近3年累计引进资金（亿元）</w:t>
            </w:r>
          </w:p>
        </w:tc>
      </w:tr>
      <w:tr>
        <w:trPr>
          <w:trHeight w:val="315" w:hRule="atLeast"/>
        </w:trPr>
        <w:tc>
          <w:tcPr>
            <w:tcW w:w="205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rPr>
              <w:t>17.</w:t>
            </w:r>
            <w:r>
              <w:rPr>
                <w:rFonts w:hint="default" w:ascii="Times New Roman" w:hAnsi="Times New Roman" w:eastAsia="方正仿宋_GBK" w:cs="Times New Roman"/>
                <w:color w:val="000000"/>
                <w:kern w:val="0"/>
                <w:sz w:val="24"/>
                <w:lang w:val="en-US" w:eastAsia="zh-CN"/>
              </w:rPr>
              <w:t>12</w:t>
            </w:r>
          </w:p>
        </w:tc>
        <w:tc>
          <w:tcPr>
            <w:tcW w:w="139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rPr>
              <w:t>1</w:t>
            </w:r>
            <w:r>
              <w:rPr>
                <w:rFonts w:hint="default" w:ascii="Times New Roman" w:hAnsi="Times New Roman" w:eastAsia="方正仿宋_GBK" w:cs="Times New Roman"/>
                <w:color w:val="000000"/>
                <w:kern w:val="0"/>
                <w:sz w:val="24"/>
                <w:lang w:val="en-US" w:eastAsia="zh-CN"/>
              </w:rPr>
              <w:t>18</w:t>
            </w:r>
          </w:p>
        </w:tc>
        <w:tc>
          <w:tcPr>
            <w:tcW w:w="163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13:27:61</w:t>
            </w:r>
          </w:p>
        </w:tc>
        <w:tc>
          <w:tcPr>
            <w:tcW w:w="199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kern w:val="0"/>
                <w:sz w:val="24"/>
                <w:lang w:val="en-US" w:eastAsia="zh-CN"/>
              </w:rPr>
              <w:t>3.95</w:t>
            </w:r>
          </w:p>
        </w:tc>
        <w:tc>
          <w:tcPr>
            <w:tcW w:w="2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ind w:firstLine="0" w:firstLineChars="0"/>
              <w:jc w:val="center"/>
              <w:textAlignment w:val="center"/>
              <w:rPr>
                <w:rFonts w:hint="default" w:ascii="Times New Roman" w:hAnsi="Times New Roman" w:eastAsia="方正仿宋_GBK" w:cs="Times New Roman"/>
                <w:color w:val="000000"/>
                <w:sz w:val="22"/>
                <w:szCs w:val="22"/>
                <w:lang w:val="en-US" w:eastAsia="zh-CN"/>
              </w:rPr>
            </w:pPr>
            <w:r>
              <w:rPr>
                <w:rFonts w:hint="default" w:ascii="Times New Roman" w:hAnsi="Times New Roman" w:eastAsia="方正仿宋_GBK" w:cs="Times New Roman"/>
                <w:color w:val="000000"/>
                <w:kern w:val="0"/>
                <w:sz w:val="22"/>
                <w:szCs w:val="22"/>
                <w:lang w:val="en-US" w:eastAsia="zh-CN"/>
              </w:rPr>
              <w:t>254.6</w:t>
            </w:r>
          </w:p>
        </w:tc>
      </w:tr>
      <w:tr>
        <w:trPr>
          <w:trHeight w:val="597" w:hRule="atLeast"/>
        </w:trPr>
        <w:tc>
          <w:tcPr>
            <w:tcW w:w="9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854"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保持高原特色农业稳定，持续实施“三大基地5、两个百万、一带一廊”产业工程，保持优势主导畜牧、核桃、油橄榄、烤烟产业地位。</w:t>
            </w:r>
          </w:p>
        </w:tc>
      </w:tr>
      <w:tr>
        <w:trPr>
          <w:trHeight w:val="96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强化工业发展支撑，工业经济缓中趋稳，新型工业化进程加快，以装备制造、新型建材、煤化产业、新型矿电、特色生物资源加工为主的产业体系基本形成。</w:t>
            </w:r>
          </w:p>
        </w:tc>
      </w:tr>
      <w:tr>
        <w:trPr>
          <w:trHeight w:val="740" w:hRule="atLeast"/>
        </w:trPr>
        <w:tc>
          <w:tcPr>
            <w:tcW w:w="20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加大文化旅游、房地产、交通运输、金融保险等行业提速发展，中小微企业蓬勃发展，民营经济发展壮大。</w:t>
            </w:r>
          </w:p>
        </w:tc>
      </w:tr>
      <w:tr>
        <w:trPr>
          <w:trHeight w:val="406" w:hRule="atLeast"/>
        </w:trPr>
        <w:tc>
          <w:tcPr>
            <w:tcW w:w="9231" w:type="dxa"/>
            <w:gridSpan w:val="5"/>
            <w:tcBorders>
              <w:top w:val="single" w:color="auto" w:sz="4" w:space="0"/>
              <w:left w:val="single" w:color="auto" w:sz="4" w:space="0"/>
              <w:bottom w:val="single" w:color="auto" w:sz="4" w:space="0"/>
              <w:right w:val="single" w:color="auto"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lang w:eastAsia="zh-CN"/>
              </w:rPr>
            </w:pPr>
            <w:r>
              <w:rPr>
                <w:rFonts w:hint="default" w:ascii="Times New Roman" w:hAnsi="Times New Roman" w:eastAsia="方正仿宋_GBK" w:cs="Times New Roman"/>
                <w:b/>
                <w:color w:val="000000"/>
                <w:kern w:val="0"/>
                <w:sz w:val="24"/>
              </w:rPr>
              <w:t>禄丰</w:t>
            </w:r>
            <w:r>
              <w:rPr>
                <w:rFonts w:hint="default" w:ascii="Times New Roman" w:hAnsi="Times New Roman" w:eastAsia="方正仿宋_GBK" w:cs="Times New Roman"/>
                <w:b/>
                <w:color w:val="000000"/>
                <w:kern w:val="0"/>
                <w:sz w:val="24"/>
                <w:lang w:eastAsia="zh-CN"/>
              </w:rPr>
              <w:t>市</w:t>
            </w:r>
          </w:p>
        </w:tc>
      </w:tr>
      <w:tr>
        <w:trPr>
          <w:trHeight w:val="570" w:hRule="atLeast"/>
        </w:trPr>
        <w:tc>
          <w:tcPr>
            <w:tcW w:w="20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2020年常住总人口（万人）</w:t>
            </w:r>
          </w:p>
        </w:tc>
        <w:tc>
          <w:tcPr>
            <w:tcW w:w="13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2020年GDP（亿元）</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2020年三产结构比重</w:t>
            </w:r>
          </w:p>
        </w:tc>
        <w:tc>
          <w:tcPr>
            <w:tcW w:w="199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2020年一般公共预算收入（亿元）</w:t>
            </w:r>
          </w:p>
        </w:tc>
        <w:tc>
          <w:tcPr>
            <w:tcW w:w="21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近3年累计引进资金（亿元）</w:t>
            </w:r>
          </w:p>
        </w:tc>
      </w:tr>
      <w:tr>
        <w:trPr>
          <w:trHeight w:val="315" w:hRule="atLeast"/>
        </w:trPr>
        <w:tc>
          <w:tcPr>
            <w:tcW w:w="20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43.48</w:t>
            </w:r>
          </w:p>
        </w:tc>
        <w:tc>
          <w:tcPr>
            <w:tcW w:w="13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208.1</w:t>
            </w:r>
          </w:p>
        </w:tc>
        <w:tc>
          <w:tcPr>
            <w:tcW w:w="163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21.8:36.4:41.8</w:t>
            </w:r>
          </w:p>
        </w:tc>
        <w:tc>
          <w:tcPr>
            <w:tcW w:w="19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 xml:space="preserve">9.30 </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420.64</w:t>
            </w:r>
          </w:p>
        </w:tc>
      </w:tr>
      <w:tr>
        <w:trPr>
          <w:trHeight w:val="414" w:hRule="atLeast"/>
        </w:trPr>
        <w:tc>
          <w:tcPr>
            <w:tcW w:w="9231" w:type="dxa"/>
            <w:gridSpan w:val="5"/>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83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推动现代农业发展。提高粮食作物单产，稳定粮食产量。加快特色农业基地建设，促进蔬菜、辣椒、萝卜等特色产业生产经营规模，巩固现代烟草农业建设成果。</w:t>
            </w:r>
          </w:p>
        </w:tc>
      </w:tr>
      <w:tr>
        <w:trPr>
          <w:trHeight w:val="779"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突出产业聚集，培育做优新型工业。大力发展钛产业下游精深加工，以省级禄丰工业园区勤丰片区为平台，高起点、高标准、高质量推进云南石化产业园项目建设。</w:t>
            </w:r>
          </w:p>
        </w:tc>
      </w:tr>
      <w:tr>
        <w:trPr>
          <w:trHeight w:val="615"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立足区位、交通、资源优势，提升恐龙谷、黑井古镇影响力，大力发掘恐龙、古盐文化，不断拓展服务业发展空间。</w:t>
            </w:r>
          </w:p>
        </w:tc>
      </w:tr>
      <w:tr>
        <w:trPr>
          <w:trHeight w:val="457" w:hRule="atLeast"/>
        </w:trPr>
        <w:tc>
          <w:tcPr>
            <w:tcW w:w="9231" w:type="dxa"/>
            <w:gridSpan w:val="5"/>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双柏县</w:t>
            </w:r>
          </w:p>
        </w:tc>
      </w:tr>
      <w:tr>
        <w:trPr>
          <w:trHeight w:val="706" w:hRule="atLeast"/>
        </w:trPr>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2020年常住总人口（万人）</w:t>
            </w:r>
          </w:p>
        </w:tc>
        <w:tc>
          <w:tcPr>
            <w:tcW w:w="1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2020年GDP（亿元）</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2020年三产结构比重</w:t>
            </w:r>
          </w:p>
        </w:tc>
        <w:tc>
          <w:tcPr>
            <w:tcW w:w="1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2020年一般公共预算收入（亿元）</w:t>
            </w:r>
          </w:p>
        </w:tc>
        <w:tc>
          <w:tcPr>
            <w:tcW w:w="2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近3年累计引进资金（亿元）</w:t>
            </w:r>
          </w:p>
        </w:tc>
      </w:tr>
      <w:tr>
        <w:trPr>
          <w:trHeight w:val="315"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16.44</w:t>
            </w: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60.97</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26.6:32.8:40.6</w:t>
            </w:r>
          </w:p>
        </w:tc>
        <w:tc>
          <w:tcPr>
            <w:tcW w:w="19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2.75</w:t>
            </w:r>
          </w:p>
        </w:tc>
        <w:tc>
          <w:tcPr>
            <w:tcW w:w="2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lang w:val="en-US" w:eastAsia="zh-CN"/>
              </w:rPr>
              <w:t>331.4</w:t>
            </w:r>
          </w:p>
        </w:tc>
      </w:tr>
      <w:tr>
        <w:trPr>
          <w:trHeight w:val="385" w:hRule="atLeast"/>
        </w:trPr>
        <w:tc>
          <w:tcPr>
            <w:tcW w:w="9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b/>
                <w:color w:val="000000"/>
                <w:sz w:val="24"/>
              </w:rPr>
            </w:pPr>
            <w:r>
              <w:rPr>
                <w:rFonts w:hint="default" w:ascii="Times New Roman" w:hAnsi="Times New Roman" w:eastAsia="方正仿宋_GBK" w:cs="Times New Roman"/>
                <w:b/>
                <w:color w:val="000000"/>
                <w:kern w:val="0"/>
                <w:sz w:val="24"/>
              </w:rPr>
              <w:t>重点产业</w:t>
            </w:r>
          </w:p>
        </w:tc>
      </w:tr>
      <w:tr>
        <w:trPr>
          <w:trHeight w:val="916"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第一产业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全面提升白药之乡、牡丹之乡、壮鸡之乡品牌。扩大武定鸡、商品猪、肉羊养殖和加工，建设以“养、屠、运、销”一体的现代滇中现代养殖产业带。大力发展现代都市农业。</w:t>
            </w:r>
          </w:p>
        </w:tc>
      </w:tr>
      <w:tr>
        <w:trPr>
          <w:trHeight w:val="935"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第二产业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提升改造现有产业，开发优势资源，培育大园区，做强大企业，引进新兴产业，培强壮大工业经济，重点发展冶金、化工、石产业、绿色食品加工、生物制药等产业。</w:t>
            </w:r>
          </w:p>
        </w:tc>
      </w:tr>
      <w:tr>
        <w:trPr>
          <w:trHeight w:val="903"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第三产业</w:t>
            </w:r>
          </w:p>
        </w:tc>
        <w:tc>
          <w:tcPr>
            <w:tcW w:w="71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260" w:lineRule="exact"/>
              <w:ind w:firstLine="0" w:firstLineChars="0"/>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加快旅游业转型升级，提升品牌形象。加强生产性服务业与工业融合发展，积极发展生活性服务业。大力发展现代物流、金融保险、信息咨询和科技服务等生产性服务业。</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eastAsia="zh-CN"/>
        </w:rPr>
      </w:pPr>
      <w:bookmarkStart w:id="54" w:name="_Toc20574"/>
      <w:bookmarkStart w:id="55" w:name="_Toc22055"/>
      <w:r>
        <w:rPr>
          <w:rFonts w:hint="default" w:ascii="Times New Roman" w:hAnsi="Times New Roman" w:eastAsia="方正楷体_GBK" w:cs="Times New Roman"/>
        </w:rPr>
        <w:t>（四）路径</w:t>
      </w:r>
      <w:r>
        <w:rPr>
          <w:rFonts w:hint="default" w:ascii="Times New Roman" w:hAnsi="Times New Roman" w:eastAsia="方正楷体_GBK" w:cs="Times New Roman"/>
          <w:lang w:eastAsia="zh-CN"/>
        </w:rPr>
        <w:t>选择</w:t>
      </w:r>
      <w:bookmarkEnd w:id="54"/>
    </w:p>
    <w:p>
      <w:pPr>
        <w:keepNext w:val="0"/>
        <w:keepLines w:val="0"/>
        <w:pageBreakBefore w:val="0"/>
        <w:widowControl w:val="0"/>
        <w:kinsoku/>
        <w:wordWrap/>
        <w:overflowPunct/>
        <w:topLinePunct w:val="0"/>
        <w:autoSpaceDE/>
        <w:autoSpaceDN/>
        <w:bidi w:val="0"/>
        <w:adjustRightInd/>
        <w:snapToGrid/>
        <w:ind w:firstLine="31680"/>
        <w:textAlignment w:val="auto"/>
        <w:rPr>
          <w:rFonts w:hint="default" w:ascii="Times New Roman" w:hAnsi="Times New Roman" w:eastAsia="方正仿宋_GBK" w:cs="Times New Roman"/>
          <w:b/>
          <w:bCs/>
          <w:lang w:eastAsia="zh-CN"/>
        </w:rPr>
      </w:pPr>
      <w:r>
        <w:rPr>
          <w:rFonts w:hint="default" w:ascii="Times New Roman" w:hAnsi="Times New Roman" w:cs="Times New Roman"/>
        </w:rPr>
        <w:t>新时代背景下，</w:t>
      </w:r>
      <w:r>
        <w:rPr>
          <w:rFonts w:hint="default" w:ascii="Times New Roman" w:hAnsi="Times New Roman" w:cs="Times New Roman"/>
          <w:szCs w:val="40"/>
        </w:rPr>
        <w:t>易门所处的地理区位和区域发展特征决定了</w:t>
      </w:r>
      <w:r>
        <w:rPr>
          <w:rFonts w:hint="default" w:ascii="Times New Roman" w:hAnsi="Times New Roman" w:cs="Times New Roman"/>
          <w:szCs w:val="40"/>
          <w:lang w:eastAsia="zh-CN"/>
        </w:rPr>
        <w:t>，</w:t>
      </w:r>
      <w:r>
        <w:rPr>
          <w:rFonts w:hint="default" w:ascii="Times New Roman" w:hAnsi="Times New Roman" w:cs="Times New Roman"/>
          <w:szCs w:val="40"/>
        </w:rPr>
        <w:t>易门的发展必须依托滇中城市群</w:t>
      </w:r>
      <w:r>
        <w:rPr>
          <w:rFonts w:hint="default" w:ascii="Times New Roman" w:hAnsi="Times New Roman" w:cs="Times New Roman"/>
          <w:szCs w:val="40"/>
          <w:lang w:eastAsia="zh-CN"/>
        </w:rPr>
        <w:t>和昆玉一体化</w:t>
      </w:r>
      <w:r>
        <w:rPr>
          <w:rFonts w:hint="default" w:ascii="Times New Roman" w:hAnsi="Times New Roman" w:cs="Times New Roman"/>
          <w:szCs w:val="40"/>
        </w:rPr>
        <w:t>的整体发展，从而对周边区域乃至全省的发展起到更大的</w:t>
      </w:r>
      <w:r>
        <w:rPr>
          <w:rFonts w:hint="default" w:ascii="Times New Roman" w:hAnsi="Times New Roman" w:cs="Times New Roman"/>
          <w:szCs w:val="40"/>
          <w:lang w:eastAsia="zh-CN"/>
        </w:rPr>
        <w:t>支撑</w:t>
      </w:r>
      <w:r>
        <w:rPr>
          <w:rFonts w:hint="default" w:ascii="Times New Roman" w:hAnsi="Times New Roman" w:cs="Times New Roman"/>
          <w:szCs w:val="40"/>
        </w:rPr>
        <w:t>作用。同时，</w:t>
      </w:r>
      <w:r>
        <w:rPr>
          <w:rFonts w:hint="default" w:ascii="Times New Roman" w:hAnsi="Times New Roman" w:cs="Times New Roman"/>
        </w:rPr>
        <w:t>易门区域合作和招商引资面临新的环境，易门要在新发展阶段、新发展理念、新发展格局中，就必须打破过去的路径依赖，抢抓新机遇，特别是要在</w:t>
      </w:r>
      <w:r>
        <w:rPr>
          <w:rFonts w:hint="default" w:ascii="Times New Roman" w:hAnsi="Times New Roman" w:cs="Times New Roman"/>
          <w:szCs w:val="40"/>
        </w:rPr>
        <w:t>产业链中找准自身位置，</w:t>
      </w:r>
      <w:r>
        <w:rPr>
          <w:rFonts w:hint="default" w:ascii="Times New Roman" w:hAnsi="Times New Roman" w:cs="Times New Roman"/>
          <w:szCs w:val="40"/>
          <w:lang w:eastAsia="zh-CN"/>
        </w:rPr>
        <w:t>推动产业聚集</w:t>
      </w:r>
      <w:r>
        <w:rPr>
          <w:rFonts w:hint="default" w:ascii="Times New Roman" w:hAnsi="Times New Roman" w:cs="Times New Roman"/>
          <w:szCs w:val="40"/>
        </w:rPr>
        <w:t>，形成合理的产业链和具有明显优势的产业集群，</w:t>
      </w:r>
      <w:r>
        <w:rPr>
          <w:rFonts w:hint="default" w:ascii="Times New Roman" w:hAnsi="Times New Roman" w:cs="Times New Roman"/>
          <w:szCs w:val="40"/>
          <w:lang w:eastAsia="zh-CN"/>
        </w:rPr>
        <w:t>主动</w:t>
      </w:r>
      <w:r>
        <w:rPr>
          <w:rFonts w:hint="default" w:ascii="Times New Roman" w:hAnsi="Times New Roman" w:cs="Times New Roman"/>
        </w:rPr>
        <w:t>实现新作为。</w:t>
      </w:r>
    </w:p>
    <w:p>
      <w:pPr>
        <w:keepNext w:val="0"/>
        <w:keepLines w:val="0"/>
        <w:pageBreakBefore w:val="0"/>
        <w:widowControl w:val="0"/>
        <w:kinsoku/>
        <w:wordWrap/>
        <w:overflowPunct/>
        <w:topLinePunct w:val="0"/>
        <w:bidi w:val="0"/>
        <w:adjustRightInd/>
        <w:snapToGrid/>
        <w:rPr>
          <w:rFonts w:hint="default" w:ascii="Times New Roman" w:hAnsi="Times New Roman" w:cs="Times New Roma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-3380105</wp:posOffset>
                </wp:positionV>
                <wp:extent cx="5762625" cy="3726180"/>
                <wp:effectExtent l="12700" t="0" r="15875" b="13970"/>
                <wp:wrapNone/>
                <wp:docPr id="103" name="矩形 103"/>
                <wp:cNvGraphicFramePr/>
                <a:graphic xmlns:a="http://schemas.openxmlformats.org/drawingml/2006/main">
                  <a:graphicData uri="http://schemas.microsoft.com/office/word/2010/wordprocessingShape">
                    <wps:wsp>
                      <wps:cNvSpPr/>
                      <wps:spPr>
                        <a:xfrm>
                          <a:off x="927735" y="1199515"/>
                          <a:ext cx="5762625" cy="3726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74pt;margin-top:-266.15pt;height:293.4pt;width:453.75pt;z-index:251661312;v-text-anchor:middle;mso-width-relative:page;mso-height-relative:page;" filled="f" stroked="t" coordsize="21600,21600" o:gfxdata="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oIm4O2wAAAAwBAAAPAAAAAAAAAAEAIAAAADgAAABkcnMvZG93&#10;bnJldi54bWxQSwECFAAUAAAACACHTuJAZyl6X1kCAACFBAAADgAAAAAAAAABACAAAABAAQAAZHJz&#10;L2Uyb0RvYy54bWxQSwUGAAAAAAYABgBZAQAACwYAAAAA&#10;">
                <v:fill on="f" focussize="0,0"/>
                <v:stroke weight="2pt" color="#000000 [3213]" joinstyle="round"/>
                <v:imagedata o:title=""/>
                <o:lock v:ext="edit" aspectratio="f"/>
              </v:rect>
            </w:pict>
          </mc:Fallback>
        </mc:AlternateContent>
      </w:r>
      <w:r>
        <w:rPr>
          <w:rFonts w:hint="default" w:ascii="Times New Roman" w:hAnsi="Times New Roman" w:cs="Times New Roman"/>
        </w:rPr>
        <mc:AlternateContent>
          <mc:Choice Requires="wpg">
            <w:drawing>
              <wp:anchor distT="0" distB="0" distL="114300" distR="114300" simplePos="0" relativeHeight="251660288" behindDoc="1" locked="0" layoutInCell="1" allowOverlap="1">
                <wp:simplePos x="0" y="0"/>
                <wp:positionH relativeFrom="column">
                  <wp:posOffset>158115</wp:posOffset>
                </wp:positionH>
                <wp:positionV relativeFrom="paragraph">
                  <wp:posOffset>98425</wp:posOffset>
                </wp:positionV>
                <wp:extent cx="5511165" cy="3598545"/>
                <wp:effectExtent l="0" t="0" r="0" b="0"/>
                <wp:wrapTight wrapText="bothSides">
                  <wp:wrapPolygon>
                    <wp:start x="-55" y="-198"/>
                    <wp:lineTo x="-55" y="19126"/>
                    <wp:lineTo x="1588" y="21642"/>
                    <wp:lineTo x="2110" y="21642"/>
                    <wp:lineTo x="3156" y="19927"/>
                    <wp:lineTo x="21598" y="19698"/>
                    <wp:lineTo x="21598" y="13638"/>
                    <wp:lineTo x="3454" y="12609"/>
                    <wp:lineTo x="21598" y="12151"/>
                    <wp:lineTo x="21598" y="6777"/>
                    <wp:lineTo x="18910" y="6434"/>
                    <wp:lineTo x="3678" y="5290"/>
                    <wp:lineTo x="21598" y="5176"/>
                    <wp:lineTo x="21598" y="-198"/>
                    <wp:lineTo x="-55" y="-198"/>
                  </wp:wrapPolygon>
                </wp:wrapTight>
                <wp:docPr id="100" name="组合 1" descr="KSO_WM_TAG_VERSION=1.0&amp;KSO_WM_BEAUTIFY_FLAG=#wm#&amp;KSO_WM_UNIT_TYPE=i&amp;KSO_WM_UNIT_ID=wpsdiag20164762_3*i*1&amp;KSO_WM_TEMPLATE_CATEGORY=wpsdiag&amp;KSO_WM_TEMPLATE_INDEX=20164762"/>
                <wp:cNvGraphicFramePr/>
                <a:graphic xmlns:a="http://schemas.openxmlformats.org/drawingml/2006/main">
                  <a:graphicData uri="http://schemas.microsoft.com/office/word/2010/wordprocessingGroup">
                    <wpg:wgp>
                      <wpg:cNvGrpSpPr/>
                      <wpg:grpSpPr>
                        <a:xfrm>
                          <a:off x="443230" y="116205"/>
                          <a:ext cx="5511165" cy="3598545"/>
                          <a:chOff x="0" y="115078"/>
                          <a:chExt cx="1632319" cy="1080089"/>
                        </a:xfrm>
                      </wpg:grpSpPr>
                      <wps:wsp>
                        <wps:cNvPr id="81" name="任意多边形: 形状 17" descr="KSO_WM_UNIT_INDEX=1_1&amp;KSO_WM_UNIT_TYPE=m_i&amp;KSO_WM_UNIT_ID=wpsdiag20164762_3*m_i*1_1&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wps:cNvSpPr/>
                        <wps:spPr>
                          <a:xfrm>
                            <a:off x="0" y="115078"/>
                            <a:ext cx="280140" cy="385432"/>
                          </a:xfrm>
                          <a:custGeom>
                            <a:avLst/>
                            <a:gdLst>
                              <a:gd name="connsiteX0" fmla="*/ 0 w 1931458"/>
                              <a:gd name="connsiteY0" fmla="*/ 0 h 1352020"/>
                              <a:gd name="connsiteX1" fmla="*/ 1255448 w 1931458"/>
                              <a:gd name="connsiteY1" fmla="*/ 0 h 1352020"/>
                              <a:gd name="connsiteX2" fmla="*/ 1931458 w 1931458"/>
                              <a:gd name="connsiteY2" fmla="*/ 676010 h 1352020"/>
                              <a:gd name="connsiteX3" fmla="*/ 1255448 w 1931458"/>
                              <a:gd name="connsiteY3" fmla="*/ 1352020 h 1352020"/>
                              <a:gd name="connsiteX4" fmla="*/ 0 w 1931458"/>
                              <a:gd name="connsiteY4" fmla="*/ 1352020 h 1352020"/>
                              <a:gd name="connsiteX5" fmla="*/ 676010 w 1931458"/>
                              <a:gd name="connsiteY5" fmla="*/ 676010 h 1352020"/>
                              <a:gd name="connsiteX6" fmla="*/ 0 w 1931458"/>
                              <a:gd name="connsiteY6" fmla="*/ 0 h 1352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31458" h="1352020">
                                <a:moveTo>
                                  <a:pt x="1931457" y="0"/>
                                </a:moveTo>
                                <a:lnTo>
                                  <a:pt x="1931457" y="878813"/>
                                </a:lnTo>
                                <a:lnTo>
                                  <a:pt x="965729" y="1352020"/>
                                </a:lnTo>
                                <a:lnTo>
                                  <a:pt x="1" y="878813"/>
                                </a:lnTo>
                                <a:lnTo>
                                  <a:pt x="1" y="0"/>
                                </a:lnTo>
                                <a:lnTo>
                                  <a:pt x="965729" y="473207"/>
                                </a:lnTo>
                                <a:lnTo>
                                  <a:pt x="1931457" y="0"/>
                                </a:lnTo>
                                <a:close/>
                              </a:path>
                            </a:pathLst>
                          </a:custGeom>
                          <a:gradFill>
                            <a:gsLst>
                              <a:gs pos="0">
                                <a:srgbClr val="FBFB11"/>
                              </a:gs>
                              <a:gs pos="100000">
                                <a:srgbClr val="838309"/>
                              </a:gs>
                            </a:gsLst>
                            <a:lin ang="5400000" scaled="false"/>
                          </a:gradFill>
                          <a:ln w="28575" cap="flat" cmpd="sng" algn="ctr">
                            <a:solidFill>
                              <a:schemeClr val="accent3"/>
                            </a:solidFill>
                            <a:prstDash val="solid"/>
                            <a:miter lim="800000"/>
                          </a:ln>
                          <a:effectLst/>
                        </wps:spPr>
                        <wps:bodyPr spcFirstLastPara="0" vert="horz" wrap="square" lIns="4182" tIns="139083" rIns="4182" bIns="139083" numCol="1" spcCol="1270" anchor="ctr" anchorCtr="false">
                          <a:noAutofit/>
                        </wps:bodyPr>
                      </wps:wsp>
                      <wps:wsp>
                        <wps:cNvPr id="82" name="任意多边形: 形状 18" descr="KSO_WM_UNIT_INDEX=1_2&amp;KSO_WM_UNIT_TYPE=m_i&amp;KSO_WM_UNIT_ID=wpsdiag20164762_3*m_i*1_2&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wps:cNvSpPr/>
                        <wps:spPr>
                          <a:xfrm>
                            <a:off x="280140" y="115079"/>
                            <a:ext cx="1352179" cy="250530"/>
                          </a:xfrm>
                          <a:custGeom>
                            <a:avLst/>
                            <a:gdLst>
                              <a:gd name="connsiteX0" fmla="*/ 209245 w 1255447"/>
                              <a:gd name="connsiteY0" fmla="*/ 0 h 6775979"/>
                              <a:gd name="connsiteX1" fmla="*/ 1046202 w 1255447"/>
                              <a:gd name="connsiteY1" fmla="*/ 0 h 6775979"/>
                              <a:gd name="connsiteX2" fmla="*/ 1255447 w 1255447"/>
                              <a:gd name="connsiteY2" fmla="*/ 209245 h 6775979"/>
                              <a:gd name="connsiteX3" fmla="*/ 1255447 w 1255447"/>
                              <a:gd name="connsiteY3" fmla="*/ 6775979 h 6775979"/>
                              <a:gd name="connsiteX4" fmla="*/ 1255447 w 1255447"/>
                              <a:gd name="connsiteY4" fmla="*/ 6775979 h 6775979"/>
                              <a:gd name="connsiteX5" fmla="*/ 0 w 1255447"/>
                              <a:gd name="connsiteY5" fmla="*/ 6775979 h 6775979"/>
                              <a:gd name="connsiteX6" fmla="*/ 0 w 1255447"/>
                              <a:gd name="connsiteY6" fmla="*/ 6775979 h 6775979"/>
                              <a:gd name="connsiteX7" fmla="*/ 0 w 1255447"/>
                              <a:gd name="connsiteY7" fmla="*/ 209245 h 6775979"/>
                              <a:gd name="connsiteX8" fmla="*/ 209245 w 1255447"/>
                              <a:gd name="connsiteY8" fmla="*/ 0 h 677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55447" h="6775979">
                                <a:moveTo>
                                  <a:pt x="1255447" y="1129352"/>
                                </a:moveTo>
                                <a:lnTo>
                                  <a:pt x="1255447" y="5646627"/>
                                </a:lnTo>
                                <a:cubicBezTo>
                                  <a:pt x="1255447" y="6270350"/>
                                  <a:pt x="1238090" y="6775976"/>
                                  <a:pt x="1216678" y="6775976"/>
                                </a:cubicBezTo>
                                <a:lnTo>
                                  <a:pt x="0" y="6775976"/>
                                </a:lnTo>
                                <a:lnTo>
                                  <a:pt x="0" y="6775976"/>
                                </a:lnTo>
                                <a:lnTo>
                                  <a:pt x="0" y="3"/>
                                </a:lnTo>
                                <a:lnTo>
                                  <a:pt x="0" y="3"/>
                                </a:lnTo>
                                <a:lnTo>
                                  <a:pt x="1216678" y="3"/>
                                </a:lnTo>
                                <a:cubicBezTo>
                                  <a:pt x="1238090" y="3"/>
                                  <a:pt x="1255447" y="505629"/>
                                  <a:pt x="1255447" y="1129352"/>
                                </a:cubicBezTo>
                                <a:close/>
                              </a:path>
                            </a:pathLst>
                          </a:custGeom>
                          <a:noFill/>
                          <a:ln w="28575" cap="flat" cmpd="sng" algn="ctr">
                            <a:solidFill>
                              <a:srgbClr val="7F7F7F"/>
                            </a:solidFill>
                            <a:prstDash val="solid"/>
                            <a:miter lim="800000"/>
                          </a:ln>
                          <a:effectLst/>
                        </wps:spPr>
                        <wps:txbx>
                          <w:txbxContent>
                            <w:p>
                              <w:pPr>
                                <w:rPr>
                                  <w:rFonts w:ascii="黑体" w:hAnsi="黑体" w:eastAsia="黑体"/>
                                </w:rPr>
                              </w:pPr>
                            </w:p>
                          </w:txbxContent>
                        </wps:txbx>
                        <wps:bodyPr spcFirstLastPara="0" vert="horz" wrap="square" lIns="0" tIns="0" rIns="0" bIns="0" numCol="1" spcCol="1270" anchor="ctr" anchorCtr="false">
                          <a:noAutofit/>
                        </wps:bodyPr>
                      </wps:wsp>
                      <wps:wsp>
                        <wps:cNvPr id="83" name="任意多边形: 形状 19" descr="KSO_WM_UNIT_INDEX=1_3&amp;KSO_WM_UNIT_TYPE=m_i&amp;KSO_WM_UNIT_ID=wpsdiag20164762_3*m_i*1_3&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wps:cNvSpPr/>
                        <wps:spPr>
                          <a:xfrm>
                            <a:off x="0" y="462408"/>
                            <a:ext cx="280140" cy="385431"/>
                          </a:xfrm>
                          <a:custGeom>
                            <a:avLst/>
                            <a:gdLst>
                              <a:gd name="connsiteX0" fmla="*/ 0 w 1931458"/>
                              <a:gd name="connsiteY0" fmla="*/ 0 h 1352020"/>
                              <a:gd name="connsiteX1" fmla="*/ 1255448 w 1931458"/>
                              <a:gd name="connsiteY1" fmla="*/ 0 h 1352020"/>
                              <a:gd name="connsiteX2" fmla="*/ 1931458 w 1931458"/>
                              <a:gd name="connsiteY2" fmla="*/ 676010 h 1352020"/>
                              <a:gd name="connsiteX3" fmla="*/ 1255448 w 1931458"/>
                              <a:gd name="connsiteY3" fmla="*/ 1352020 h 1352020"/>
                              <a:gd name="connsiteX4" fmla="*/ 0 w 1931458"/>
                              <a:gd name="connsiteY4" fmla="*/ 1352020 h 1352020"/>
                              <a:gd name="connsiteX5" fmla="*/ 676010 w 1931458"/>
                              <a:gd name="connsiteY5" fmla="*/ 676010 h 1352020"/>
                              <a:gd name="connsiteX6" fmla="*/ 0 w 1931458"/>
                              <a:gd name="connsiteY6" fmla="*/ 0 h 1352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31458" h="1352020">
                                <a:moveTo>
                                  <a:pt x="1931457" y="0"/>
                                </a:moveTo>
                                <a:lnTo>
                                  <a:pt x="1931457" y="878813"/>
                                </a:lnTo>
                                <a:lnTo>
                                  <a:pt x="965729" y="1352020"/>
                                </a:lnTo>
                                <a:lnTo>
                                  <a:pt x="1" y="878813"/>
                                </a:lnTo>
                                <a:lnTo>
                                  <a:pt x="1" y="0"/>
                                </a:lnTo>
                                <a:lnTo>
                                  <a:pt x="965729" y="473207"/>
                                </a:lnTo>
                                <a:lnTo>
                                  <a:pt x="1931457" y="0"/>
                                </a:lnTo>
                                <a:close/>
                              </a:path>
                            </a:pathLst>
                          </a:custGeom>
                          <a:gradFill>
                            <a:gsLst>
                              <a:gs pos="0">
                                <a:srgbClr val="FBFB11"/>
                              </a:gs>
                              <a:gs pos="100000">
                                <a:srgbClr val="838309"/>
                              </a:gs>
                            </a:gsLst>
                            <a:lin ang="5400000" scaled="false"/>
                          </a:gradFill>
                          <a:ln w="28575" cap="flat" cmpd="sng" algn="ctr">
                            <a:solidFill>
                              <a:srgbClr val="7F7F7F"/>
                            </a:solidFill>
                            <a:prstDash val="solid"/>
                            <a:miter lim="800000"/>
                          </a:ln>
                          <a:effectLst/>
                        </wps:spPr>
                        <wps:bodyPr spcFirstLastPara="0" vert="horz" wrap="square" lIns="4182" tIns="139083" rIns="4182" bIns="139083" numCol="1" spcCol="1270" anchor="ctr" anchorCtr="false">
                          <a:noAutofit/>
                        </wps:bodyPr>
                      </wps:wsp>
                      <wps:wsp>
                        <wps:cNvPr id="84" name="任意多边形: 形状 20" descr="KSO_WM_UNIT_INDEX=1_4&amp;KSO_WM_UNIT_TYPE=m_i&amp;KSO_WM_UNIT_ID=wpsdiag20164762_3*m_i*1_4&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wps:cNvSpPr/>
                        <wps:spPr>
                          <a:xfrm>
                            <a:off x="280140" y="462407"/>
                            <a:ext cx="1352179" cy="250530"/>
                          </a:xfrm>
                          <a:custGeom>
                            <a:avLst/>
                            <a:gdLst>
                              <a:gd name="connsiteX0" fmla="*/ 209245 w 1255447"/>
                              <a:gd name="connsiteY0" fmla="*/ 0 h 6775979"/>
                              <a:gd name="connsiteX1" fmla="*/ 1046202 w 1255447"/>
                              <a:gd name="connsiteY1" fmla="*/ 0 h 6775979"/>
                              <a:gd name="connsiteX2" fmla="*/ 1255447 w 1255447"/>
                              <a:gd name="connsiteY2" fmla="*/ 209245 h 6775979"/>
                              <a:gd name="connsiteX3" fmla="*/ 1255447 w 1255447"/>
                              <a:gd name="connsiteY3" fmla="*/ 6775979 h 6775979"/>
                              <a:gd name="connsiteX4" fmla="*/ 1255447 w 1255447"/>
                              <a:gd name="connsiteY4" fmla="*/ 6775979 h 6775979"/>
                              <a:gd name="connsiteX5" fmla="*/ 0 w 1255447"/>
                              <a:gd name="connsiteY5" fmla="*/ 6775979 h 6775979"/>
                              <a:gd name="connsiteX6" fmla="*/ 0 w 1255447"/>
                              <a:gd name="connsiteY6" fmla="*/ 6775979 h 6775979"/>
                              <a:gd name="connsiteX7" fmla="*/ 0 w 1255447"/>
                              <a:gd name="connsiteY7" fmla="*/ 209245 h 6775979"/>
                              <a:gd name="connsiteX8" fmla="*/ 209245 w 1255447"/>
                              <a:gd name="connsiteY8" fmla="*/ 0 h 677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55447" h="6775979">
                                <a:moveTo>
                                  <a:pt x="1255447" y="1129352"/>
                                </a:moveTo>
                                <a:lnTo>
                                  <a:pt x="1255447" y="5646627"/>
                                </a:lnTo>
                                <a:cubicBezTo>
                                  <a:pt x="1255447" y="6270350"/>
                                  <a:pt x="1238090" y="6775976"/>
                                  <a:pt x="1216678" y="6775976"/>
                                </a:cubicBezTo>
                                <a:lnTo>
                                  <a:pt x="0" y="6775976"/>
                                </a:lnTo>
                                <a:lnTo>
                                  <a:pt x="0" y="6775976"/>
                                </a:lnTo>
                                <a:lnTo>
                                  <a:pt x="0" y="3"/>
                                </a:lnTo>
                                <a:lnTo>
                                  <a:pt x="0" y="3"/>
                                </a:lnTo>
                                <a:lnTo>
                                  <a:pt x="1216678" y="3"/>
                                </a:lnTo>
                                <a:cubicBezTo>
                                  <a:pt x="1238090" y="3"/>
                                  <a:pt x="1255447" y="505629"/>
                                  <a:pt x="1255447" y="1129352"/>
                                </a:cubicBezTo>
                                <a:close/>
                              </a:path>
                            </a:pathLst>
                          </a:custGeom>
                          <a:noFill/>
                          <a:ln w="28575" cap="flat" cmpd="sng" algn="ctr">
                            <a:solidFill>
                              <a:srgbClr val="7F7F7F"/>
                            </a:solidFill>
                            <a:prstDash val="solid"/>
                            <a:miter lim="800000"/>
                          </a:ln>
                          <a:effectLst/>
                        </wps:spPr>
                        <wps:txbx>
                          <w:txbxContent>
                            <w:p>
                              <w:pPr>
                                <w:rPr>
                                  <w:rFonts w:ascii="黑体" w:hAnsi="黑体" w:eastAsia="黑体"/>
                                </w:rPr>
                              </w:pPr>
                            </w:p>
                          </w:txbxContent>
                        </wps:txbx>
                        <wps:bodyPr spcFirstLastPara="0" vert="horz" wrap="square" lIns="0" tIns="0" rIns="0" bIns="0" numCol="1" spcCol="1270" anchor="ctr" anchorCtr="false">
                          <a:noAutofit/>
                        </wps:bodyPr>
                      </wps:wsp>
                      <wps:wsp>
                        <wps:cNvPr id="85" name="任意多边形: 形状 21" descr="KSO_WM_UNIT_INDEX=1_5&amp;KSO_WM_UNIT_TYPE=m_i&amp;KSO_WM_UNIT_ID=wpsdiag20164762_3*m_i*1_5&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wps:cNvSpPr/>
                        <wps:spPr>
                          <a:xfrm>
                            <a:off x="0" y="809736"/>
                            <a:ext cx="280140" cy="385431"/>
                          </a:xfrm>
                          <a:custGeom>
                            <a:avLst/>
                            <a:gdLst>
                              <a:gd name="connsiteX0" fmla="*/ 0 w 1931458"/>
                              <a:gd name="connsiteY0" fmla="*/ 0 h 1352020"/>
                              <a:gd name="connsiteX1" fmla="*/ 1255448 w 1931458"/>
                              <a:gd name="connsiteY1" fmla="*/ 0 h 1352020"/>
                              <a:gd name="connsiteX2" fmla="*/ 1931458 w 1931458"/>
                              <a:gd name="connsiteY2" fmla="*/ 676010 h 1352020"/>
                              <a:gd name="connsiteX3" fmla="*/ 1255448 w 1931458"/>
                              <a:gd name="connsiteY3" fmla="*/ 1352020 h 1352020"/>
                              <a:gd name="connsiteX4" fmla="*/ 0 w 1931458"/>
                              <a:gd name="connsiteY4" fmla="*/ 1352020 h 1352020"/>
                              <a:gd name="connsiteX5" fmla="*/ 676010 w 1931458"/>
                              <a:gd name="connsiteY5" fmla="*/ 676010 h 1352020"/>
                              <a:gd name="connsiteX6" fmla="*/ 0 w 1931458"/>
                              <a:gd name="connsiteY6" fmla="*/ 0 h 1352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31458" h="1352020">
                                <a:moveTo>
                                  <a:pt x="1931457" y="0"/>
                                </a:moveTo>
                                <a:lnTo>
                                  <a:pt x="1931457" y="878813"/>
                                </a:lnTo>
                                <a:lnTo>
                                  <a:pt x="965729" y="1352020"/>
                                </a:lnTo>
                                <a:lnTo>
                                  <a:pt x="1" y="878813"/>
                                </a:lnTo>
                                <a:lnTo>
                                  <a:pt x="1" y="0"/>
                                </a:lnTo>
                                <a:lnTo>
                                  <a:pt x="965729" y="473207"/>
                                </a:lnTo>
                                <a:lnTo>
                                  <a:pt x="1931457" y="0"/>
                                </a:lnTo>
                                <a:close/>
                              </a:path>
                            </a:pathLst>
                          </a:custGeom>
                          <a:gradFill>
                            <a:gsLst>
                              <a:gs pos="0">
                                <a:srgbClr val="FBFB11"/>
                              </a:gs>
                              <a:gs pos="100000">
                                <a:srgbClr val="838309"/>
                              </a:gs>
                            </a:gsLst>
                            <a:lin ang="5400000" scaled="false"/>
                          </a:gradFill>
                          <a:ln w="28575" cap="flat" cmpd="sng" algn="ctr">
                            <a:solidFill>
                              <a:srgbClr val="7F7F7F"/>
                            </a:solidFill>
                            <a:prstDash val="solid"/>
                            <a:miter lim="800000"/>
                          </a:ln>
                          <a:effectLst/>
                        </wps:spPr>
                        <wps:bodyPr spcFirstLastPara="0" vert="horz" wrap="square" lIns="4182" tIns="139083" rIns="4182" bIns="139083" numCol="1" spcCol="1270" anchor="ctr" anchorCtr="false">
                          <a:noAutofit/>
                        </wps:bodyPr>
                      </wps:wsp>
                      <wps:wsp>
                        <wps:cNvPr id="86" name="任意多边形: 形状 22" descr="KSO_WM_UNIT_INDEX=1_6&amp;KSO_WM_UNIT_TYPE=m_i&amp;KSO_WM_UNIT_ID=wpsdiag20164762_3*m_i*1_6&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wps:cNvSpPr/>
                        <wps:spPr>
                          <a:xfrm>
                            <a:off x="280046" y="809789"/>
                            <a:ext cx="1352273" cy="282077"/>
                          </a:xfrm>
                          <a:custGeom>
                            <a:avLst/>
                            <a:gdLst>
                              <a:gd name="connsiteX0" fmla="*/ 209245 w 1255447"/>
                              <a:gd name="connsiteY0" fmla="*/ 0 h 6775979"/>
                              <a:gd name="connsiteX1" fmla="*/ 1046202 w 1255447"/>
                              <a:gd name="connsiteY1" fmla="*/ 0 h 6775979"/>
                              <a:gd name="connsiteX2" fmla="*/ 1255447 w 1255447"/>
                              <a:gd name="connsiteY2" fmla="*/ 209245 h 6775979"/>
                              <a:gd name="connsiteX3" fmla="*/ 1255447 w 1255447"/>
                              <a:gd name="connsiteY3" fmla="*/ 6775979 h 6775979"/>
                              <a:gd name="connsiteX4" fmla="*/ 1255447 w 1255447"/>
                              <a:gd name="connsiteY4" fmla="*/ 6775979 h 6775979"/>
                              <a:gd name="connsiteX5" fmla="*/ 0 w 1255447"/>
                              <a:gd name="connsiteY5" fmla="*/ 6775979 h 6775979"/>
                              <a:gd name="connsiteX6" fmla="*/ 0 w 1255447"/>
                              <a:gd name="connsiteY6" fmla="*/ 6775979 h 6775979"/>
                              <a:gd name="connsiteX7" fmla="*/ 0 w 1255447"/>
                              <a:gd name="connsiteY7" fmla="*/ 209245 h 6775979"/>
                              <a:gd name="connsiteX8" fmla="*/ 209245 w 1255447"/>
                              <a:gd name="connsiteY8" fmla="*/ 0 h 677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55447" h="6775979">
                                <a:moveTo>
                                  <a:pt x="1255447" y="1129352"/>
                                </a:moveTo>
                                <a:lnTo>
                                  <a:pt x="1255447" y="5646627"/>
                                </a:lnTo>
                                <a:cubicBezTo>
                                  <a:pt x="1255447" y="6270350"/>
                                  <a:pt x="1238090" y="6775976"/>
                                  <a:pt x="1216678" y="6775976"/>
                                </a:cubicBezTo>
                                <a:lnTo>
                                  <a:pt x="0" y="6775976"/>
                                </a:lnTo>
                                <a:lnTo>
                                  <a:pt x="0" y="6775976"/>
                                </a:lnTo>
                                <a:lnTo>
                                  <a:pt x="0" y="3"/>
                                </a:lnTo>
                                <a:lnTo>
                                  <a:pt x="0" y="3"/>
                                </a:lnTo>
                                <a:lnTo>
                                  <a:pt x="1216678" y="3"/>
                                </a:lnTo>
                                <a:cubicBezTo>
                                  <a:pt x="1238090" y="3"/>
                                  <a:pt x="1255447" y="505629"/>
                                  <a:pt x="1255447" y="1129352"/>
                                </a:cubicBezTo>
                                <a:close/>
                              </a:path>
                            </a:pathLst>
                          </a:custGeom>
                          <a:noFill/>
                          <a:ln w="28575" cap="flat" cmpd="sng" algn="ctr">
                            <a:solidFill>
                              <a:srgbClr val="7F7F7F"/>
                            </a:solidFill>
                            <a:prstDash val="solid"/>
                            <a:miter lim="800000"/>
                          </a:ln>
                          <a:effectLst/>
                        </wps:spPr>
                        <wps:txbx>
                          <w:txbxContent>
                            <w:p>
                              <w:pPr>
                                <w:rPr>
                                  <w:rFonts w:ascii="黑体" w:hAnsi="黑体" w:eastAsia="黑体"/>
                                </w:rPr>
                              </w:pPr>
                            </w:p>
                          </w:txbxContent>
                        </wps:txbx>
                        <wps:bodyPr spcFirstLastPara="0" vert="horz" wrap="square" lIns="0" tIns="0" rIns="0" bIns="0" numCol="1" spcCol="1270" anchor="ctr" anchorCtr="false">
                          <a:noAutofit/>
                        </wps:bodyPr>
                      </wps:wsp>
                      <wps:wsp>
                        <wps:cNvPr id="87" name="文本框 13" descr="KSO_WM_UNIT_INDEX=1_1_1&amp;KSO_WM_UNIT_TYPE=m_h_f&amp;KSO_WM_UNIT_ID=wpsdiag20164762_3*m_h_f*1_1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2&amp;KSO_WM_SLIDE_ITEM_CNT=3&amp;KSO_WM_DIAGRAM_GROUP_CODE=m1_1&amp;KSO_WM_UNIT_TEXT_FILL_TYPE=1&amp;KSO_WM_UNIT_TEXT_FILL_FORE_SCHEMECOLOR_INDEX=13"/>
                        <wps:cNvSpPr txBox="true"/>
                        <wps:spPr>
                          <a:xfrm>
                            <a:off x="344181" y="150147"/>
                            <a:ext cx="1224004" cy="206221"/>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1.</w:t>
                              </w:r>
                              <w:r>
                                <w:rPr>
                                  <w:rFonts w:hint="default" w:ascii="Times New Roman" w:hAnsi="Times New Roman" w:cs="Times New Roman"/>
                                </w:rPr>
                                <w:t>坚持</w:t>
                              </w:r>
                              <w:r>
                                <w:rPr>
                                  <w:rFonts w:hint="default" w:ascii="Times New Roman" w:hAnsi="Times New Roman" w:cs="Times New Roman"/>
                                  <w:lang w:eastAsia="zh-CN"/>
                                </w:rPr>
                                <w:t>“换道</w:t>
                              </w:r>
                              <w:r>
                                <w:rPr>
                                  <w:rFonts w:hint="default" w:ascii="Times New Roman" w:hAnsi="Times New Roman" w:cs="Times New Roman"/>
                                </w:rPr>
                                <w:t>超车、转型升级、双创跨越</w:t>
                              </w:r>
                              <w:r>
                                <w:rPr>
                                  <w:rFonts w:hint="default" w:ascii="Times New Roman" w:hAnsi="Times New Roman" w:cs="Times New Roman"/>
                                  <w:lang w:eastAsia="zh-CN"/>
                                </w:rPr>
                                <w:t>”</w:t>
                              </w:r>
                              <w:r>
                                <w:rPr>
                                  <w:rFonts w:hint="default" w:ascii="Times New Roman" w:hAnsi="Times New Roman" w:cs="Times New Roman"/>
                                </w:rPr>
                                <w:t>的招商引资新导向</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2.</w:t>
                              </w:r>
                              <w:r>
                                <w:rPr>
                                  <w:rFonts w:hint="default" w:ascii="Times New Roman" w:hAnsi="Times New Roman" w:cs="Times New Roman"/>
                                </w:rPr>
                                <w:t>坚持</w:t>
                              </w:r>
                              <w:r>
                                <w:rPr>
                                  <w:rFonts w:hint="default" w:ascii="Times New Roman" w:hAnsi="Times New Roman" w:cs="Times New Roman"/>
                                  <w:lang w:eastAsia="zh-CN"/>
                                </w:rPr>
                                <w:t>“</w:t>
                              </w:r>
                              <w:r>
                                <w:rPr>
                                  <w:rFonts w:hint="default" w:ascii="Times New Roman" w:hAnsi="Times New Roman" w:cs="Times New Roman"/>
                                </w:rPr>
                                <w:t>易门速度、主动作为、科学统筹</w:t>
                              </w:r>
                              <w:r>
                                <w:rPr>
                                  <w:rFonts w:hint="default" w:ascii="Times New Roman" w:hAnsi="Times New Roman" w:cs="Times New Roman"/>
                                  <w:lang w:eastAsia="zh-CN"/>
                                </w:rPr>
                                <w:t>”</w:t>
                              </w:r>
                              <w:r>
                                <w:rPr>
                                  <w:rFonts w:hint="default" w:ascii="Times New Roman" w:hAnsi="Times New Roman" w:cs="Times New Roman"/>
                                </w:rPr>
                                <w:t>的招商引资新战略</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坚持</w:t>
                              </w:r>
                              <w:r>
                                <w:rPr>
                                  <w:rFonts w:hint="default" w:ascii="Times New Roman" w:hAnsi="Times New Roman" w:cs="Times New Roman"/>
                                  <w:lang w:eastAsia="zh-CN"/>
                                </w:rPr>
                                <w:t>“</w:t>
                              </w:r>
                              <w:r>
                                <w:rPr>
                                  <w:rFonts w:hint="default" w:ascii="Times New Roman" w:hAnsi="Times New Roman" w:cs="Times New Roman"/>
                                </w:rPr>
                                <w:t>集群招商、定向招商、精准招商</w:t>
                              </w:r>
                              <w:r>
                                <w:rPr>
                                  <w:rFonts w:hint="default" w:ascii="Times New Roman" w:hAnsi="Times New Roman" w:cs="Times New Roman"/>
                                  <w:lang w:eastAsia="zh-CN"/>
                                </w:rPr>
                                <w:t>”</w:t>
                              </w:r>
                              <w:r>
                                <w:rPr>
                                  <w:rFonts w:hint="default" w:ascii="Times New Roman" w:hAnsi="Times New Roman" w:cs="Times New Roman"/>
                                </w:rPr>
                                <w:t>的招商引资新战术。</w:t>
                              </w:r>
                            </w:p>
                            <w:p/>
                            <w:p/>
                          </w:txbxContent>
                        </wps:txbx>
                        <wps:bodyPr wrap="square" rtlCol="0">
                          <a:noAutofit/>
                        </wps:bodyPr>
                      </wps:wsp>
                      <wps:wsp>
                        <wps:cNvPr id="88" name="文本框 14" descr="KSO_WM_UNIT_INDEX=1_1_1&amp;KSO_WM_UNIT_TYPE=m_h_a&amp;KSO_WM_UNIT_ID=wpsdiag20164762_3*m_h_a*1_1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1&amp;KSO_WM_SLIDE_ITEM_CNT=3&amp;KSO_WM_DIAGRAM_GROUP_CODE=m1_1&amp;KSO_WM_UNIT_TEXT_FILL_TYPE=1&amp;KSO_WM_UNIT_TEXT_FILL_FORE_SCHEMECOLOR_INDEX=13"/>
                        <wps:cNvSpPr txBox="true"/>
                        <wps:spPr>
                          <a:xfrm>
                            <a:off x="0" y="252686"/>
                            <a:ext cx="280235" cy="209652"/>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坚持三新工作思路</w:t>
                              </w:r>
                            </w:p>
                            <w:p/>
                          </w:txbxContent>
                        </wps:txbx>
                        <wps:bodyPr wrap="square" rtlCol="0" anchor="ctr" anchorCtr="false">
                          <a:noAutofit/>
                        </wps:bodyPr>
                      </wps:wsp>
                      <wps:wsp>
                        <wps:cNvPr id="89" name="文本框 15" descr="KSO_WM_UNIT_INDEX=1_2_1&amp;KSO_WM_UNIT_TYPE=m_h_a&amp;KSO_WM_UNIT_ID=wpsdiag20164762_3*m_h_a*1_2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3&amp;KSO_WM_SLIDE_ITEM_CNT=3&amp;KSO_WM_DIAGRAM_GROUP_CODE=m1_1&amp;KSO_WM_UNIT_TEXT_FILL_TYPE=1&amp;KSO_WM_UNIT_TEXT_FILL_FORE_SCHEMECOLOR_INDEX=13"/>
                        <wps:cNvSpPr txBox="true"/>
                        <wps:spPr>
                          <a:xfrm>
                            <a:off x="0" y="609285"/>
                            <a:ext cx="280046" cy="193261"/>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黑体" w:hAnsi="黑体" w:eastAsia="黑体" w:cs="黑体"/>
                                  <w:b/>
                                  <w:bCs/>
                                  <w:sz w:val="28"/>
                                  <w:szCs w:val="28"/>
                                </w:rPr>
                              </w:pPr>
                              <w:r>
                                <w:rPr>
                                  <w:rFonts w:hint="eastAsia" w:ascii="黑体" w:hAnsi="黑体" w:eastAsia="黑体" w:cs="黑体"/>
                                  <w:b/>
                                  <w:bCs/>
                                  <w:sz w:val="28"/>
                                  <w:szCs w:val="28"/>
                                </w:rPr>
                                <w:t>推进</w:t>
                              </w:r>
                              <w:r>
                                <w:rPr>
                                  <w:rFonts w:hint="eastAsia" w:ascii="黑体" w:hAnsi="黑体" w:eastAsia="黑体" w:cs="黑体"/>
                                  <w:b/>
                                  <w:bCs/>
                                  <w:sz w:val="28"/>
                                  <w:szCs w:val="28"/>
                                  <w:lang w:eastAsia="zh-CN"/>
                                </w:rPr>
                                <w:t>四类</w:t>
                              </w:r>
                              <w:r>
                                <w:rPr>
                                  <w:rFonts w:hint="eastAsia" w:ascii="黑体" w:hAnsi="黑体" w:eastAsia="黑体" w:cs="黑体"/>
                                  <w:b/>
                                  <w:bCs/>
                                  <w:sz w:val="28"/>
                                  <w:szCs w:val="28"/>
                                </w:rPr>
                                <w:t>产业招商</w:t>
                              </w:r>
                            </w:p>
                            <w:p/>
                          </w:txbxContent>
                        </wps:txbx>
                        <wps:bodyPr wrap="square" rtlCol="0" anchor="ctr" anchorCtr="false">
                          <a:noAutofit/>
                        </wps:bodyPr>
                      </wps:wsp>
                      <wps:wsp>
                        <wps:cNvPr id="90" name="文本框 16" descr="KSO_WM_UNIT_INDEX=1_3_1&amp;KSO_WM_UNIT_TYPE=m_h_a&amp;KSO_WM_UNIT_ID=wpsdiag20164762_3*m_h_a*1_3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5&amp;KSO_WM_SLIDE_ITEM_CNT=3&amp;KSO_WM_DIAGRAM_GROUP_CODE=m1_1&amp;KSO_WM_UNIT_TEXT_FILL_TYPE=1&amp;KSO_WM_UNIT_TEXT_FILL_FORE_SCHEMECOLOR_INDEX=13"/>
                        <wps:cNvSpPr txBox="true"/>
                        <wps:spPr>
                          <a:xfrm>
                            <a:off x="0" y="964359"/>
                            <a:ext cx="280046" cy="136083"/>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b/>
                                  <w:bCs/>
                                  <w:sz w:val="28"/>
                                  <w:szCs w:val="28"/>
                                  <w:lang w:val="en-US" w:eastAsia="zh-CN"/>
                                </w:rPr>
                                <w:t>突出五大重点载体</w:t>
                              </w:r>
                            </w:p>
                            <w:p/>
                          </w:txbxContent>
                        </wps:txbx>
                        <wps:bodyPr wrap="square" rtlCol="0" anchor="ctr" anchorCtr="false">
                          <a:noAutofit/>
                        </wps:bodyPr>
                      </wps:wsp>
                      <wps:wsp>
                        <wps:cNvPr id="91" name="文本框 17" descr="KSO_WM_UNIT_INDEX=1_2_1&amp;KSO_WM_UNIT_TYPE=m_h_f&amp;KSO_WM_UNIT_ID=wpsdiag20164762_3*m_h_f*1_2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4&amp;KSO_WM_SLIDE_ITEM_CNT=3&amp;KSO_WM_DIAGRAM_GROUP_CODE=m1_1&amp;KSO_WM_UNIT_TEXT_FILL_TYPE=1&amp;KSO_WM_UNIT_TEXT_FILL_FORE_SCHEMECOLOR_INDEX=13"/>
                        <wps:cNvSpPr txBox="true"/>
                        <wps:spPr>
                          <a:xfrm>
                            <a:off x="344181" y="483875"/>
                            <a:ext cx="1224004" cy="223184"/>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cs="Times New Roman"/>
                                  <w:lang w:eastAsia="zh-CN"/>
                                </w:rPr>
                              </w:pPr>
                              <w:r>
                                <w:rPr>
                                  <w:rFonts w:hint="default" w:ascii="Times New Roman" w:hAnsi="Times New Roman" w:cs="Times New Roman"/>
                                  <w:lang w:val="en-US" w:eastAsia="zh-CN"/>
                                </w:rPr>
                                <w:t>1.</w:t>
                              </w:r>
                              <w:r>
                                <w:rPr>
                                  <w:rFonts w:hint="default" w:ascii="Times New Roman" w:hAnsi="Times New Roman" w:cs="Times New Roman"/>
                                </w:rPr>
                                <w:t>瞄准高新突破，着力推进传统产业转型招商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2.</w:t>
                              </w:r>
                              <w:r>
                                <w:rPr>
                                  <w:rFonts w:hint="default" w:ascii="Times New Roman" w:hAnsi="Times New Roman" w:cs="Times New Roman"/>
                                </w:rPr>
                                <w:t>立足产业优势，重点推进高原特色农业招商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发挥后发优势，积极推进国内外产业转移招商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坚持创新发展，加快推进战略性新兴产业招商。</w:t>
                              </w:r>
                            </w:p>
                            <w:p/>
                          </w:txbxContent>
                        </wps:txbx>
                        <wps:bodyPr wrap="square" rtlCol="0">
                          <a:noAutofit/>
                        </wps:bodyPr>
                      </wps:wsp>
                      <wps:wsp>
                        <wps:cNvPr id="92" name="文本框 18" descr="KSO_WM_UNIT_INDEX=1_3_1&amp;KSO_WM_UNIT_TYPE=m_h_f&amp;KSO_WM_UNIT_ID=wpsdiag20164762_3*m_h_f*1_3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6&amp;KSO_WM_SLIDE_ITEM_CNT=3&amp;KSO_WM_DIAGRAM_GROUP_CODE=m1_1&amp;KSO_WM_UNIT_TEXT_FILL_TYPE=1&amp;KSO_WM_UNIT_TEXT_FILL_FORE_SCHEMECOLOR_INDEX=13"/>
                        <wps:cNvSpPr txBox="true"/>
                        <wps:spPr>
                          <a:xfrm>
                            <a:off x="337974" y="823321"/>
                            <a:ext cx="1224004" cy="253298"/>
                          </a:xfrm>
                          <a:prstGeom prst="rect">
                            <a:avLst/>
                          </a:prstGeom>
                          <a:noFill/>
                        </wps:spPr>
                        <wps:txb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1.以重点产业链作为招商的基础载体；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2.以易门产业园区作为招商的核心载体；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3.以政府服务平台作为招商的关键载体；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4.以中介服务结构作为招商的重要载体；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5.以昆玉同城化发展作为招商的中心载体。</w:t>
                              </w:r>
                            </w:p>
                            <w:p/>
                          </w:txbxContent>
                        </wps:txbx>
                        <wps:bodyPr wrap="square" rtlCol="0">
                          <a:noAutofit/>
                        </wps:bodyPr>
                      </wps:wsp>
                    </wpg:wgp>
                  </a:graphicData>
                </a:graphic>
              </wp:anchor>
            </w:drawing>
          </mc:Choice>
          <mc:Fallback>
            <w:pict>
              <v:group id="组合 1" o:spid="_x0000_s1026" o:spt="203" alt="KSO_WM_TAG_VERSION=1.0&amp;KSO_WM_BEAUTIFY_FLAG=#wm#&amp;KSO_WM_UNIT_TYPE=i&amp;KSO_WM_UNIT_ID=wpsdiag20164762_3*i*1&amp;KSO_WM_TEMPLATE_CATEGORY=wpsdiag&amp;KSO_WM_TEMPLATE_INDEX=20164762" style="position:absolute;left:0pt;margin-left:12.45pt;margin-top:7.75pt;height:283.35pt;width:433.95pt;mso-wrap-distance-left:9pt;mso-wrap-distance-right:9pt;z-index:-251656192;mso-width-relative:page;mso-height-relative:page;" coordorigin="0,115078" coordsize="1632319,1080089" wrapcoords="-55 -198 -55 19126 1588 21642 2110 21642 3156 19927 21598 19698 21598 13638 3454 12609 21598 12151 21598 6777 18910 6434 3678 5290 21598 5176 21598 -198 -55 -198" o:gfxdata="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">
                <o:lock v:ext="edit" aspectratio="f"/>
                <v:shape id="任意多边形: 形状 17" o:spid="_x0000_s1026" o:spt="100" alt="KSO_WM_UNIT_INDEX=1_1&amp;KSO_WM_UNIT_TYPE=m_i&amp;KSO_WM_UNIT_ID=wpsdiag20164762_3*m_i*1_1&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0;top:115078;height:385432;width:280140;v-text-anchor:middle;" fillcolor="#FBFB11" filled="t" stroked="t" coordsize="1931458,1352020" o:gfxdata="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Ld2qvAAAANsAAAAPAAAAAAAAAAEAIAAAADgAAABkcnMvZG93bnJldi54&#10;bWxQSwECFAAUAAAACACHTuJAMy8FnjsAAAA5AAAAEAAAAAAAAAABACAAAAAhAQAAZHJzL3NoYXBl&#10;eG1sLnhtbFBLBQYAAAAABgAGAFsBAADLAwAAAAA=&#10;" path="m1931457,0l1931457,878813,965729,1352020,1,878813,1,0,965729,473207,1931457,0xe">
                  <v:path o:connectlocs="0,0;182091,0;280140,192716;182091,385432;0,385432;98048,192716;0,0" o:connectangles="0,0,0,0,0,0,0"/>
                  <v:fill type="gradient" on="t" color2="#838309" focus="100%" focussize="0,0" rotate="t">
                    <o:fill type="gradientUnscaled" v:ext="backwardCompatible"/>
                  </v:fill>
                  <v:stroke weight="2.25pt" color="#9BBB59 [3206]" miterlimit="8" joinstyle="miter"/>
                  <v:imagedata o:title=""/>
                  <o:lock v:ext="edit" aspectratio="f"/>
                  <v:textbox inset="0.329291338582677pt,10.9514173228346pt,0.329291338582677pt,10.9514173228346pt"/>
                </v:shape>
                <v:shape id="任意多边形: 形状 18" o:spid="_x0000_s1026" o:spt="100" alt="KSO_WM_UNIT_INDEX=1_2&amp;KSO_WM_UNIT_TYPE=m_i&amp;KSO_WM_UNIT_ID=wpsdiag20164762_3*m_i*1_2&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style="position:absolute;left:280140;top:115079;height:250530;width:1352179;v-text-anchor:middle;" filled="f" stroked="t" coordsize="1255447,6775979" o:gfxdata="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EWr0AAADbAAAADwAAAAAAAAABACAAAAA4AAAAZHJzL2Rvd25yZXYu&#10;eG1sUEsBAhQAFAAAAAgAh07iQDMvBZ47AAAAOQAAABAAAAAAAAAAAQAgAAAAIgEAAGRycy9zaGFw&#10;ZXhtbC54bWxQSwUGAAAAAAYABgBbAQAAzAMAAAAA&#10;" path="m1255447,1129352l1255447,5646627c1255447,6270350,1238090,6775976,1216678,6775976l0,6775976,0,6775976,0,3,0,3,1216678,3c1238090,3,1255447,505629,1255447,1129352xe">
                  <v:path textboxrect="0,0,1255447,6775979" o:connectlocs="225367,0;1126811,0;1352179,7736;1352179,250530;1352179,250530;0,250530;0,250530;0,7736;225367,0" o:connectangles="0,0,0,0,0,0,0,0,0"/>
                  <v:fill on="f" focussize="0,0"/>
                  <v:stroke weight="2.25pt" color="#7F7F7F" miterlimit="8" joinstyle="miter"/>
                  <v:imagedata o:title=""/>
                  <o:lock v:ext="edit" aspectratio="f"/>
                  <v:textbox inset="0mm,0mm,0mm,0mm">
                    <w:txbxContent>
                      <w:p>
                        <w:pPr>
                          <w:rPr>
                            <w:rFonts w:ascii="黑体" w:hAnsi="黑体" w:eastAsia="黑体"/>
                          </w:rPr>
                        </w:pPr>
                      </w:p>
                    </w:txbxContent>
                  </v:textbox>
                </v:shape>
                <v:shape id="任意多边形: 形状 19" o:spid="_x0000_s1026" o:spt="100" alt="KSO_WM_UNIT_INDEX=1_3&amp;KSO_WM_UNIT_TYPE=m_i&amp;KSO_WM_UNIT_ID=wpsdiag20164762_3*m_i*1_3&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0;top:462408;height:385431;width:280140;v-text-anchor:middle;" fillcolor="#FBFB11" filled="t" stroked="t" coordsize="1931458,1352020" o:gfxdata="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a3JdAvwAAANsAAAAPAAAAAAAAAAEAIAAAADgAAABkcnMvZG93bnJl&#10;di54bWxQSwECFAAUAAAACACHTuJAMy8FnjsAAAA5AAAAEAAAAAAAAAABACAAAAAkAQAAZHJzL3No&#10;YXBleG1sLnhtbFBLBQYAAAAABgAGAFsBAADOAwAAAAA=&#10;" path="m1931457,0l1931457,878813,965729,1352020,1,878813,1,0,965729,473207,1931457,0xe">
                  <v:path o:connectlocs="0,0;182091,0;280140,192715;182091,385431;0,385431;98048,192715;0,0" o:connectangles="0,0,0,0,0,0,0"/>
                  <v:fill type="gradient" on="t" color2="#838309" focus="100%" focussize="0,0" rotate="t">
                    <o:fill type="gradientUnscaled" v:ext="backwardCompatible"/>
                  </v:fill>
                  <v:stroke weight="2.25pt" color="#7F7F7F" miterlimit="8" joinstyle="miter"/>
                  <v:imagedata o:title=""/>
                  <o:lock v:ext="edit" aspectratio="f"/>
                  <v:textbox inset="0.329291338582677pt,10.9514173228346pt,0.329291338582677pt,10.9514173228346pt"/>
                </v:shape>
                <v:shape id="任意多边形: 形状 20" o:spid="_x0000_s1026" o:spt="100" alt="KSO_WM_UNIT_INDEX=1_4&amp;KSO_WM_UNIT_TYPE=m_i&amp;KSO_WM_UNIT_ID=wpsdiag20164762_3*m_i*1_4&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style="position:absolute;left:280140;top:462407;height:250530;width:1352179;v-text-anchor:middle;" filled="f" stroked="t" coordsize="1255447,6775979" o:gfxdata="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9MubW+AAAA2wAAAA8AAAAAAAAAAQAgAAAAOAAAAGRycy9kb3ducmV2&#10;LnhtbFBLAQIUABQAAAAIAIdO4kAzLwWeOwAAADkAAAAQAAAAAAAAAAEAIAAAACMBAABkcnMvc2hh&#10;cGV4bWwueG1sUEsFBgAAAAAGAAYAWwEAAM0DAAAAAA==&#10;" path="m1255447,1129352l1255447,5646627c1255447,6270350,1238090,6775976,1216678,6775976l0,6775976,0,6775976,0,3,0,3,1216678,3c1238090,3,1255447,505629,1255447,1129352xe">
                  <v:path textboxrect="0,0,1255447,6775979" o:connectlocs="225367,0;1126811,0;1352179,7736;1352179,250530;1352179,250530;0,250530;0,250530;0,7736;225367,0" o:connectangles="0,0,0,0,0,0,0,0,0"/>
                  <v:fill on="f" focussize="0,0"/>
                  <v:stroke weight="2.25pt" color="#7F7F7F" miterlimit="8" joinstyle="miter"/>
                  <v:imagedata o:title=""/>
                  <o:lock v:ext="edit" aspectratio="f"/>
                  <v:textbox inset="0mm,0mm,0mm,0mm">
                    <w:txbxContent>
                      <w:p>
                        <w:pPr>
                          <w:rPr>
                            <w:rFonts w:ascii="黑体" w:hAnsi="黑体" w:eastAsia="黑体"/>
                          </w:rPr>
                        </w:pPr>
                      </w:p>
                    </w:txbxContent>
                  </v:textbox>
                </v:shape>
                <v:shape id="任意多边形: 形状 21" o:spid="_x0000_s1026" o:spt="100" alt="KSO_WM_UNIT_INDEX=1_5&amp;KSO_WM_UNIT_TYPE=m_i&amp;KSO_WM_UNIT_ID=wpsdiag20164762_3*m_i*1_5&amp;KSO_WM_UNIT_LAYERLEVEL=1_1&amp;KSO_WM_UNIT_CLEAR=1&amp;KSO_WM_TAG_VERSION=1.0&amp;KSO_WM_BEAUTIFY_FLAG=#wm#&amp;KSO_WM_TEMPLATE_CATEGORY=wpsdiag&amp;KSO_WM_TEMPLATE_INDEX=20164762&amp;KSO_WM_SLIDE_ITEM_CNT=3&amp;KSO_WM_DIAGRAM_GROUP_CODE=m1_1&amp;KSO_WM_UNIT_FILL_TYPE=1&amp;KSO_WM_UNIT_FILL_FORE_SCHEMECOLOR_INDEX=5&amp;KSO_WM_UNIT_FILL_BACK_SCHEMECOLOR_INDEX=0&amp;KSO_WM_UNIT_LINE_FILL_TYPE=1&amp;KSO_WM_UNIT_LINE_FORE_SCHEMECOLOR_INDEX=6&amp;KSO_WM_UNIT_LINE_BACK_SCHEMECOLOR_INDEX=0" style="position:absolute;left:0;top:809736;height:385431;width:280140;v-text-anchor:middle;" fillcolor="#FBFB11" filled="t" stroked="t" coordsize="1931458,1352020" o:gfxdata="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6eaqvvwAAANsAAAAPAAAAAAAAAAEAIAAAADgAAABkcnMvZG93bnJl&#10;di54bWxQSwECFAAUAAAACACHTuJAMy8FnjsAAAA5AAAAEAAAAAAAAAABACAAAAAkAQAAZHJzL3No&#10;YXBleG1sLnhtbFBLBQYAAAAABgAGAFsBAADOAwAAAAA=&#10;" path="m1931457,0l1931457,878813,965729,1352020,1,878813,1,0,965729,473207,1931457,0xe">
                  <v:path o:connectlocs="0,0;182091,0;280140,192715;182091,385431;0,385431;98048,192715;0,0" o:connectangles="0,0,0,0,0,0,0"/>
                  <v:fill type="gradient" on="t" color2="#838309" focus="100%" focussize="0,0" rotate="t">
                    <o:fill type="gradientUnscaled" v:ext="backwardCompatible"/>
                  </v:fill>
                  <v:stroke weight="2.25pt" color="#7F7F7F" miterlimit="8" joinstyle="miter"/>
                  <v:imagedata o:title=""/>
                  <o:lock v:ext="edit" aspectratio="f"/>
                  <v:textbox inset="0.329291338582677pt,10.9514173228346pt,0.329291338582677pt,10.9514173228346pt"/>
                </v:shape>
                <v:shape id="任意多边形: 形状 22" o:spid="_x0000_s1026" o:spt="100" alt="KSO_WM_UNIT_INDEX=1_6&amp;KSO_WM_UNIT_TYPE=m_i&amp;KSO_WM_UNIT_ID=wpsdiag20164762_3*m_i*1_6&amp;KSO_WM_UNIT_LAYERLEVEL=1_1&amp;KSO_WM_UNIT_CLEAR=1&amp;KSO_WM_TAG_VERSION=1.0&amp;KSO_WM_BEAUTIFY_FLAG=#wm#&amp;KSO_WM_TEMPLATE_CATEGORY=wpsdiag&amp;KSO_WM_TEMPLATE_INDEX=20164762&amp;KSO_WM_SLIDE_ITEM_CNT=3&amp;KSO_WM_DIAGRAM_GROUP_CODE=m1_1&amp;KSO_WM_UNIT_LINE_FILL_TYPE=1&amp;KSO_WM_UNIT_LINE_FORE_SCHEMECOLOR_INDEX=6&amp;KSO_WM_UNIT_LINE_BACK_SCHEMECOLOR_INDEX=0" style="position:absolute;left:280046;top:809789;height:282077;width:1352273;v-text-anchor:middle;" filled="f" stroked="t" coordsize="1255447,6775979" o:gfxdata="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NKCWb0AAADbAAAADwAAAAAAAAABACAAAAA4AAAAZHJzL2Rvd25yZXYu&#10;eG1sUEsBAhQAFAAAAAgAh07iQDMvBZ47AAAAOQAAABAAAAAAAAAAAQAgAAAAIgEAAGRycy9zaGFw&#10;ZXhtbC54bWxQSwUGAAAAAAYABgBbAQAAzAMAAAAA&#10;" path="m1255447,1129352l1255447,5646627c1255447,6270350,1238090,6775976,1216678,6775976l0,6775976,0,6775976,0,3,0,3,1216678,3c1238090,3,1255447,505629,1255447,1129352xe">
                  <v:path textboxrect="0,0,1255447,6775979" o:connectlocs="225382,0;1126890,0;1352273,8710;1352273,282077;1352273,282077;0,282077;0,282077;0,8710;225382,0" o:connectangles="0,0,0,0,0,0,0,0,0"/>
                  <v:fill on="f" focussize="0,0"/>
                  <v:stroke weight="2.25pt" color="#7F7F7F" miterlimit="8" joinstyle="miter"/>
                  <v:imagedata o:title=""/>
                  <o:lock v:ext="edit" aspectratio="f"/>
                  <v:textbox inset="0mm,0mm,0mm,0mm">
                    <w:txbxContent>
                      <w:p>
                        <w:pPr>
                          <w:rPr>
                            <w:rFonts w:ascii="黑体" w:hAnsi="黑体" w:eastAsia="黑体"/>
                          </w:rPr>
                        </w:pPr>
                      </w:p>
                    </w:txbxContent>
                  </v:textbox>
                </v:shape>
                <v:shape id="文本框 13" o:spid="_x0000_s1026" o:spt="202" alt="KSO_WM_UNIT_INDEX=1_1_1&amp;KSO_WM_UNIT_TYPE=m_h_f&amp;KSO_WM_UNIT_ID=wpsdiag20164762_3*m_h_f*1_1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2&amp;KSO_WM_SLIDE_ITEM_CNT=3&amp;KSO_WM_DIAGRAM_GROUP_CODE=m1_1&amp;KSO_WM_UNIT_TEXT_FILL_TYPE=1&amp;KSO_WM_UNIT_TEXT_FILL_FORE_SCHEMECOLOR_INDEX=13" type="#_x0000_t202" style="position:absolute;left:344181;top:150147;height:206221;width:1224004;" filled="f" stroked="f" coordsize="21600,21600" o:gfxdata="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kUIsF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1.</w:t>
                        </w:r>
                        <w:r>
                          <w:rPr>
                            <w:rFonts w:hint="default" w:ascii="Times New Roman" w:hAnsi="Times New Roman" w:cs="Times New Roman"/>
                          </w:rPr>
                          <w:t>坚持</w:t>
                        </w:r>
                        <w:r>
                          <w:rPr>
                            <w:rFonts w:hint="default" w:ascii="Times New Roman" w:hAnsi="Times New Roman" w:cs="Times New Roman"/>
                            <w:lang w:eastAsia="zh-CN"/>
                          </w:rPr>
                          <w:t>“换道</w:t>
                        </w:r>
                        <w:r>
                          <w:rPr>
                            <w:rFonts w:hint="default" w:ascii="Times New Roman" w:hAnsi="Times New Roman" w:cs="Times New Roman"/>
                          </w:rPr>
                          <w:t>超车、转型升级、双创跨越</w:t>
                        </w:r>
                        <w:r>
                          <w:rPr>
                            <w:rFonts w:hint="default" w:ascii="Times New Roman" w:hAnsi="Times New Roman" w:cs="Times New Roman"/>
                            <w:lang w:eastAsia="zh-CN"/>
                          </w:rPr>
                          <w:t>”</w:t>
                        </w:r>
                        <w:r>
                          <w:rPr>
                            <w:rFonts w:hint="default" w:ascii="Times New Roman" w:hAnsi="Times New Roman" w:cs="Times New Roman"/>
                          </w:rPr>
                          <w:t>的招商引资新导向</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2.</w:t>
                        </w:r>
                        <w:r>
                          <w:rPr>
                            <w:rFonts w:hint="default" w:ascii="Times New Roman" w:hAnsi="Times New Roman" w:cs="Times New Roman"/>
                          </w:rPr>
                          <w:t>坚持</w:t>
                        </w:r>
                        <w:r>
                          <w:rPr>
                            <w:rFonts w:hint="default" w:ascii="Times New Roman" w:hAnsi="Times New Roman" w:cs="Times New Roman"/>
                            <w:lang w:eastAsia="zh-CN"/>
                          </w:rPr>
                          <w:t>“</w:t>
                        </w:r>
                        <w:r>
                          <w:rPr>
                            <w:rFonts w:hint="default" w:ascii="Times New Roman" w:hAnsi="Times New Roman" w:cs="Times New Roman"/>
                          </w:rPr>
                          <w:t>易门速度、主动作为、科学统筹</w:t>
                        </w:r>
                        <w:r>
                          <w:rPr>
                            <w:rFonts w:hint="default" w:ascii="Times New Roman" w:hAnsi="Times New Roman" w:cs="Times New Roman"/>
                            <w:lang w:eastAsia="zh-CN"/>
                          </w:rPr>
                          <w:t>”</w:t>
                        </w:r>
                        <w:r>
                          <w:rPr>
                            <w:rFonts w:hint="default" w:ascii="Times New Roman" w:hAnsi="Times New Roman" w:cs="Times New Roman"/>
                          </w:rPr>
                          <w:t>的招商引资新战略</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textAlignment w:val="auto"/>
                          <w:rPr>
                            <w:rFonts w:hint="default" w:ascii="Times New Roman" w:hAnsi="Times New Roman"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坚持</w:t>
                        </w:r>
                        <w:r>
                          <w:rPr>
                            <w:rFonts w:hint="default" w:ascii="Times New Roman" w:hAnsi="Times New Roman" w:cs="Times New Roman"/>
                            <w:lang w:eastAsia="zh-CN"/>
                          </w:rPr>
                          <w:t>“</w:t>
                        </w:r>
                        <w:r>
                          <w:rPr>
                            <w:rFonts w:hint="default" w:ascii="Times New Roman" w:hAnsi="Times New Roman" w:cs="Times New Roman"/>
                          </w:rPr>
                          <w:t>集群招商、定向招商、精准招商</w:t>
                        </w:r>
                        <w:r>
                          <w:rPr>
                            <w:rFonts w:hint="default" w:ascii="Times New Roman" w:hAnsi="Times New Roman" w:cs="Times New Roman"/>
                            <w:lang w:eastAsia="zh-CN"/>
                          </w:rPr>
                          <w:t>”</w:t>
                        </w:r>
                        <w:r>
                          <w:rPr>
                            <w:rFonts w:hint="default" w:ascii="Times New Roman" w:hAnsi="Times New Roman" w:cs="Times New Roman"/>
                          </w:rPr>
                          <w:t>的招商引资新战术。</w:t>
                        </w:r>
                      </w:p>
                      <w:p/>
                      <w:p/>
                    </w:txbxContent>
                  </v:textbox>
                </v:shape>
                <v:shape id="文本框 14" o:spid="_x0000_s1026" o:spt="202" alt="KSO_WM_UNIT_INDEX=1_1_1&amp;KSO_WM_UNIT_TYPE=m_h_a&amp;KSO_WM_UNIT_ID=wpsdiag20164762_3*m_h_a*1_1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1&amp;KSO_WM_SLIDE_ITEM_CNT=3&amp;KSO_WM_DIAGRAM_GROUP_CODE=m1_1&amp;KSO_WM_UNIT_TEXT_FILL_TYPE=1&amp;KSO_WM_UNIT_TEXT_FILL_FORE_SCHEMECOLOR_INDEX=13" type="#_x0000_t202" style="position:absolute;left:0;top:252686;height:209652;width:280235;v-text-anchor:middle;" filled="f" stroked="f" coordsize="21600,21600" o:gfxdata="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he2eqtgAAANsAAAAPAAAAAAAAAAEAIAAAADgAAABkcnMvZG93bnJldi54bWxQSwEC&#10;FAAUAAAACACHTuJAMy8FnjsAAAA5AAAAEAAAAAAAAAABACAAAAAbAQAAZHJzL3NoYXBleG1sLnht&#10;bFBLBQYAAAAABgAGAFsBAADFAw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坚持三新工作思路</w:t>
                        </w:r>
                      </w:p>
                      <w:p/>
                    </w:txbxContent>
                  </v:textbox>
                </v:shape>
                <v:shape id="文本框 15" o:spid="_x0000_s1026" o:spt="202" alt="KSO_WM_UNIT_INDEX=1_2_1&amp;KSO_WM_UNIT_TYPE=m_h_a&amp;KSO_WM_UNIT_ID=wpsdiag20164762_3*m_h_a*1_2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3&amp;KSO_WM_SLIDE_ITEM_CNT=3&amp;KSO_WM_DIAGRAM_GROUP_CODE=m1_1&amp;KSO_WM_UNIT_TEXT_FILL_TYPE=1&amp;KSO_WM_UNIT_TEXT_FILL_FORE_SCHEMECOLOR_INDEX=13" type="#_x0000_t202" style="position:absolute;left:0;top:609285;height:193261;width:280046;v-text-anchor:middle;" filled="f" stroked="f" coordsize="21600,21600" o:gfxdata="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43wjG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黑体" w:hAnsi="黑体" w:eastAsia="黑体" w:cs="黑体"/>
                            <w:b/>
                            <w:bCs/>
                            <w:sz w:val="28"/>
                            <w:szCs w:val="28"/>
                          </w:rPr>
                        </w:pPr>
                        <w:r>
                          <w:rPr>
                            <w:rFonts w:hint="eastAsia" w:ascii="黑体" w:hAnsi="黑体" w:eastAsia="黑体" w:cs="黑体"/>
                            <w:b/>
                            <w:bCs/>
                            <w:sz w:val="28"/>
                            <w:szCs w:val="28"/>
                          </w:rPr>
                          <w:t>推进</w:t>
                        </w:r>
                        <w:r>
                          <w:rPr>
                            <w:rFonts w:hint="eastAsia" w:ascii="黑体" w:hAnsi="黑体" w:eastAsia="黑体" w:cs="黑体"/>
                            <w:b/>
                            <w:bCs/>
                            <w:sz w:val="28"/>
                            <w:szCs w:val="28"/>
                            <w:lang w:eastAsia="zh-CN"/>
                          </w:rPr>
                          <w:t>四类</w:t>
                        </w:r>
                        <w:r>
                          <w:rPr>
                            <w:rFonts w:hint="eastAsia" w:ascii="黑体" w:hAnsi="黑体" w:eastAsia="黑体" w:cs="黑体"/>
                            <w:b/>
                            <w:bCs/>
                            <w:sz w:val="28"/>
                            <w:szCs w:val="28"/>
                          </w:rPr>
                          <w:t>产业招商</w:t>
                        </w:r>
                      </w:p>
                      <w:p/>
                    </w:txbxContent>
                  </v:textbox>
                </v:shape>
                <v:shape id="文本框 16" o:spid="_x0000_s1026" o:spt="202" alt="KSO_WM_UNIT_INDEX=1_3_1&amp;KSO_WM_UNIT_TYPE=m_h_a&amp;KSO_WM_UNIT_ID=wpsdiag20164762_3*m_h_a*1_3_1&amp;KSO_WM_UNIT_LAYERLEVEL=1_1_1&amp;KSO_WM_UNIT_HIGHLIGHT=0&amp;KSO_WM_UNIT_CLEAR=0&amp;KSO_WM_UNIT_COMPATIBLE=0&amp;KSO_WM_UNIT_PRESET_TEXT=输入标题&amp;KSO_WM_UNIT_VALUE=4&amp;KSO_WM_TAG_VERSION=1.0&amp;KSO_WM_BEAUTIFY_FLAG=#wm#&amp;KSO_WM_TEMPLATE_CATEGORY=wpsdiag&amp;KSO_WM_TEMPLATE_INDEX=20164762&amp;KSO_WM_UNIT_BIND_DECORATION_IDS=wpsdiag20164762_3*m_i*1_5&amp;KSO_WM_SLIDE_ITEM_CNT=3&amp;KSO_WM_DIAGRAM_GROUP_CODE=m1_1&amp;KSO_WM_UNIT_TEXT_FILL_TYPE=1&amp;KSO_WM_UNIT_TEXT_FILL_FORE_SCHEMECOLOR_INDEX=13" type="#_x0000_t202" style="position:absolute;left:0;top:964359;height:136083;width:280046;v-text-anchor:middle;" filled="f" stroked="f" coordsize="21600,21600" o:gfxdata="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&#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a1P1x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b/>
                            <w:bCs/>
                            <w:sz w:val="28"/>
                            <w:szCs w:val="28"/>
                            <w:lang w:val="en-US" w:eastAsia="zh-CN"/>
                          </w:rPr>
                          <w:t>突出五大重点载体</w:t>
                        </w:r>
                      </w:p>
                      <w:p/>
                    </w:txbxContent>
                  </v:textbox>
                </v:shape>
                <v:shape id="文本框 17" o:spid="_x0000_s1026" o:spt="202" alt="KSO_WM_UNIT_INDEX=1_2_1&amp;KSO_WM_UNIT_TYPE=m_h_f&amp;KSO_WM_UNIT_ID=wpsdiag20164762_3*m_h_f*1_2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4&amp;KSO_WM_SLIDE_ITEM_CNT=3&amp;KSO_WM_DIAGRAM_GROUP_CODE=m1_1&amp;KSO_WM_UNIT_TEXT_FILL_TYPE=1&amp;KSO_WM_UNIT_TEXT_FILL_FORE_SCHEMECOLOR_INDEX=13" type="#_x0000_t202" style="position:absolute;left:344181;top:483875;height:223184;width:1224004;" filled="f" stroked="f" coordsize="21600,21600" o:gfxdata="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sIDe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cs="Times New Roman"/>
                            <w:lang w:eastAsia="zh-CN"/>
                          </w:rPr>
                        </w:pPr>
                        <w:r>
                          <w:rPr>
                            <w:rFonts w:hint="default" w:ascii="Times New Roman" w:hAnsi="Times New Roman" w:cs="Times New Roman"/>
                            <w:lang w:val="en-US" w:eastAsia="zh-CN"/>
                          </w:rPr>
                          <w:t>1.</w:t>
                        </w:r>
                        <w:r>
                          <w:rPr>
                            <w:rFonts w:hint="default" w:ascii="Times New Roman" w:hAnsi="Times New Roman" w:cs="Times New Roman"/>
                          </w:rPr>
                          <w:t>瞄准高新突破，着力推进传统产业转型招商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2.</w:t>
                        </w:r>
                        <w:r>
                          <w:rPr>
                            <w:rFonts w:hint="default" w:ascii="Times New Roman" w:hAnsi="Times New Roman" w:cs="Times New Roman"/>
                          </w:rPr>
                          <w:t>立足产业优势，重点推进高原特色农业招商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eastAsia="方正仿宋_GBK"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发挥后发优势，积极推进国内外产业转移招商</w:t>
                        </w:r>
                        <w:r>
                          <w:rPr>
                            <w:rFonts w:hint="default" w:ascii="Times New Roman" w:hAnsi="Times New Roman" w:cs="Times New Roman"/>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坚持创新发展，加快推进战略性新兴产业招商。</w:t>
                        </w:r>
                      </w:p>
                      <w:p/>
                    </w:txbxContent>
                  </v:textbox>
                </v:shape>
                <v:shape id="文本框 18" o:spid="_x0000_s1026" o:spt="202" alt="KSO_WM_UNIT_INDEX=1_3_1&amp;KSO_WM_UNIT_TYPE=m_h_f&amp;KSO_WM_UNIT_ID=wpsdiag20164762_3*m_h_f*1_3_1&amp;KSO_WM_UNIT_LAYERLEVEL=1_1_1&amp;KSO_WM_UNIT_HIGHLIGHT=0&amp;KSO_WM_UNIT_CLEAR=0&amp;KSO_WM_UNIT_COMPATIBLE=0&amp;KSO_WM_UNIT_PRESET_TEXT=请在此输入您的文本。请在此输入您的文本。请在此输入您的文本。请在此输入您的文本。请在此输入您的文本。&amp;KSO_WM_UNIT_VALUE=54&amp;KSO_WM_TAG_VERSION=1.0&amp;KSO_WM_BEAUTIFY_FLAG=#wm#&amp;KSO_WM_TEMPLATE_CATEGORY=wpsdiag&amp;KSO_WM_TEMPLATE_INDEX=20164762&amp;KSO_WM_UNIT_BIND_DECORATION_IDS=wpsdiag20164762_3*m_i*1_6&amp;KSO_WM_SLIDE_ITEM_CNT=3&amp;KSO_WM_DIAGRAM_GROUP_CODE=m1_1&amp;KSO_WM_UNIT_TEXT_FILL_TYPE=1&amp;KSO_WM_UNIT_TEXT_FILL_FORE_SCHEMECOLOR_INDEX=13" type="#_x0000_t202" style="position:absolute;left:337974;top:823321;height:253298;width:1224004;" filled="f" stroked="f" coordsize="21600,21600" o:gfxdata="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vkC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1.以重点产业链作为招商的基础载体；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2.以易门产业园区作为招商的核心载体；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3.以政府服务平台作为招商的关键载体；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4.以中介服务结构作为招商的重要载体；</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5.以昆玉同城化发展作为招商的中心载体。</w:t>
                        </w:r>
                      </w:p>
                      <w:p/>
                    </w:txbxContent>
                  </v:textbox>
                </v:shape>
                <w10:wrap type="tight"/>
              </v:group>
            </w:pict>
          </mc:Fallback>
        </mc:AlternateContent>
      </w:r>
    </w:p>
    <w:p>
      <w:pPr>
        <w:pStyle w:val="19"/>
        <w:keepNext w:val="0"/>
        <w:keepLines w:val="0"/>
        <w:pageBreakBefore w:val="0"/>
        <w:widowControl w:val="0"/>
        <w:kinsoku/>
        <w:wordWrap/>
        <w:overflowPunct/>
        <w:topLinePunct w:val="0"/>
        <w:autoSpaceDE/>
        <w:autoSpaceDN w:val="0"/>
        <w:bidi w:val="0"/>
        <w:adjustRightInd/>
        <w:snapToGrid/>
        <w:ind w:firstLine="31680"/>
        <w:jc w:val="center"/>
        <w:textAlignment w:val="auto"/>
        <w:rPr>
          <w:rFonts w:hint="default" w:ascii="Times New Roman" w:hAnsi="Times New Roman" w:eastAsia="方正楷体_GBK" w:cs="Times New Roman"/>
        </w:rPr>
      </w:pPr>
      <w:r>
        <w:rPr>
          <w:rFonts w:hint="default" w:ascii="Times New Roman" w:hAnsi="Times New Roman" w:eastAsia="方正楷体_GBK" w:cs="Times New Roman"/>
          <w:sz w:val="28"/>
          <w:szCs w:val="22"/>
        </w:rPr>
        <w:t>图</w:t>
      </w:r>
      <w:r>
        <w:rPr>
          <w:rFonts w:hint="default" w:ascii="Times New Roman" w:hAnsi="Times New Roman" w:eastAsia="方正楷体_GBK" w:cs="Times New Roman"/>
          <w:sz w:val="28"/>
          <w:szCs w:val="22"/>
          <w:lang w:val="en-US"/>
        </w:rPr>
        <w:t>1 易门县“十四五”招商新路径</w:t>
      </w:r>
    </w:p>
    <w:p>
      <w:pPr>
        <w:pStyle w:val="3"/>
        <w:keepNext w:val="0"/>
        <w:keepLines w:val="0"/>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黑体_GBK" w:cs="Times New Roman"/>
        </w:rPr>
      </w:pPr>
      <w:bookmarkStart w:id="56" w:name="_Toc22766"/>
      <w:r>
        <w:rPr>
          <w:rFonts w:hint="default" w:ascii="Times New Roman" w:hAnsi="Times New Roman" w:eastAsia="方正黑体_GBK" w:cs="Times New Roman"/>
        </w:rPr>
        <w:t>三、总体思路</w:t>
      </w:r>
      <w:bookmarkEnd w:id="55"/>
      <w:bookmarkEnd w:id="56"/>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rPr>
      </w:pPr>
      <w:bookmarkStart w:id="57" w:name="_Toc32527"/>
      <w:bookmarkStart w:id="58" w:name="_Toc25946"/>
      <w:r>
        <w:rPr>
          <w:rFonts w:hint="default" w:ascii="Times New Roman" w:hAnsi="Times New Roman" w:eastAsia="方正楷体_GBK" w:cs="Times New Roman"/>
        </w:rPr>
        <w:t>（一）指导思想</w:t>
      </w:r>
      <w:bookmarkEnd w:id="57"/>
      <w:bookmarkEnd w:id="58"/>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cs="Times New Roman"/>
          <w:szCs w:val="40"/>
        </w:rPr>
      </w:pPr>
      <w:r>
        <w:rPr>
          <w:rFonts w:hint="default" w:ascii="Times New Roman" w:hAnsi="Times New Roman" w:eastAsia="方正仿宋_GBK" w:cs="Times New Roman"/>
          <w:szCs w:val="32"/>
        </w:rPr>
        <w:t>以习近平新时代中国特色社会主义思想为指导，全面贯彻党的十九大和十九届</w:t>
      </w:r>
      <w:r>
        <w:rPr>
          <w:rFonts w:hint="eastAsia" w:ascii="Times New Roman" w:hAnsi="Times New Roman" w:cs="Times New Roman"/>
          <w:szCs w:val="32"/>
          <w:lang w:eastAsia="zh-CN"/>
        </w:rPr>
        <w:t>历次</w:t>
      </w:r>
      <w:r>
        <w:rPr>
          <w:rFonts w:hint="default" w:ascii="Times New Roman" w:hAnsi="Times New Roman" w:eastAsia="方正仿宋_GBK" w:cs="Times New Roman"/>
          <w:szCs w:val="32"/>
        </w:rPr>
        <w:t>全会及习近平总书记</w:t>
      </w:r>
      <w:r>
        <w:rPr>
          <w:rFonts w:hint="eastAsia" w:ascii="Times New Roman" w:hAnsi="Times New Roman" w:cs="Times New Roman"/>
          <w:szCs w:val="32"/>
          <w:lang w:eastAsia="zh-CN"/>
        </w:rPr>
        <w:t>考</w:t>
      </w:r>
      <w:r>
        <w:rPr>
          <w:rFonts w:hint="default" w:ascii="Times New Roman" w:hAnsi="Times New Roman" w:eastAsia="方正仿宋_GBK" w:cs="Times New Roman"/>
          <w:szCs w:val="32"/>
        </w:rPr>
        <w:t>察云南重要讲话精神，坚持高质量发展总导向，以供给侧结构性改革为主线，统筹需求侧管理，围绕打造现代产业体系目标，</w:t>
      </w:r>
      <w:r>
        <w:rPr>
          <w:rFonts w:hint="default" w:ascii="Times New Roman" w:hAnsi="Times New Roman" w:eastAsia="方正仿宋_GBK" w:cs="Times New Roman"/>
          <w:szCs w:val="40"/>
        </w:rPr>
        <w:t>遵循“招主产业、引产业链条；招大项目、引产业集群”的招商理念，以促进形成“产业链”“产业集群”的观念统领招商引资工作，</w:t>
      </w:r>
      <w:r>
        <w:rPr>
          <w:rFonts w:hint="default" w:ascii="Times New Roman" w:hAnsi="Times New Roman" w:eastAsia="方正仿宋_GBK" w:cs="Times New Roman"/>
          <w:szCs w:val="32"/>
        </w:rPr>
        <w:t>坚持招商引资、招才引智有机结合，实施产业链招商为突破口和着力点，科学谋划，拓展招商引资新领域；合理布局，优化招商引资空间；精准对接，提升招商引资实效；创新方式方法、优化投资环境、狠抓工作落实，全力吸纳发达地区的项目、人才、资金、技术和先进的发展理念，拓宽发展空间，培育增长动力，整合发展优势，力促招商引资向投资促进转变，努力实现招商引资的规模、质量和效益新突破，全面推进易门区域经济社会协调发展，为全县经济社会高质量跨越发展作出积极贡献</w:t>
      </w:r>
      <w:r>
        <w:rPr>
          <w:rFonts w:hint="default" w:ascii="Times New Roman" w:hAnsi="Times New Roman" w:eastAsia="方正仿宋_GBK" w:cs="Times New Roman"/>
          <w:szCs w:val="40"/>
        </w:rPr>
        <w:t>。</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rPr>
      </w:pPr>
      <w:bookmarkStart w:id="59" w:name="_Toc22192"/>
      <w:bookmarkStart w:id="60" w:name="_Toc15152"/>
      <w:r>
        <w:rPr>
          <w:rFonts w:hint="default" w:ascii="Times New Roman" w:hAnsi="Times New Roman" w:eastAsia="方正楷体_GBK" w:cs="Times New Roman"/>
        </w:rPr>
        <w:t>（二）基本原则</w:t>
      </w:r>
      <w:bookmarkEnd w:id="59"/>
      <w:bookmarkEnd w:id="60"/>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bookmarkStart w:id="61" w:name="_Toc4415"/>
      <w:bookmarkStart w:id="62" w:name="_Toc23920"/>
      <w:r>
        <w:rPr>
          <w:rFonts w:hint="default" w:ascii="Times New Roman" w:hAnsi="Times New Roman" w:eastAsia="方正仿宋_GBK" w:cs="Times New Roman"/>
          <w:b/>
          <w:bCs/>
        </w:rPr>
        <w:t>1.市场主导，政府推动。</w:t>
      </w:r>
      <w:r>
        <w:rPr>
          <w:rFonts w:hint="default" w:ascii="Times New Roman" w:hAnsi="Times New Roman" w:eastAsia="方正仿宋_GBK" w:cs="Times New Roman"/>
          <w:bCs/>
        </w:rPr>
        <w:t>主动适应新形势发展变化，拓展合作思路，创新合作方式，充分发挥企业在招商引资的作用，依托企业家团队破解招商引资难题，凝聚重大建设项目，拓展引资渠道，开拓招商市场；切实提高政府服务效能，科学规范政府职责权限建立集政府部门、行业组织、专业服务机构、新闻媒体于一体的多渠道投资促进系统。</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bCs/>
        </w:rPr>
        <w:t>2.突出特色，错位招商。</w:t>
      </w:r>
      <w:r>
        <w:rPr>
          <w:rFonts w:hint="default" w:ascii="Times New Roman" w:hAnsi="Times New Roman" w:eastAsia="方正仿宋_GBK" w:cs="Times New Roman"/>
          <w:bCs/>
          <w:lang w:eastAsia="zh-CN"/>
        </w:rPr>
        <w:t>坚持</w:t>
      </w:r>
      <w:r>
        <w:rPr>
          <w:rFonts w:hint="default" w:ascii="Times New Roman" w:hAnsi="Times New Roman" w:eastAsia="方正仿宋_GBK" w:cs="Times New Roman"/>
          <w:bCs/>
        </w:rPr>
        <w:t>区域分工合作的精神，强调区域的整合，采用跨越式的产业布局模式，充分发挥各乡镇优势，努力凝聚先进生产要素，通过把自身优势与引进的资本、技术优势融合起来增强自主发展能力，引导项目向特色优势产业集聚，通过错位招商促进区域经济特色化扩张和板块式崛起。</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bCs/>
        </w:rPr>
        <w:t>3.招强选优，注重效益。</w:t>
      </w:r>
      <w:r>
        <w:rPr>
          <w:rFonts w:hint="default" w:ascii="Times New Roman" w:hAnsi="Times New Roman" w:eastAsia="方正仿宋_GBK" w:cs="Times New Roman"/>
          <w:bCs/>
        </w:rPr>
        <w:t>以拉动就业、优化结构、增加财税贡献为主要目标，持续推进有色金属、陶瓷建材、食品加工等传统产业提质增效，抢抓数字经济“窗口期”，推动“产业数字化”“数字产业化”，重点引进投资规模大、产业关联度高、技术含量高的项目，推动产业从价值链低端向高端升级，实行更加有利于实体经济发展的政策措施；以提高资金到位率和项目落地率为衡量标准，推进业绩考核体系创新，加快招商引资向选商引资转变。</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cs="Times New Roman"/>
          <w:bCs/>
        </w:rPr>
      </w:pPr>
      <w:r>
        <w:rPr>
          <w:rFonts w:hint="default" w:ascii="Times New Roman" w:hAnsi="Times New Roman" w:eastAsia="方正仿宋_GBK" w:cs="Times New Roman"/>
          <w:b/>
          <w:bCs/>
        </w:rPr>
        <w:t>4.外引内联，开放发展。</w:t>
      </w:r>
      <w:r>
        <w:rPr>
          <w:rFonts w:hint="default" w:ascii="Times New Roman" w:hAnsi="Times New Roman" w:eastAsia="方正仿宋_GBK" w:cs="Times New Roman"/>
          <w:bCs/>
        </w:rPr>
        <w:t>把扩大开放作为引领投资促进工作的重要抓手。抢抓“一带一路”和“昆曼经济走廊”建设、昆玉同城化等机遇，加强与周边地区，特别是与昆明的务实合作，坚持引进来和走出去并重，更大规模地引进市外资金与项目，积极承接产业转移，不断增强经济发展的内生动力。</w:t>
      </w:r>
    </w:p>
    <w:bookmarkEnd w:id="61"/>
    <w:bookmarkEnd w:id="62"/>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rPr>
      </w:pPr>
      <w:bookmarkStart w:id="63" w:name="_Toc16397"/>
      <w:bookmarkStart w:id="64" w:name="_Toc16244"/>
      <w:r>
        <w:rPr>
          <w:rFonts w:hint="default" w:ascii="Times New Roman" w:hAnsi="Times New Roman" w:eastAsia="方正楷体_GBK" w:cs="Times New Roman"/>
        </w:rPr>
        <w:t>（三）</w:t>
      </w:r>
      <w:r>
        <w:rPr>
          <w:rFonts w:hint="default" w:ascii="Times New Roman" w:hAnsi="Times New Roman" w:eastAsia="方正楷体_GBK" w:cs="Times New Roman"/>
          <w:lang w:eastAsia="zh-CN"/>
        </w:rPr>
        <w:t>发展</w:t>
      </w:r>
      <w:r>
        <w:rPr>
          <w:rFonts w:hint="default" w:ascii="Times New Roman" w:hAnsi="Times New Roman" w:eastAsia="方正楷体_GBK" w:cs="Times New Roman"/>
        </w:rPr>
        <w:t>定位</w:t>
      </w:r>
      <w:bookmarkEnd w:id="63"/>
      <w:bookmarkEnd w:id="64"/>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sz w:val="32"/>
          <w:szCs w:val="32"/>
          <w:lang w:eastAsia="zh-CN"/>
        </w:rPr>
      </w:pPr>
      <w:bookmarkStart w:id="65" w:name="_Toc21823"/>
      <w:r>
        <w:rPr>
          <w:rFonts w:hint="default" w:ascii="Times New Roman" w:hAnsi="Times New Roman" w:eastAsia="方正仿宋_GBK" w:cs="Times New Roman"/>
          <w:sz w:val="32"/>
          <w:szCs w:val="32"/>
          <w:lang w:eastAsia="zh-CN"/>
        </w:rPr>
        <w:t>根据</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易门县国民经济和社会发展第十四个五年规划和二〇三五年远景</w:t>
      </w:r>
      <w:r>
        <w:rPr>
          <w:rFonts w:hint="default" w:ascii="Times New Roman" w:hAnsi="Times New Roman" w:eastAsia="方正仿宋_GBK" w:cs="Times New Roman"/>
          <w:sz w:val="32"/>
          <w:szCs w:val="32"/>
          <w:lang w:eastAsia="zh-CN"/>
        </w:rPr>
        <w:t>目标纲要</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中，关于易门“一区两城”的三大战略定位，“十四五”期间，推动易门区域合作和招商引资，就是要努力该三大定位服务，加强大合作、谋划大投资、引进大项目。</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rPr>
        <w:t>1.</w:t>
      </w:r>
      <w:r>
        <w:rPr>
          <w:rFonts w:hint="default" w:ascii="Times New Roman" w:hAnsi="Times New Roman" w:eastAsia="方正仿宋_GBK" w:cs="Times New Roman"/>
          <w:b/>
          <w:lang w:eastAsia="zh-CN"/>
        </w:rPr>
        <w:t>在打造</w:t>
      </w:r>
      <w:r>
        <w:rPr>
          <w:rFonts w:hint="default" w:ascii="Times New Roman" w:hAnsi="Times New Roman" w:eastAsia="方正仿宋_GBK" w:cs="Times New Roman"/>
          <w:b/>
        </w:rPr>
        <w:t>昆玉同城化发展先行区</w:t>
      </w:r>
      <w:r>
        <w:rPr>
          <w:rFonts w:hint="default" w:ascii="Times New Roman" w:hAnsi="Times New Roman" w:eastAsia="方正仿宋_GBK" w:cs="Times New Roman"/>
          <w:b/>
          <w:lang w:eastAsia="zh-CN"/>
        </w:rPr>
        <w:t>中加强大合作</w:t>
      </w:r>
      <w:r>
        <w:rPr>
          <w:rFonts w:hint="default" w:ascii="Times New Roman" w:hAnsi="Times New Roman" w:eastAsia="方正仿宋_GBK" w:cs="Times New Roman"/>
          <w:b/>
        </w:rPr>
        <w:t>。</w:t>
      </w:r>
      <w:r>
        <w:rPr>
          <w:rFonts w:hint="default" w:ascii="Times New Roman" w:hAnsi="Times New Roman" w:eastAsia="方正仿宋_GBK" w:cs="Times New Roman"/>
          <w:bCs/>
        </w:rPr>
        <w:t>抢抓昆玉同城化发展的重大机遇，充分发挥比较优势，以统筹区域规划、基础设施、产业布局、生态环保、公共服务、户籍管理、人才流动、政策协调等为重点，</w:t>
      </w:r>
      <w:r>
        <w:rPr>
          <w:rFonts w:hint="default" w:ascii="Times New Roman" w:hAnsi="Times New Roman" w:eastAsia="方正仿宋_GBK" w:cs="Times New Roman"/>
          <w:bCs/>
          <w:lang w:eastAsia="zh-CN"/>
        </w:rPr>
        <w:t>通过努力构建昆玉同城化发展的合作平台，积极在</w:t>
      </w:r>
      <w:r>
        <w:rPr>
          <w:rFonts w:hint="default" w:ascii="Times New Roman" w:hAnsi="Times New Roman" w:eastAsia="方正仿宋_GBK" w:cs="Times New Roman"/>
          <w:bCs/>
        </w:rPr>
        <w:t>融入和服务昆玉同城化发展，</w:t>
      </w:r>
      <w:r>
        <w:rPr>
          <w:rFonts w:hint="default" w:ascii="Times New Roman" w:hAnsi="Times New Roman" w:eastAsia="方正仿宋_GBK" w:cs="Times New Roman"/>
          <w:bCs/>
          <w:lang w:eastAsia="zh-CN"/>
        </w:rPr>
        <w:t>推动</w:t>
      </w:r>
      <w:r>
        <w:rPr>
          <w:rFonts w:hint="default" w:ascii="Times New Roman" w:hAnsi="Times New Roman" w:eastAsia="方正仿宋_GBK" w:cs="Times New Roman"/>
          <w:bCs/>
        </w:rPr>
        <w:t>交通互联互通、产业协作协同、市场开放共享、公共服务共建共享等方面实现突破。</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rPr>
        <w:t>2.</w:t>
      </w:r>
      <w:r>
        <w:rPr>
          <w:rFonts w:hint="default" w:ascii="Times New Roman" w:hAnsi="Times New Roman" w:eastAsia="方正仿宋_GBK" w:cs="Times New Roman"/>
          <w:b/>
          <w:lang w:eastAsia="zh-CN"/>
        </w:rPr>
        <w:t>在打造</w:t>
      </w:r>
      <w:r>
        <w:rPr>
          <w:rFonts w:hint="default" w:ascii="Times New Roman" w:hAnsi="Times New Roman" w:eastAsia="方正仿宋_GBK" w:cs="Times New Roman"/>
          <w:b/>
        </w:rPr>
        <w:t>滇中菌乡山水公园城</w:t>
      </w:r>
      <w:r>
        <w:rPr>
          <w:rFonts w:hint="default" w:ascii="Times New Roman" w:hAnsi="Times New Roman" w:eastAsia="方正仿宋_GBK" w:cs="Times New Roman"/>
          <w:b/>
          <w:lang w:eastAsia="zh-CN"/>
        </w:rPr>
        <w:t>中谋划大投资</w:t>
      </w:r>
      <w:r>
        <w:rPr>
          <w:rFonts w:hint="default" w:ascii="Times New Roman" w:hAnsi="Times New Roman" w:eastAsia="方正仿宋_GBK" w:cs="Times New Roman"/>
          <w:b/>
        </w:rPr>
        <w:t>。</w:t>
      </w:r>
      <w:r>
        <w:rPr>
          <w:rFonts w:hint="default" w:ascii="Times New Roman" w:hAnsi="Times New Roman" w:eastAsia="方正仿宋_GBK" w:cs="Times New Roman"/>
          <w:b w:val="0"/>
          <w:bCs/>
          <w:lang w:eastAsia="zh-CN"/>
        </w:rPr>
        <w:t>在区域合作和招商引资过程中，积极</w:t>
      </w:r>
      <w:r>
        <w:rPr>
          <w:rFonts w:hint="default" w:ascii="Times New Roman" w:hAnsi="Times New Roman" w:eastAsia="方正仿宋_GBK" w:cs="Times New Roman"/>
          <w:bCs/>
        </w:rPr>
        <w:t>统筹新型城镇化建设，加快绿道、水道、廊道、步道与公园的脉络融合，合理安排生产、生活、生态空间，</w:t>
      </w:r>
      <w:r>
        <w:rPr>
          <w:rFonts w:hint="default" w:ascii="Times New Roman" w:hAnsi="Times New Roman" w:eastAsia="方正仿宋_GBK" w:cs="Times New Roman"/>
          <w:bCs/>
          <w:lang w:eastAsia="zh-CN"/>
        </w:rPr>
        <w:t>按照“</w:t>
      </w:r>
      <w:r>
        <w:rPr>
          <w:rFonts w:hint="default" w:ascii="Times New Roman" w:hAnsi="Times New Roman" w:eastAsia="方正仿宋_GBK" w:cs="Times New Roman"/>
          <w:bCs/>
        </w:rPr>
        <w:t>整个县城建成一个大公园，打造生态型、高质量、人本化、有韧性的公园城市</w:t>
      </w:r>
      <w:r>
        <w:rPr>
          <w:rFonts w:hint="default" w:ascii="Times New Roman" w:hAnsi="Times New Roman" w:eastAsia="方正仿宋_GBK" w:cs="Times New Roman"/>
          <w:bCs/>
          <w:lang w:eastAsia="zh-CN"/>
        </w:rPr>
        <w:t>”为目标</w:t>
      </w:r>
      <w:r>
        <w:rPr>
          <w:rFonts w:hint="default" w:ascii="Times New Roman" w:hAnsi="Times New Roman" w:eastAsia="方正仿宋_GBK" w:cs="Times New Roman"/>
          <w:bCs/>
        </w:rPr>
        <w:t>。</w:t>
      </w:r>
      <w:r>
        <w:rPr>
          <w:rFonts w:hint="default" w:ascii="Times New Roman" w:hAnsi="Times New Roman" w:eastAsia="方正仿宋_GBK" w:cs="Times New Roman"/>
          <w:bCs/>
          <w:lang w:eastAsia="zh-CN"/>
        </w:rPr>
        <w:t>力争在</w:t>
      </w:r>
      <w:r>
        <w:rPr>
          <w:rFonts w:hint="default" w:ascii="Times New Roman" w:hAnsi="Times New Roman" w:eastAsia="方正仿宋_GBK" w:cs="Times New Roman"/>
          <w:bCs/>
        </w:rPr>
        <w:t>营造休闲娱乐、康体养生、户外运动、水城夜游、便民服务等公园生态游憩场景，创造宜业、宜居、宜乐、宜游的良好环境</w:t>
      </w:r>
      <w:r>
        <w:rPr>
          <w:rFonts w:hint="default" w:ascii="Times New Roman" w:hAnsi="Times New Roman" w:eastAsia="方正仿宋_GBK" w:cs="Times New Roman"/>
          <w:bCs/>
          <w:lang w:eastAsia="zh-CN"/>
        </w:rPr>
        <w:t>上下功夫，吸引更多社会资本参与建设，形成</w:t>
      </w:r>
      <w:r>
        <w:rPr>
          <w:rFonts w:hint="default" w:ascii="Times New Roman" w:hAnsi="Times New Roman" w:eastAsia="方正仿宋_GBK" w:cs="Times New Roman"/>
          <w:bCs/>
        </w:rPr>
        <w:t>“滇中水城 菌乡易门”</w:t>
      </w:r>
      <w:r>
        <w:rPr>
          <w:rFonts w:hint="default" w:ascii="Times New Roman" w:hAnsi="Times New Roman" w:eastAsia="方正仿宋_GBK" w:cs="Times New Roman"/>
          <w:bCs/>
          <w:lang w:eastAsia="zh-CN"/>
        </w:rPr>
        <w:t>的投资大建设新格局</w:t>
      </w:r>
      <w:r>
        <w:rPr>
          <w:rFonts w:hint="default" w:ascii="Times New Roman" w:hAnsi="Times New Roman" w:eastAsia="方正仿宋_GBK" w:cs="Times New Roman"/>
          <w:bCs/>
        </w:rPr>
        <w:t>。</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rPr>
        <w:t>3.</w:t>
      </w:r>
      <w:r>
        <w:rPr>
          <w:rFonts w:hint="default" w:ascii="Times New Roman" w:hAnsi="Times New Roman" w:eastAsia="方正仿宋_GBK" w:cs="Times New Roman"/>
          <w:b/>
          <w:lang w:eastAsia="zh-CN"/>
        </w:rPr>
        <w:t>在打造</w:t>
      </w:r>
      <w:r>
        <w:rPr>
          <w:rFonts w:hint="default" w:ascii="Times New Roman" w:hAnsi="Times New Roman" w:eastAsia="方正仿宋_GBK" w:cs="Times New Roman"/>
          <w:b/>
        </w:rPr>
        <w:t>西南循环经济科创城</w:t>
      </w:r>
      <w:r>
        <w:rPr>
          <w:rFonts w:hint="default" w:ascii="Times New Roman" w:hAnsi="Times New Roman" w:eastAsia="方正仿宋_GBK" w:cs="Times New Roman"/>
          <w:b/>
          <w:lang w:eastAsia="zh-CN"/>
        </w:rPr>
        <w:t>中引进大项目</w:t>
      </w:r>
      <w:r>
        <w:rPr>
          <w:rFonts w:hint="default" w:ascii="Times New Roman" w:hAnsi="Times New Roman" w:eastAsia="方正仿宋_GBK" w:cs="Times New Roman"/>
          <w:b/>
        </w:rPr>
        <w:t>。</w:t>
      </w:r>
      <w:r>
        <w:rPr>
          <w:rFonts w:hint="default" w:ascii="Times New Roman" w:hAnsi="Times New Roman" w:eastAsia="方正仿宋_GBK" w:cs="Times New Roman"/>
          <w:b w:val="0"/>
          <w:bCs/>
          <w:lang w:eastAsia="zh-CN"/>
        </w:rPr>
        <w:t>按照易门“十四五”规划，</w:t>
      </w:r>
      <w:r>
        <w:rPr>
          <w:rFonts w:hint="default" w:ascii="Times New Roman" w:hAnsi="Times New Roman" w:eastAsia="方正仿宋_GBK" w:cs="Times New Roman"/>
          <w:bCs/>
          <w:lang w:eastAsia="zh-CN"/>
        </w:rPr>
        <w:t>围绕</w:t>
      </w:r>
      <w:r>
        <w:rPr>
          <w:rFonts w:hint="default" w:ascii="Times New Roman" w:hAnsi="Times New Roman" w:eastAsia="方正仿宋_GBK" w:cs="Times New Roman"/>
          <w:bCs/>
        </w:rPr>
        <w:t>循环型农业、循环型工业、循环型服务业</w:t>
      </w:r>
      <w:r>
        <w:rPr>
          <w:rFonts w:hint="default" w:ascii="Times New Roman" w:hAnsi="Times New Roman" w:eastAsia="方正仿宋_GBK" w:cs="Times New Roman"/>
          <w:bCs/>
          <w:lang w:eastAsia="zh-CN"/>
        </w:rPr>
        <w:t>等领域，加快推动与周边地区的合作，包装策划引进一批大项目</w:t>
      </w:r>
      <w:r>
        <w:rPr>
          <w:rFonts w:hint="default" w:ascii="Times New Roman" w:hAnsi="Times New Roman" w:eastAsia="方正仿宋_GBK" w:cs="Times New Roman"/>
          <w:bCs/>
        </w:rPr>
        <w:t>。以创新发展理念的转变引领发展方式转变，聚力把创新贯穿到经济社会发展全过程，</w:t>
      </w:r>
      <w:r>
        <w:rPr>
          <w:rFonts w:hint="default" w:ascii="Times New Roman" w:hAnsi="Times New Roman" w:eastAsia="方正仿宋_GBK" w:cs="Times New Roman"/>
          <w:bCs/>
          <w:lang w:eastAsia="zh-CN"/>
        </w:rPr>
        <w:t>重点突出具有先进</w:t>
      </w:r>
      <w:r>
        <w:rPr>
          <w:rFonts w:hint="default" w:ascii="Times New Roman" w:hAnsi="Times New Roman" w:eastAsia="方正仿宋_GBK" w:cs="Times New Roman"/>
          <w:bCs/>
        </w:rPr>
        <w:t>科技创新</w:t>
      </w:r>
      <w:r>
        <w:rPr>
          <w:rFonts w:hint="default" w:ascii="Times New Roman" w:hAnsi="Times New Roman" w:eastAsia="方正仿宋_GBK" w:cs="Times New Roman"/>
          <w:bCs/>
          <w:lang w:eastAsia="zh-CN"/>
        </w:rPr>
        <w:t>成果和具备示范带动效益的项目</w:t>
      </w:r>
      <w:r>
        <w:rPr>
          <w:rFonts w:hint="default" w:ascii="Times New Roman" w:hAnsi="Times New Roman" w:eastAsia="方正仿宋_GBK" w:cs="Times New Roman"/>
          <w:bCs/>
        </w:rPr>
        <w:t>，</w:t>
      </w:r>
      <w:r>
        <w:rPr>
          <w:rFonts w:hint="default" w:ascii="Times New Roman" w:hAnsi="Times New Roman" w:eastAsia="方正仿宋_GBK" w:cs="Times New Roman"/>
          <w:bCs/>
          <w:lang w:eastAsia="zh-CN"/>
        </w:rPr>
        <w:t>同时，积极引进</w:t>
      </w:r>
      <w:r>
        <w:rPr>
          <w:rFonts w:hint="default" w:ascii="Times New Roman" w:hAnsi="Times New Roman" w:eastAsia="方正仿宋_GBK" w:cs="Times New Roman"/>
          <w:bCs/>
        </w:rPr>
        <w:t>教育</w:t>
      </w:r>
      <w:r>
        <w:rPr>
          <w:rFonts w:hint="default" w:ascii="Times New Roman" w:hAnsi="Times New Roman" w:eastAsia="方正仿宋_GBK" w:cs="Times New Roman"/>
          <w:bCs/>
          <w:lang w:eastAsia="zh-CN"/>
        </w:rPr>
        <w:t>项目</w:t>
      </w:r>
      <w:r>
        <w:rPr>
          <w:rFonts w:hint="default" w:ascii="Times New Roman" w:hAnsi="Times New Roman" w:eastAsia="方正仿宋_GBK" w:cs="Times New Roman"/>
          <w:bCs/>
        </w:rPr>
        <w:t>，以产业创新为重点引领经济结构优化升级，助推“科技+教育+产业”深度融合，打造在中国西南地区具有一定影响力的循环经济科创城。</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rPr>
      </w:pPr>
      <w:bookmarkStart w:id="66" w:name="_Toc30530"/>
      <w:r>
        <w:rPr>
          <w:rFonts w:hint="default" w:ascii="Times New Roman" w:hAnsi="Times New Roman" w:eastAsia="方正楷体_GBK" w:cs="Times New Roman"/>
        </w:rPr>
        <w:t>（四）发展目标</w:t>
      </w:r>
      <w:bookmarkEnd w:id="65"/>
      <w:bookmarkEnd w:id="66"/>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以全县“十四五”规划指标体系为基础，综合考虑区域合作、投资促进、招商引资面临的发展环境、发展基础、主要任务和增长潜力，努力实现以下“十四五”预期发展目标：</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——引资规模稳定增长。力争全县招商引资到位资金额年均增长10%以上。积极吸引外商投资，提升实际利用外资规模。</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——引资结构不断优化。</w:t>
      </w:r>
      <w:r>
        <w:rPr>
          <w:rFonts w:hint="default" w:ascii="Times New Roman" w:hAnsi="Times New Roman" w:eastAsia="方正仿宋_GBK" w:cs="Times New Roman"/>
          <w:lang w:eastAsia="zh-CN"/>
        </w:rPr>
        <w:t>促进</w:t>
      </w:r>
      <w:r>
        <w:rPr>
          <w:rFonts w:hint="default" w:ascii="Times New Roman" w:hAnsi="Times New Roman" w:eastAsia="方正仿宋_GBK" w:cs="Times New Roman"/>
        </w:rPr>
        <w:t>第一第二产业引资比重显著提升，促进社会资本进入基础设施建设、公共事业等领域，全面推动美丽县城建设，形成财政引导，市场主导的投资结构。</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——项目质量明显提升。国内500强、行业龙头和境内外大型企业引进数量有重大突破，1亿元以上大项目比重进一步增加。</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——招商效益显著增强。企业对全县税收及新增就业贡献率显著提高；引进的工业项目平均投资和产出强度大幅提升。</w:t>
      </w:r>
    </w:p>
    <w:p>
      <w:pPr>
        <w:pStyle w:val="3"/>
        <w:keepNext w:val="0"/>
        <w:keepLines w:val="0"/>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黑体_GBK" w:cs="Times New Roman"/>
          <w:lang w:eastAsia="zh-CN"/>
        </w:rPr>
      </w:pPr>
      <w:bookmarkStart w:id="67" w:name="_Toc30220"/>
      <w:bookmarkStart w:id="68" w:name="_Toc13682"/>
      <w:r>
        <w:rPr>
          <w:rFonts w:hint="default" w:ascii="Times New Roman" w:hAnsi="Times New Roman" w:eastAsia="方正黑体_GBK" w:cs="Times New Roman"/>
        </w:rPr>
        <w:t>四、</w:t>
      </w:r>
      <w:bookmarkEnd w:id="67"/>
      <w:r>
        <w:rPr>
          <w:rFonts w:hint="default" w:ascii="Times New Roman" w:hAnsi="Times New Roman" w:eastAsia="方正黑体_GBK" w:cs="Times New Roman"/>
          <w:lang w:eastAsia="zh-CN"/>
        </w:rPr>
        <w:t>重点任务</w:t>
      </w:r>
      <w:bookmarkEnd w:id="68"/>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bookmarkStart w:id="69" w:name="_Toc10690"/>
      <w:r>
        <w:rPr>
          <w:rFonts w:hint="default" w:ascii="Times New Roman" w:hAnsi="Times New Roman" w:eastAsia="方正仿宋_GBK" w:cs="Times New Roman"/>
        </w:rPr>
        <w:t>“十四五”期间，按照易门生产力空间布局和基础设施建设重点以及</w:t>
      </w:r>
      <w:r>
        <w:rPr>
          <w:rFonts w:hint="default" w:ascii="Times New Roman" w:hAnsi="Times New Roman" w:eastAsia="方正仿宋_GBK" w:cs="Times New Roman"/>
          <w:lang w:val="en-US" w:eastAsia="zh-CN"/>
        </w:rPr>
        <w:t>3+5</w:t>
      </w:r>
      <w:r>
        <w:rPr>
          <w:rFonts w:hint="default" w:ascii="Times New Roman" w:hAnsi="Times New Roman" w:eastAsia="方正仿宋_GBK" w:cs="Times New Roman"/>
        </w:rPr>
        <w:t>现代产业</w:t>
      </w:r>
      <w:r>
        <w:rPr>
          <w:rFonts w:hint="default" w:ascii="Times New Roman" w:hAnsi="Times New Roman" w:eastAsia="方正仿宋_GBK" w:cs="Times New Roman"/>
          <w:lang w:eastAsia="zh-CN"/>
        </w:rPr>
        <w:t>体系</w:t>
      </w:r>
      <w:r>
        <w:rPr>
          <w:rFonts w:hint="default" w:ascii="Times New Roman" w:hAnsi="Times New Roman" w:eastAsia="方正仿宋_GBK" w:cs="Times New Roman"/>
        </w:rPr>
        <w:t>、科技创新、开放合作等部署，必须与时俱进，开拓思路，明确区域合作招商引资重点领域，</w:t>
      </w:r>
      <w:r>
        <w:rPr>
          <w:rFonts w:hint="default" w:ascii="Times New Roman" w:hAnsi="Times New Roman" w:eastAsia="方正仿宋_GBK" w:cs="Times New Roman"/>
          <w:lang w:eastAsia="zh-CN"/>
        </w:rPr>
        <w:t>创新</w:t>
      </w:r>
      <w:r>
        <w:rPr>
          <w:rFonts w:hint="default" w:ascii="Times New Roman" w:hAnsi="Times New Roman" w:eastAsia="方正仿宋_GBK" w:cs="Times New Roman"/>
        </w:rPr>
        <w:t>进行招商引资工作，做好新时代</w:t>
      </w:r>
      <w:r>
        <w:rPr>
          <w:rFonts w:hint="default" w:ascii="Times New Roman" w:hAnsi="Times New Roman" w:eastAsia="方正仿宋_GBK" w:cs="Times New Roman"/>
          <w:lang w:eastAsia="zh-CN"/>
        </w:rPr>
        <w:t>的</w:t>
      </w:r>
      <w:r>
        <w:rPr>
          <w:rFonts w:hint="default" w:ascii="Times New Roman" w:hAnsi="Times New Roman" w:eastAsia="方正仿宋_GBK" w:cs="Times New Roman"/>
        </w:rPr>
        <w:t>区域合作和招商引资工作。</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0" w:name="_Toc28650"/>
      <w:r>
        <w:rPr>
          <w:rFonts w:hint="default" w:ascii="Times New Roman" w:hAnsi="Times New Roman" w:eastAsia="方正楷体_GBK" w:cs="Times New Roman"/>
          <w:lang w:val="en-US"/>
        </w:rPr>
        <w:t>（一）合理布局和优化</w:t>
      </w:r>
      <w:r>
        <w:rPr>
          <w:rFonts w:hint="default" w:ascii="Times New Roman" w:hAnsi="Times New Roman" w:eastAsia="方正楷体_GBK" w:cs="Times New Roman"/>
          <w:lang w:val="en-US" w:eastAsia="zh-CN"/>
        </w:rPr>
        <w:t>区域合作</w:t>
      </w:r>
      <w:r>
        <w:rPr>
          <w:rFonts w:hint="default" w:ascii="Times New Roman" w:hAnsi="Times New Roman" w:eastAsia="方正楷体_GBK" w:cs="Times New Roman"/>
          <w:lang w:val="en-US"/>
        </w:rPr>
        <w:t>空间</w:t>
      </w:r>
      <w:bookmarkEnd w:id="70"/>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根据</w:t>
      </w:r>
      <w:r>
        <w:rPr>
          <w:rFonts w:hint="default" w:ascii="Times New Roman" w:hAnsi="Times New Roman" w:eastAsia="方正仿宋_GBK" w:cs="Times New Roman"/>
          <w:lang w:eastAsia="zh-CN"/>
        </w:rPr>
        <w:t>昆玉同城化规划</w:t>
      </w:r>
      <w:r>
        <w:rPr>
          <w:rFonts w:hint="default" w:ascii="Times New Roman" w:hAnsi="Times New Roman" w:eastAsia="方正仿宋_GBK" w:cs="Times New Roman"/>
        </w:rPr>
        <w:t>和</w:t>
      </w:r>
      <w:r>
        <w:rPr>
          <w:rFonts w:hint="default" w:ascii="Times New Roman" w:hAnsi="Times New Roman" w:eastAsia="方正仿宋_GBK" w:cs="Times New Roman"/>
          <w:lang w:eastAsia="zh-CN"/>
        </w:rPr>
        <w:t>易门</w:t>
      </w:r>
      <w:r>
        <w:rPr>
          <w:rFonts w:hint="default" w:ascii="Times New Roman" w:hAnsi="Times New Roman" w:eastAsia="方正仿宋_GBK" w:cs="Times New Roman"/>
        </w:rPr>
        <w:t>“一核两带”生产力空间布局，充分发挥易门特色优势，大力引进与当地优势对接融合的高水平标志性产业项目，实现“一核提升、两带聚集”的区域合作和招商引资重点空间，引进一批投资大、水平高、辐射强的重大项目，促进资源配置由按行政区域配置向经济区域配置转变。</w:t>
      </w:r>
    </w:p>
    <w:p>
      <w:pPr>
        <w:pStyle w:val="39"/>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1.“一核”提升。</w:t>
      </w:r>
      <w:r>
        <w:rPr>
          <w:rFonts w:hint="default" w:ascii="Times New Roman" w:hAnsi="Times New Roman" w:eastAsia="方正仿宋_GBK" w:cs="Times New Roman"/>
          <w:sz w:val="32"/>
          <w:szCs w:val="32"/>
        </w:rPr>
        <w:t>聚焦龙泉、六街、浦贝、工业园区的一体化发展，围绕资源型产业转型升级和产业融合、产城融合、城乡融合等重点，突出有色金属、新型建材、生物资源加工、现代服务业等产业链的完善，围绕新型城镇化、美丽县城、滇中菌乡山水公园城、西南循环经济科创城的打造和人民生活日益增长的物质精神需求，加快科学招商，培育和壮大一批特色鲜明、竞争力强、产业体系完备、协作配套紧密、经济外向程度高、规模大、实力强的产业集群，引领全县招商引资工作加快发展。</w:t>
      </w:r>
    </w:p>
    <w:p>
      <w:pPr>
        <w:pStyle w:val="39"/>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2.“两带”聚集。</w:t>
      </w:r>
      <w:r>
        <w:rPr>
          <w:rFonts w:hint="default" w:ascii="Times New Roman" w:hAnsi="Times New Roman" w:eastAsia="方正仿宋_GBK" w:cs="Times New Roman"/>
          <w:sz w:val="32"/>
          <w:szCs w:val="32"/>
        </w:rPr>
        <w:t>以绿汁、十街为重点，发挥红河谷—绿汁江热区资源优势，打造热区经济产业带。以铜厂、小街为重点，利用山地、森林等资源优势，打造山区经济产业带。通过招商引资和区域合作，构建多元产业协调发展平台的空间发展战略，助推“两带”互动，促进多元产业协调一体发展。</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eastAsia="方正仿宋_GBK" w:cs="Times New Roman"/>
          <w:szCs w:val="32"/>
        </w:rPr>
        <w:t>热区经济产业带。</w:t>
      </w:r>
      <w:r>
        <w:rPr>
          <w:rFonts w:hint="default" w:ascii="Times New Roman" w:hAnsi="Times New Roman" w:eastAsia="方正仿宋_GBK" w:cs="Times New Roman"/>
          <w:color w:val="000000"/>
          <w:spacing w:val="4"/>
          <w:szCs w:val="32"/>
        </w:rPr>
        <w:t>利用热区生物资源和旅游资源、城乡一体化进程加速的优势，以绿汁为中心，带动十街协同发展，重点引进生态旅游、民俗旅游、商贸物流、农特产品生产加工、现代中药制药等为主的农业、商贸、文旅、物流产业项目。</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cs="Times New Roman"/>
          <w:color w:val="000000"/>
          <w:spacing w:val="4"/>
          <w:szCs w:val="32"/>
        </w:rPr>
      </w:pPr>
      <w:r>
        <w:rPr>
          <w:rFonts w:hint="default" w:ascii="Times New Roman" w:hAnsi="Times New Roman" w:eastAsia="方正仿宋_GBK" w:cs="Times New Roman"/>
          <w:color w:val="000000"/>
          <w:spacing w:val="4"/>
          <w:szCs w:val="32"/>
        </w:rPr>
        <w:t>——山区经济产业带。利用山地、森林等资源优势，以铜厂为中心，辐射带动小街协同发展，重点引进文化旅游、食用菌、林果、林药、生态循环产业等为主的特色优势产业项目。</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1" w:name="_Toc16410"/>
      <w:r>
        <w:rPr>
          <w:rFonts w:hint="default" w:ascii="Times New Roman" w:hAnsi="Times New Roman" w:eastAsia="方正楷体_GBK" w:cs="Times New Roman"/>
          <w:lang w:val="en-US"/>
        </w:rPr>
        <w:t>（二）</w:t>
      </w:r>
      <w:r>
        <w:rPr>
          <w:rFonts w:hint="default" w:ascii="Times New Roman" w:hAnsi="Times New Roman" w:eastAsia="方正楷体_GBK" w:cs="Times New Roman"/>
          <w:lang w:val="en-US" w:eastAsia="zh-CN"/>
        </w:rPr>
        <w:t>尽快</w:t>
      </w:r>
      <w:r>
        <w:rPr>
          <w:rFonts w:hint="default" w:ascii="Times New Roman" w:hAnsi="Times New Roman" w:eastAsia="方正楷体_GBK" w:cs="Times New Roman"/>
          <w:lang w:val="en-US"/>
        </w:rPr>
        <w:t>提升基础设施的支撑保障</w:t>
      </w:r>
      <w:bookmarkEnd w:id="71"/>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color w:val="000000"/>
          <w:spacing w:val="4"/>
          <w:szCs w:val="32"/>
        </w:rPr>
      </w:pPr>
      <w:r>
        <w:rPr>
          <w:rFonts w:hint="default" w:ascii="Times New Roman" w:hAnsi="Times New Roman" w:eastAsia="方正仿宋_GBK" w:cs="Times New Roman"/>
          <w:color w:val="000000"/>
          <w:spacing w:val="4"/>
          <w:szCs w:val="32"/>
        </w:rPr>
        <w:t>抢抓国家深入实施新一轮西部大开发战略、支持西部地区改善基础设施条件的机遇，释放政策含金量，积极引导境内外各类企业、财团采用PPP模式高标准建设高速公路、轨道交通、航空等现代交通基础设施、水利基础设施、市政基础设施、能源基础设施、信息基础设施及新型基础设施，着力补齐短板，消除瓶颈制约，全面提升基础设施的支撑保障能力。</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专栏1 易门县“十四五”基础设施建设招商引资重点方向</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交通基础设施：</w:t>
            </w:r>
            <w:r>
              <w:rPr>
                <w:rFonts w:hint="default" w:ascii="Times New Roman" w:hAnsi="Times New Roman" w:eastAsia="方正仿宋_GBK" w:cs="Times New Roman"/>
                <w:b w:val="0"/>
                <w:bCs/>
                <w:sz w:val="28"/>
                <w:szCs w:val="24"/>
              </w:rPr>
              <w:t>重点引进社会资本参与易门—晋宁高速公路、易门—新平等高速公路的建设；G357国道（易门段）以及大军公路、易平公路等主要县乡道改造；县乡道瓶颈路段和断头路，工业园区、农业特色产业区和少数民族地区公路，出口路和联网路，便民桥建设。</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水利基础设施：</w:t>
            </w:r>
            <w:r>
              <w:rPr>
                <w:rFonts w:hint="default" w:ascii="Times New Roman" w:hAnsi="Times New Roman" w:eastAsia="方正仿宋_GBK" w:cs="Times New Roman"/>
                <w:b w:val="0"/>
                <w:bCs/>
                <w:sz w:val="28"/>
                <w:szCs w:val="24"/>
              </w:rPr>
              <w:t>重点引进社会资本参与城乡“一水两污”综合治理工程，城镇供水工程、农村供水工程、农田水利工程防洪减灾工程建设。</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能源基础设施：</w:t>
            </w:r>
            <w:r>
              <w:rPr>
                <w:rFonts w:hint="default" w:ascii="Times New Roman" w:hAnsi="Times New Roman" w:eastAsia="方正仿宋_GBK" w:cs="Times New Roman"/>
                <w:b w:val="0"/>
                <w:bCs/>
                <w:sz w:val="28"/>
                <w:szCs w:val="24"/>
              </w:rPr>
              <w:t>重点引进社会资本参与天然气管网项目，光伏、生物发电等新能源，加油站项目建设。</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信息基础设施：</w:t>
            </w:r>
            <w:r>
              <w:rPr>
                <w:rFonts w:hint="default" w:ascii="Times New Roman" w:hAnsi="Times New Roman" w:eastAsia="方正仿宋_GBK" w:cs="Times New Roman"/>
                <w:b w:val="0"/>
                <w:bCs/>
                <w:sz w:val="28"/>
                <w:szCs w:val="24"/>
              </w:rPr>
              <w:t>重点引进社会资本参与高标准的数字信息基础设施建设，推进数字技术广泛应用，构建智慧城市公共管理平台和支撑服务体系。</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市政基础设施</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b w:val="0"/>
                <w:bCs/>
                <w:sz w:val="28"/>
                <w:szCs w:val="24"/>
              </w:rPr>
              <w:t>重点引进社会资本参与市政地下管网，城市供排水防涝和防洪设施，公园配套服务设施，停车设施，社区服务设施等项目建设。</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sz w:val="28"/>
              </w:rPr>
              <w:t>园区基础设施</w:t>
            </w:r>
            <w:r>
              <w:rPr>
                <w:rFonts w:hint="default" w:ascii="Times New Roman" w:hAnsi="Times New Roman" w:eastAsia="方正仿宋_GBK" w:cs="Times New Roman"/>
                <w:bCs/>
                <w:sz w:val="28"/>
              </w:rPr>
              <w:t>：重点引进社会资本参与 “</w:t>
            </w:r>
            <w:r>
              <w:rPr>
                <w:rFonts w:hint="default" w:ascii="Times New Roman" w:hAnsi="Times New Roman" w:eastAsia="方正仿宋_GBK" w:cs="Times New Roman"/>
                <w:bCs/>
                <w:sz w:val="28"/>
                <w:lang w:eastAsia="zh-CN"/>
              </w:rPr>
              <w:t>七</w:t>
            </w:r>
            <w:r>
              <w:rPr>
                <w:rFonts w:hint="default" w:ascii="Times New Roman" w:hAnsi="Times New Roman" w:eastAsia="方正仿宋_GBK" w:cs="Times New Roman"/>
                <w:bCs/>
                <w:sz w:val="28"/>
              </w:rPr>
              <w:t>通一平”工程、标准化厂房工程及公共服务设施建设。</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2" w:name="_Toc29874"/>
      <w:r>
        <w:rPr>
          <w:rFonts w:hint="default" w:ascii="Times New Roman" w:hAnsi="Times New Roman" w:eastAsia="方正楷体_GBK" w:cs="Times New Roman"/>
          <w:lang w:val="en-US"/>
        </w:rPr>
        <w:t>（三）推动高原特色</w:t>
      </w:r>
      <w:r>
        <w:rPr>
          <w:rFonts w:hint="default" w:ascii="Times New Roman" w:hAnsi="Times New Roman" w:eastAsia="方正楷体_GBK" w:cs="Times New Roman"/>
          <w:lang w:val="en-US" w:eastAsia="zh-CN"/>
        </w:rPr>
        <w:t>现代</w:t>
      </w:r>
      <w:r>
        <w:rPr>
          <w:rFonts w:hint="default" w:ascii="Times New Roman" w:hAnsi="Times New Roman" w:eastAsia="方正楷体_GBK" w:cs="Times New Roman"/>
          <w:lang w:val="en-US"/>
        </w:rPr>
        <w:t>农业发展</w:t>
      </w:r>
      <w:bookmarkEnd w:id="72"/>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szCs w:val="32"/>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szCs w:val="32"/>
          <w:lang w:eastAsia="zh-CN"/>
        </w:rPr>
        <w:t>围绕把易门高原特色现代农业打造成为总产值达100亿元以上的目标和</w:t>
      </w:r>
      <w:r>
        <w:rPr>
          <w:rFonts w:hint="default" w:ascii="Times New Roman" w:hAnsi="Times New Roman" w:eastAsia="方正仿宋_GBK" w:cs="Times New Roman"/>
          <w:szCs w:val="32"/>
          <w:lang w:val="en-US" w:eastAsia="zh-CN"/>
        </w:rPr>
        <w:t>构建</w:t>
      </w:r>
      <w:r>
        <w:rPr>
          <w:rFonts w:hint="default" w:ascii="Times New Roman" w:hAnsi="Times New Roman" w:eastAsia="方正仿宋_GBK" w:cs="Times New Roman"/>
          <w:szCs w:val="32"/>
          <w:lang w:eastAsia="zh-CN"/>
        </w:rPr>
        <w:t>“6+N”产业体系、做大做强食品加工业、不断扩大农业对外开放</w:t>
      </w:r>
      <w:r>
        <w:rPr>
          <w:rFonts w:hint="default" w:ascii="Times New Roman" w:hAnsi="Times New Roman" w:eastAsia="方正仿宋_GBK" w:cs="Times New Roman"/>
          <w:szCs w:val="32"/>
          <w:lang w:val="en-US" w:eastAsia="zh-CN"/>
        </w:rPr>
        <w:t>的重点任务</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以乡村振兴战略为总抓手，</w:t>
      </w:r>
      <w:r>
        <w:rPr>
          <w:rFonts w:hint="default" w:ascii="Times New Roman" w:hAnsi="Times New Roman" w:eastAsia="方正仿宋_GBK" w:cs="Times New Roman"/>
          <w:kern w:val="0"/>
          <w:szCs w:val="32"/>
        </w:rPr>
        <w:t>抓住云南打造世界一流“绿色食品牌”机遇，</w:t>
      </w:r>
      <w:r>
        <w:rPr>
          <w:rFonts w:hint="default" w:ascii="Times New Roman" w:hAnsi="Times New Roman" w:eastAsia="方正仿宋_GBK" w:cs="Times New Roman"/>
          <w:szCs w:val="32"/>
        </w:rPr>
        <w:t>以安宁、晋宁、双柏、禄丰为合作重点，拓展农业合作领域，发展高产、优质、高效、生态农业，促进农产品生产向优势产区集中，实现专业化、规模化和基地化，培育新型农业生产经营和服务主体，构建区域共享的农业服务体系，建成特色农产品生产与加工基地。</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专栏2 易门县“十四五”高原特色现代农业区域合作重点方向</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sz w:val="28"/>
                <w:szCs w:val="24"/>
                <w:lang w:val="en-US" w:eastAsia="zh-CN"/>
              </w:rPr>
              <w:t>一是</w:t>
            </w:r>
            <w:r>
              <w:rPr>
                <w:rFonts w:hint="default" w:ascii="Times New Roman" w:hAnsi="Times New Roman" w:eastAsia="方正仿宋_GBK" w:cs="Times New Roman"/>
                <w:sz w:val="28"/>
                <w:szCs w:val="24"/>
              </w:rPr>
              <w:t>共建优势农产品生产加工基地</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b w:val="0"/>
                <w:bCs/>
                <w:sz w:val="28"/>
                <w:szCs w:val="28"/>
              </w:rPr>
              <w:t>实施“区域化布局、规模化种植、标准化生产、品牌化销售、公司化经营”</w:t>
            </w:r>
            <w:r>
              <w:rPr>
                <w:rFonts w:hint="default" w:ascii="Times New Roman" w:hAnsi="Times New Roman" w:eastAsia="方正仿宋_GBK" w:cs="Times New Roman"/>
                <w:b w:val="0"/>
                <w:bCs/>
                <w:sz w:val="28"/>
                <w:szCs w:val="28"/>
                <w:lang w:val="en-US" w:eastAsia="zh-CN"/>
              </w:rPr>
              <w:t>发展策略</w:t>
            </w:r>
            <w:r>
              <w:rPr>
                <w:rFonts w:hint="default" w:ascii="Times New Roman" w:hAnsi="Times New Roman" w:eastAsia="方正仿宋_GBK" w:cs="Times New Roman"/>
                <w:b w:val="0"/>
                <w:bCs/>
                <w:sz w:val="28"/>
                <w:szCs w:val="28"/>
              </w:rPr>
              <w:t>，按照培育壮大农产品加工龙头企业，鼓励和支持农民专业合作社发展，重点联合推进食用菌、畜牧业等农产品生产加工基地建设。</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sz w:val="28"/>
                <w:szCs w:val="24"/>
                <w:lang w:val="en-US" w:eastAsia="zh-CN"/>
              </w:rPr>
              <w:t>二是</w:t>
            </w:r>
            <w:r>
              <w:rPr>
                <w:rFonts w:hint="default" w:ascii="Times New Roman" w:hAnsi="Times New Roman" w:eastAsia="方正仿宋_GBK" w:cs="Times New Roman"/>
                <w:sz w:val="28"/>
                <w:szCs w:val="24"/>
              </w:rPr>
              <w:t>完善区域农业社会化服务体系</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b w:val="0"/>
                <w:bCs/>
                <w:sz w:val="28"/>
                <w:szCs w:val="28"/>
              </w:rPr>
              <w:t>开展区域农业科技推广和交流，加强农机跨区作业协调合作。加强农业科研领域合作，整合建立区域性农业科技创新技术平台。加强联合协作，培育发展壮大优势农产品加工龙头企业。开辟区域农产品“绿色通道”，支持建立农业龙头企业对接机制，加强农业科技开发、特色农业开发，以及农产品生产、加工、销售的合作。</w:t>
            </w:r>
            <w:r>
              <w:rPr>
                <w:rFonts w:hint="default" w:ascii="Times New Roman" w:hAnsi="Times New Roman" w:eastAsia="方正仿宋_GBK" w:cs="Times New Roman"/>
                <w:b w:val="0"/>
                <w:bCs/>
                <w:kern w:val="0"/>
                <w:sz w:val="28"/>
                <w:szCs w:val="28"/>
              </w:rPr>
              <w:t>充分发挥“滇中水城·菌乡易门”和“中国野生食用菌交易中心”品牌效应，继续举办好“中国云南野生食用菌交易会”，</w:t>
            </w:r>
            <w:r>
              <w:rPr>
                <w:rFonts w:hint="default" w:ascii="Times New Roman" w:hAnsi="Times New Roman" w:eastAsia="方正仿宋_GBK" w:cs="Times New Roman"/>
                <w:b w:val="0"/>
                <w:bCs/>
                <w:sz w:val="28"/>
                <w:szCs w:val="28"/>
              </w:rPr>
              <w:t>整合农产品交易市场和农产品电子交易中心，完善市场信息咨询、代购代销和储运配送等服务功能。</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sz w:val="28"/>
                <w:szCs w:val="24"/>
                <w:lang w:val="en-US" w:eastAsia="zh-CN"/>
              </w:rPr>
              <w:t>三是</w:t>
            </w:r>
            <w:r>
              <w:rPr>
                <w:rFonts w:hint="default" w:ascii="Times New Roman" w:hAnsi="Times New Roman" w:eastAsia="方正仿宋_GBK" w:cs="Times New Roman"/>
                <w:sz w:val="28"/>
                <w:szCs w:val="24"/>
              </w:rPr>
              <w:t>加强农产品质量安全和农业信息服务合作</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b w:val="0"/>
                <w:bCs/>
                <w:sz w:val="28"/>
                <w:szCs w:val="28"/>
              </w:rPr>
              <w:t>加快建立区域间食用农产品产地准出和市场准入管理的衔接机制，共同建设区域性农产品质量安全检验检测中心。加大食品安全检验检测力度，提高食品安全检验检测信息共享水平。联合建立农作物生产远程监控与诊断管理中心，形成重大动植物疫病应急防控机制。加强区域联合植保，实施绿色防控。整合区域内各类农业信息资源，建立统一的农业信息交流平台，加快农业地理数据库建设，形成农业综合信息网络服务体系。</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sz w:val="28"/>
                <w:szCs w:val="24"/>
                <w:lang w:val="en-US" w:eastAsia="zh-CN"/>
              </w:rPr>
              <w:t>四是</w:t>
            </w:r>
            <w:r>
              <w:rPr>
                <w:rFonts w:hint="default" w:ascii="Times New Roman" w:hAnsi="Times New Roman" w:eastAsia="方正仿宋_GBK" w:cs="Times New Roman"/>
                <w:sz w:val="28"/>
                <w:szCs w:val="24"/>
              </w:rPr>
              <w:t>构建区域农产品流通体系</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b w:val="0"/>
                <w:bCs/>
                <w:sz w:val="28"/>
                <w:szCs w:val="28"/>
              </w:rPr>
              <w:t>完善农资配送网络，加强仓储、运输、冷藏、包装等流通设施建设，提升流通现代化水平。积极推动农超对接、农校对接、农批对接等多种形式的产销衔接，争取大中型企事业单位在易门建立生产加工基地，减少流通环节，降低流通成本。拓展物流配送服务功能，增强加工、冷链、配送等综合服务能力，鼓励利用互联网、物联网等先进信息技术，拓展线上交易和线下物流终端配送增值服务，培育一批专业化农产品交易物流服务企业。在滇中地区推广应用冷链新技术、新产品，有效解决冷链“断链”问题。开展农产品流通国际合作，提高流通国际化水平。重点加强与东盟等国在农产品流通体系建设方面的交流合作。</w:t>
            </w:r>
          </w:p>
        </w:tc>
      </w:tr>
    </w:tbl>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2.招商引资重点。</w:t>
      </w:r>
      <w:r>
        <w:rPr>
          <w:rFonts w:hint="default" w:ascii="Times New Roman" w:hAnsi="Times New Roman" w:eastAsia="方正仿宋_GBK" w:cs="Times New Roman"/>
          <w:lang w:val="en-US" w:eastAsia="zh-CN"/>
        </w:rPr>
        <w:t>按照“大产业+新主体+新平台”发展模式和“科研+ 种养+加工+流通”全产业链发展思路，</w:t>
      </w:r>
      <w:r>
        <w:rPr>
          <w:rFonts w:hint="default" w:ascii="Times New Roman" w:hAnsi="Times New Roman" w:eastAsia="方正仿宋_GBK" w:cs="Times New Roman"/>
        </w:rPr>
        <w:t>立足易门农业资源和优势产业基础，重点突出</w:t>
      </w:r>
      <w:r>
        <w:rPr>
          <w:rFonts w:hint="default" w:ascii="Times New Roman" w:hAnsi="Times New Roman" w:eastAsia="方正仿宋_GBK" w:cs="Times New Roman"/>
          <w:lang w:val="en-US" w:eastAsia="zh-CN"/>
        </w:rPr>
        <w:t>各大农业</w:t>
      </w:r>
      <w:r>
        <w:rPr>
          <w:rFonts w:hint="default" w:ascii="Times New Roman" w:hAnsi="Times New Roman" w:eastAsia="方正仿宋_GBK" w:cs="Times New Roman"/>
        </w:rPr>
        <w:t>产业链关键环节、缺失环节、薄弱环节、创新环节的招商引资</w:t>
      </w:r>
      <w:r>
        <w:rPr>
          <w:rFonts w:hint="default" w:ascii="Times New Roman" w:hAnsi="Times New Roman" w:eastAsia="方正仿宋_GBK" w:cs="Times New Roman"/>
          <w:lang w:eastAsia="zh-CN"/>
        </w:rPr>
        <w:t>。</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专栏3 易门县“十四五”高原特色现代农业招商引资重点方向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一是</w:t>
            </w:r>
            <w:r>
              <w:rPr>
                <w:rFonts w:hint="default" w:ascii="Times New Roman" w:hAnsi="Times New Roman" w:eastAsia="方正仿宋_GBK" w:cs="Times New Roman"/>
                <w:b w:val="0"/>
                <w:bCs/>
                <w:sz w:val="28"/>
                <w:szCs w:val="24"/>
              </w:rPr>
              <w:t>立足做强“云菌”产业，引入培育规模化食用菌种植企业，指导、引导企业开展食用菌精深加工、特色产品研发，争取打造1至2个国家级品牌；招引特色农产品深加工企业，全力打造以核桃、水果为主的产品品牌，争取培育10个左右的省级品牌或商标产品，带动农业种植业标准化、规模化发展，推动形成完善的现代农业产业链。</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二是</w:t>
            </w:r>
            <w:r>
              <w:rPr>
                <w:rFonts w:hint="default" w:ascii="Times New Roman" w:hAnsi="Times New Roman" w:eastAsia="方正仿宋_GBK" w:cs="Times New Roman"/>
                <w:b w:val="0"/>
                <w:bCs/>
                <w:sz w:val="28"/>
                <w:szCs w:val="24"/>
              </w:rPr>
              <w:t>积极引入农业产业企业，以水果、花卉、中药材等经济作物为主攻方向，大力发展小浆果（树莓、蓝莓、草莓）、花卉、中药材（重楼、黄精、金银花）等经济作物种植龙头企业，采取土地流转、订单农业等方式建设发展种植基地。引入新兴企业，大力发展智慧农业、冷链物流和农村电子商务，盘活农产品的集散销售环节。</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sz w:val="28"/>
                <w:szCs w:val="24"/>
                <w:lang w:eastAsia="zh-CN"/>
              </w:rPr>
              <w:t>三</w:t>
            </w:r>
            <w:r>
              <w:rPr>
                <w:rFonts w:hint="default" w:ascii="Times New Roman" w:hAnsi="Times New Roman" w:eastAsia="方正仿宋_GBK" w:cs="Times New Roman"/>
                <w:sz w:val="28"/>
                <w:szCs w:val="24"/>
              </w:rPr>
              <w:t>是</w:t>
            </w:r>
            <w:r>
              <w:rPr>
                <w:rFonts w:hint="default" w:ascii="Times New Roman" w:hAnsi="Times New Roman" w:eastAsia="方正仿宋_GBK" w:cs="Times New Roman"/>
                <w:b w:val="0"/>
                <w:bCs/>
                <w:sz w:val="28"/>
                <w:szCs w:val="24"/>
              </w:rPr>
              <w:t>以生猪和家禽两个重点，积极推进规模化、标准化养殖产业，积极推广种养结合循环养殖模式；延伸畜牧产业链条。</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eastAsia="zh-CN"/>
        </w:rPr>
      </w:pPr>
      <w:bookmarkStart w:id="73" w:name="_Toc15267"/>
      <w:r>
        <w:rPr>
          <w:rFonts w:hint="default" w:ascii="Times New Roman" w:hAnsi="Times New Roman" w:eastAsia="方正楷体_GBK" w:cs="Times New Roman"/>
          <w:lang w:val="en-US" w:eastAsia="zh-CN"/>
        </w:rPr>
        <w:t>（四）推进有色金属产业链条延伸</w:t>
      </w:r>
      <w:bookmarkEnd w:id="73"/>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cs="Times New Roman"/>
          <w:lang w:val="en-US" w:eastAsia="zh-CN"/>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lang w:val="en-US" w:eastAsia="zh-CN"/>
        </w:rPr>
        <w:t>围绕把易门打造为中国“铂都”、全国循环经济产业示范基地的总体目标，坚持“有序发展、精深加工、循环利用、持续发展”的方向，以质量和效益为核心，以技术创新为驱动力，加快推进有色金属产业链条延伸，支持企业转型升级，推进有色金属产业向高端化迈进，强化与周边区域的资源合作，与滇中新区、中东部地区的技术、人才、市场合作。</w:t>
      </w:r>
    </w:p>
    <w:tbl>
      <w:tblPr>
        <w:tblStyle w:val="21"/>
        <w:tblpPr w:leftFromText="180" w:rightFromText="180" w:vertAnchor="text" w:horzAnchor="page" w:tblpX="1451" w:tblpY="35"/>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4</w:t>
            </w:r>
            <w:r>
              <w:rPr>
                <w:rFonts w:hint="default" w:ascii="Times New Roman" w:hAnsi="Times New Roman" w:eastAsia="方正黑体_GBK" w:cs="Times New Roman"/>
                <w:b/>
                <w:bCs/>
                <w:sz w:val="30"/>
                <w:szCs w:val="30"/>
              </w:rPr>
              <w:t xml:space="preserve"> 易门县“十四五”</w:t>
            </w:r>
            <w:r>
              <w:rPr>
                <w:rFonts w:hint="default" w:ascii="Times New Roman" w:hAnsi="Times New Roman" w:eastAsia="方正黑体_GBK" w:cs="Times New Roman"/>
                <w:b/>
                <w:bCs/>
                <w:sz w:val="30"/>
                <w:szCs w:val="30"/>
                <w:lang w:val="en-US" w:eastAsia="zh-CN"/>
              </w:rPr>
              <w:t>有色金属产业</w:t>
            </w:r>
            <w:r>
              <w:rPr>
                <w:rFonts w:hint="default" w:ascii="Times New Roman" w:hAnsi="Times New Roman" w:eastAsia="方正黑体_GBK" w:cs="Times New Roman"/>
                <w:b/>
                <w:bCs/>
                <w:sz w:val="30"/>
                <w:szCs w:val="30"/>
              </w:rPr>
              <w:t>区域合作重点方向</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lang w:val="en-US" w:eastAsia="zh-CN"/>
              </w:rPr>
              <w:t>一</w:t>
            </w:r>
            <w:r>
              <w:rPr>
                <w:rFonts w:hint="default" w:ascii="Times New Roman" w:hAnsi="Times New Roman" w:cs="Times New Roman"/>
                <w:b/>
                <w:bCs/>
                <w:sz w:val="28"/>
                <w:szCs w:val="28"/>
                <w:lang w:val="en-US" w:eastAsia="zh-CN"/>
              </w:rPr>
              <w:t>是</w:t>
            </w:r>
            <w:r>
              <w:rPr>
                <w:rFonts w:hint="default" w:ascii="Times New Roman" w:hAnsi="Times New Roman" w:eastAsia="方正仿宋_GBK" w:cs="Times New Roman"/>
                <w:b/>
                <w:bCs/>
                <w:sz w:val="28"/>
                <w:szCs w:val="28"/>
              </w:rPr>
              <w:t>延长易门铜产业链</w:t>
            </w:r>
            <w:r>
              <w:rPr>
                <w:rFonts w:hint="default" w:ascii="Times New Roman" w:hAnsi="Times New Roman" w:cs="Times New Roman"/>
                <w:b/>
                <w:bCs/>
                <w:sz w:val="28"/>
                <w:szCs w:val="28"/>
                <w:lang w:eastAsia="zh-CN"/>
              </w:rPr>
              <w:t>。</w:t>
            </w:r>
            <w:r>
              <w:rPr>
                <w:rFonts w:hint="default" w:ascii="Times New Roman" w:hAnsi="Times New Roman" w:eastAsia="方正仿宋_GBK" w:cs="Times New Roman"/>
                <w:sz w:val="28"/>
                <w:szCs w:val="28"/>
              </w:rPr>
              <w:t>依托易门铜业、滇中新区西区钢铁、钛产业等基础，重点打造铜基新材料及下游产品产业链、铁基新材料及高档精品钢材产业链、钛基新材料产业链。延伸铜箔、铜带、铜杆、铜管、铜线等下游产业，重点发展特种电缆、精密铜板带材、电机用高效节能铜转子、高铁用铜合金导线等，产业布置重点区域为大椿树循环经济产业片区。</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lang w:val="en-US" w:eastAsia="zh-CN"/>
              </w:rPr>
              <w:t>二</w:t>
            </w:r>
            <w:r>
              <w:rPr>
                <w:rFonts w:hint="default" w:ascii="Times New Roman" w:hAnsi="Times New Roman" w:cs="Times New Roman"/>
                <w:b/>
                <w:bCs/>
                <w:sz w:val="28"/>
                <w:szCs w:val="28"/>
                <w:lang w:val="en-US" w:eastAsia="zh-CN"/>
              </w:rPr>
              <w:t>是</w:t>
            </w:r>
            <w:r>
              <w:rPr>
                <w:rFonts w:hint="default" w:ascii="Times New Roman" w:hAnsi="Times New Roman" w:eastAsia="方正仿宋_GBK" w:cs="Times New Roman"/>
                <w:b/>
                <w:bCs/>
                <w:sz w:val="28"/>
                <w:szCs w:val="28"/>
              </w:rPr>
              <w:t>提升强化冶金产业链</w:t>
            </w:r>
            <w:r>
              <w:rPr>
                <w:rFonts w:hint="default" w:ascii="Times New Roman" w:hAnsi="Times New Roman" w:cs="Times New Roman"/>
                <w:b/>
                <w:bCs/>
                <w:sz w:val="28"/>
                <w:szCs w:val="28"/>
                <w:lang w:eastAsia="zh-CN"/>
              </w:rPr>
              <w:t>。</w:t>
            </w:r>
            <w:r>
              <w:rPr>
                <w:rFonts w:hint="default" w:ascii="Times New Roman" w:hAnsi="Times New Roman" w:eastAsia="方正仿宋_GBK" w:cs="Times New Roman"/>
                <w:sz w:val="28"/>
                <w:szCs w:val="28"/>
              </w:rPr>
              <w:t>依托贵研铂业，提升铂、钯等稀贵金属再生利用规模，形成涵盖采矿、冶炼、延压、深加工完整产业链的有色金属产业体系。</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sz w:val="28"/>
                <w:szCs w:val="28"/>
              </w:rPr>
              <w:t>三</w:t>
            </w:r>
            <w:r>
              <w:rPr>
                <w:rFonts w:hint="default" w:ascii="Times New Roman" w:hAnsi="Times New Roman" w:cs="Times New Roman"/>
                <w:b/>
                <w:bCs/>
                <w:sz w:val="28"/>
                <w:szCs w:val="28"/>
                <w:lang w:val="en-US" w:eastAsia="zh-CN"/>
              </w:rPr>
              <w:t>是</w:t>
            </w:r>
            <w:r>
              <w:rPr>
                <w:rFonts w:hint="default" w:ascii="Times New Roman" w:hAnsi="Times New Roman" w:eastAsia="方正仿宋_GBK" w:cs="Times New Roman"/>
                <w:b/>
                <w:bCs/>
                <w:sz w:val="28"/>
                <w:szCs w:val="28"/>
              </w:rPr>
              <w:t>加快装备制造业发展</w:t>
            </w:r>
            <w:r>
              <w:rPr>
                <w:rFonts w:hint="default" w:ascii="Times New Roman" w:hAnsi="Times New Roman" w:cs="Times New Roman"/>
                <w:b/>
                <w:bCs/>
                <w:sz w:val="28"/>
                <w:szCs w:val="28"/>
                <w:lang w:eastAsia="zh-CN"/>
              </w:rPr>
              <w:t>。</w:t>
            </w:r>
            <w:r>
              <w:rPr>
                <w:rFonts w:hint="default" w:ascii="Times New Roman" w:hAnsi="Times New Roman" w:eastAsia="方正仿宋_GBK" w:cs="Times New Roman"/>
                <w:sz w:val="28"/>
                <w:szCs w:val="28"/>
                <w:lang w:val="en-US" w:eastAsia="zh-CN"/>
              </w:rPr>
              <w:t>依托果岭（易门）装备制造产业园，主动承接中东部产业转移，积极参与区域协作，引进、培育、发展矿冶成套装备、现代农业机械、五金机电、自动化物流装备等特色装备制造业。</w:t>
            </w:r>
          </w:p>
        </w:tc>
      </w:tr>
    </w:tbl>
    <w:p>
      <w:pPr>
        <w:keepNext w:val="0"/>
        <w:keepLines w:val="0"/>
        <w:pageBreakBefore w:val="0"/>
        <w:widowControl w:val="0"/>
        <w:kinsoku/>
        <w:wordWrap/>
        <w:overflowPunct/>
        <w:topLinePunct w:val="0"/>
        <w:bidi w:val="0"/>
        <w:adjustRightInd/>
        <w:snapToGrid/>
        <w:rPr>
          <w:rFonts w:hint="default" w:ascii="Times New Roman" w:hAnsi="Times New Roman" w:cs="Times New Roman"/>
        </w:rPr>
      </w:pPr>
      <w:r>
        <w:rPr>
          <w:rFonts w:hint="default" w:ascii="Times New Roman" w:hAnsi="Times New Roman" w:cs="Times New Roman"/>
          <w:b/>
          <w:bCs/>
        </w:rPr>
        <w:t>2.招商引资重点。</w:t>
      </w:r>
      <w:r>
        <w:rPr>
          <w:rFonts w:hint="default" w:ascii="Times New Roman" w:hAnsi="Times New Roman" w:cs="Times New Roman"/>
          <w:b w:val="0"/>
          <w:bCs w:val="0"/>
          <w:lang w:val="en-US" w:eastAsia="zh-CN"/>
        </w:rPr>
        <w:t>围绕易门构建铜和贵研资源项目发展两条有色金属产业链，</w:t>
      </w:r>
      <w:r>
        <w:rPr>
          <w:rFonts w:hint="default" w:ascii="Times New Roman" w:hAnsi="Times New Roman" w:cs="Times New Roman"/>
          <w:b w:val="0"/>
          <w:bCs w:val="0"/>
        </w:rPr>
        <w:t>瞄准</w:t>
      </w:r>
      <w:r>
        <w:rPr>
          <w:rFonts w:hint="default" w:ascii="Times New Roman" w:hAnsi="Times New Roman" w:cs="Times New Roman"/>
          <w:b w:val="0"/>
          <w:bCs w:val="0"/>
          <w:lang w:val="en-US" w:eastAsia="zh-CN"/>
        </w:rPr>
        <w:t>国内外有色金属</w:t>
      </w:r>
      <w:r>
        <w:rPr>
          <w:rFonts w:hint="default" w:ascii="Times New Roman" w:hAnsi="Times New Roman" w:cs="Times New Roman"/>
          <w:b w:val="0"/>
          <w:bCs w:val="0"/>
        </w:rPr>
        <w:t>产业集群</w:t>
      </w:r>
      <w:r>
        <w:rPr>
          <w:rFonts w:hint="default" w:ascii="Times New Roman" w:hAnsi="Times New Roman" w:cs="Times New Roman"/>
          <w:b w:val="0"/>
          <w:bCs w:val="0"/>
          <w:lang w:eastAsia="zh-CN"/>
        </w:rPr>
        <w:t>，</w:t>
      </w:r>
      <w:r>
        <w:rPr>
          <w:rFonts w:hint="default" w:ascii="Times New Roman" w:hAnsi="Times New Roman" w:cs="Times New Roman"/>
          <w:b w:val="0"/>
          <w:bCs w:val="0"/>
        </w:rPr>
        <w:t>扩链、补链、延链、强链，加大产业链上下游企业的招商力度。</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5</w:t>
            </w:r>
            <w:r>
              <w:rPr>
                <w:rFonts w:hint="default" w:ascii="Times New Roman" w:hAnsi="Times New Roman" w:eastAsia="方正黑体_GBK" w:cs="Times New Roman"/>
                <w:b/>
                <w:bCs/>
                <w:sz w:val="30"/>
                <w:szCs w:val="30"/>
              </w:rPr>
              <w:t xml:space="preserve"> 易门县“十四五”有色金属产业招商引资重点方向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sz w:val="28"/>
                <w:szCs w:val="24"/>
              </w:rPr>
              <w:t>一是</w:t>
            </w:r>
            <w:r>
              <w:rPr>
                <w:rFonts w:hint="default" w:ascii="Times New Roman" w:hAnsi="Times New Roman" w:eastAsia="方正仿宋_GBK" w:cs="Times New Roman"/>
                <w:b w:val="0"/>
                <w:bCs/>
                <w:sz w:val="28"/>
                <w:szCs w:val="24"/>
              </w:rPr>
              <w:t>重点引进铜基新材料及铜箔、铜带、铜杆、铜管、铜线等下游生产企业，发展特种电缆、精密铜板带材、电机用高效节能铜转子、高铁用铜合金导线等产品和业态，大力引进二次铜资源综合回收利用的大企业。</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cs="Times New Roman"/>
                <w:b w:val="0"/>
                <w:bCs/>
                <w:sz w:val="28"/>
                <w:szCs w:val="24"/>
                <w:lang w:val="en-US" w:eastAsia="zh-CN"/>
              </w:rPr>
              <w:t>二是重点</w:t>
            </w:r>
            <w:r>
              <w:rPr>
                <w:rFonts w:hint="default" w:ascii="Times New Roman" w:hAnsi="Times New Roman" w:eastAsia="方正仿宋_GBK" w:cs="Times New Roman"/>
                <w:b w:val="0"/>
                <w:bCs/>
                <w:sz w:val="28"/>
                <w:szCs w:val="24"/>
              </w:rPr>
              <w:t>引进与贵研资源公司配套的企业，提升铂、钯等稀贵金属再生利用规模，发展超高性能稀土永磁材料、稀土发光材料、高纯稀有金属及靶材，推进汽车尾气催化剂项目产能提升，打造有色金属产业集群。</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sz w:val="28"/>
                <w:szCs w:val="22"/>
                <w:lang w:eastAsia="zh-CN"/>
              </w:rPr>
            </w:pPr>
            <w:r>
              <w:rPr>
                <w:rFonts w:hint="default" w:ascii="Times New Roman" w:hAnsi="Times New Roman" w:cs="Times New Roman"/>
                <w:sz w:val="28"/>
                <w:szCs w:val="24"/>
                <w:lang w:val="en-US" w:eastAsia="zh-CN"/>
              </w:rPr>
              <w:t>二</w:t>
            </w:r>
            <w:r>
              <w:rPr>
                <w:rFonts w:hint="default" w:ascii="Times New Roman" w:hAnsi="Times New Roman" w:eastAsia="方正仿宋_GBK" w:cs="Times New Roman"/>
                <w:sz w:val="28"/>
                <w:szCs w:val="24"/>
              </w:rPr>
              <w:t>是</w:t>
            </w:r>
            <w:r>
              <w:rPr>
                <w:rFonts w:hint="default" w:ascii="Times New Roman" w:hAnsi="Times New Roman" w:eastAsia="方正仿宋_GBK" w:cs="Times New Roman"/>
                <w:b w:val="0"/>
                <w:bCs/>
                <w:sz w:val="28"/>
                <w:szCs w:val="24"/>
              </w:rPr>
              <w:t>引进、培育重化矿冶成套装备、现代农业机械、五金机电、自动化物流装备等滇中地区需求较大的特色装备制造业。同时瞄准提升和改造传统装备制造业，打造为滇中地区重要的形成特色装备制造业聚集区</w:t>
            </w:r>
            <w:r>
              <w:rPr>
                <w:rFonts w:hint="default" w:ascii="Times New Roman" w:hAnsi="Times New Roman" w:cs="Times New Roman"/>
                <w:b w:val="0"/>
                <w:bCs/>
                <w:sz w:val="28"/>
                <w:szCs w:val="24"/>
                <w:lang w:eastAsia="zh-CN"/>
              </w:rPr>
              <w:t>。</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4" w:name="_Toc31761"/>
      <w:r>
        <w:rPr>
          <w:rFonts w:hint="default" w:ascii="Times New Roman" w:hAnsi="Times New Roman" w:eastAsia="方正楷体_GBK" w:cs="Times New Roman"/>
          <w:lang w:val="en-US" w:eastAsia="zh-CN"/>
        </w:rPr>
        <w:t>（五）高质量发展绿色建材业</w:t>
      </w:r>
      <w:bookmarkEnd w:id="74"/>
    </w:p>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b w:val="0"/>
          <w:bCs w:val="0"/>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lang w:val="en-US" w:eastAsia="zh-CN"/>
        </w:rPr>
        <w:t>围绕</w:t>
      </w:r>
      <w:r>
        <w:rPr>
          <w:rFonts w:hint="default" w:ascii="Times New Roman" w:hAnsi="Times New Roman" w:eastAsia="方正仿宋_GBK" w:cs="Times New Roman"/>
          <w:b w:val="0"/>
          <w:bCs w:val="0"/>
        </w:rPr>
        <w:t>把易门打造为西南重要的绿色建材生产基地</w:t>
      </w:r>
      <w:r>
        <w:rPr>
          <w:rFonts w:hint="default" w:ascii="Times New Roman" w:hAnsi="Times New Roman" w:eastAsia="方正仿宋_GBK" w:cs="Times New Roman"/>
          <w:b w:val="0"/>
          <w:bCs w:val="0"/>
          <w:lang w:val="en-US" w:eastAsia="zh-CN"/>
        </w:rPr>
        <w:t>的目标</w:t>
      </w:r>
      <w:r>
        <w:rPr>
          <w:rFonts w:hint="default" w:ascii="Times New Roman" w:hAnsi="Times New Roman" w:eastAsia="方正仿宋_GBK" w:cs="Times New Roman"/>
          <w:b w:val="0"/>
          <w:bCs w:val="0"/>
          <w:lang w:eastAsia="zh-CN"/>
        </w:rPr>
        <w:t>，</w:t>
      </w:r>
      <w:r>
        <w:rPr>
          <w:rFonts w:hint="default" w:ascii="Times New Roman" w:hAnsi="Times New Roman" w:eastAsia="方正仿宋_GBK" w:cs="Times New Roman"/>
          <w:b w:val="0"/>
          <w:bCs w:val="0"/>
        </w:rPr>
        <w:t>以绿色生产、循环利用、节能技改、提档升级为方向， 扩增量、优存量，推动以水泥、陶瓷为代表的建材产业高质量发展。</w:t>
      </w:r>
      <w:r>
        <w:rPr>
          <w:rFonts w:hint="default" w:ascii="Times New Roman" w:hAnsi="Times New Roman" w:eastAsia="方正仿宋_GBK" w:cs="Times New Roman"/>
          <w:b w:val="0"/>
          <w:bCs w:val="0"/>
          <w:lang w:val="en-US" w:eastAsia="zh-CN"/>
        </w:rPr>
        <w:t>重点加强与周边地区的资源、技术、人才、市场合作。</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 xml:space="preserve">6 </w:t>
            </w:r>
            <w:r>
              <w:rPr>
                <w:rFonts w:hint="default" w:ascii="Times New Roman" w:hAnsi="Times New Roman" w:eastAsia="方正黑体_GBK" w:cs="Times New Roman"/>
                <w:b/>
                <w:bCs/>
                <w:sz w:val="30"/>
                <w:szCs w:val="30"/>
              </w:rPr>
              <w:t>易门县“十四五”绿色建材业区域合作重点方向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b w:val="0"/>
                <w:bCs/>
                <w:sz w:val="28"/>
                <w:szCs w:val="24"/>
              </w:rPr>
              <w:t>抢抓滇中城市群以及滇中地区城市化、工业化进程的加快推进为水泥、工程塑料、陶瓷等建材行业带来巨大发展空间的机遇</w:t>
            </w:r>
            <w:r>
              <w:rPr>
                <w:rFonts w:hint="default" w:ascii="Times New Roman" w:hAnsi="Times New Roman" w:cs="Times New Roman"/>
                <w:b w:val="0"/>
                <w:bCs/>
                <w:sz w:val="28"/>
                <w:szCs w:val="24"/>
                <w:lang w:eastAsia="zh-CN"/>
              </w:rPr>
              <w:t>，</w:t>
            </w:r>
            <w:r>
              <w:rPr>
                <w:rFonts w:hint="default" w:ascii="Times New Roman" w:hAnsi="Times New Roman" w:cs="Times New Roman"/>
                <w:b w:val="0"/>
                <w:bCs/>
                <w:sz w:val="28"/>
                <w:szCs w:val="24"/>
                <w:lang w:val="en-US" w:eastAsia="zh-CN"/>
              </w:rPr>
              <w:t>加强区域合作</w:t>
            </w:r>
            <w:r>
              <w:rPr>
                <w:rFonts w:hint="default" w:ascii="Times New Roman" w:hAnsi="Times New Roman" w:eastAsia="方正仿宋_GBK" w:cs="Times New Roman"/>
                <w:b w:val="0"/>
                <w:bCs/>
                <w:sz w:val="28"/>
                <w:szCs w:val="24"/>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b/>
                <w:bCs w:val="0"/>
                <w:sz w:val="28"/>
                <w:szCs w:val="24"/>
              </w:rPr>
              <w:t>一是</w:t>
            </w:r>
            <w:r>
              <w:rPr>
                <w:rFonts w:hint="default" w:ascii="Times New Roman" w:hAnsi="Times New Roman" w:eastAsia="方正仿宋_GBK" w:cs="Times New Roman"/>
                <w:b w:val="0"/>
                <w:bCs/>
                <w:sz w:val="28"/>
                <w:szCs w:val="24"/>
              </w:rPr>
              <w:t>发挥易门及滇中地区瓷土矿、</w:t>
            </w:r>
            <w:r>
              <w:rPr>
                <w:rFonts w:hint="default" w:ascii="Times New Roman" w:hAnsi="Times New Roman" w:cs="Times New Roman"/>
                <w:b w:val="0"/>
                <w:bCs/>
                <w:sz w:val="28"/>
                <w:szCs w:val="24"/>
                <w:lang w:eastAsia="zh-CN"/>
              </w:rPr>
              <w:t>黏土</w:t>
            </w:r>
            <w:r>
              <w:rPr>
                <w:rFonts w:hint="default" w:ascii="Times New Roman" w:hAnsi="Times New Roman" w:eastAsia="方正仿宋_GBK" w:cs="Times New Roman"/>
                <w:b w:val="0"/>
                <w:bCs/>
                <w:sz w:val="28"/>
                <w:szCs w:val="24"/>
              </w:rPr>
              <w:t>、石灰石等资源丰富的优势，大力开发新型节能环保墙体材料、绝热隔音材料、防水材料、镀锌彩钢板、隔热夹芯板、新型磷石膏建材。积极做好易门小街乡大理石资源的前期开发工作，培育新型的大理石资源开发产业。</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cs="Times New Roman"/>
                <w:b/>
                <w:bCs w:val="0"/>
                <w:sz w:val="28"/>
                <w:szCs w:val="24"/>
                <w:lang w:eastAsia="zh-CN"/>
              </w:rPr>
              <w:t>二</w:t>
            </w:r>
            <w:r>
              <w:rPr>
                <w:rFonts w:hint="default" w:ascii="Times New Roman" w:hAnsi="Times New Roman" w:eastAsia="方正仿宋_GBK" w:cs="Times New Roman"/>
                <w:b/>
                <w:bCs w:val="0"/>
                <w:sz w:val="28"/>
                <w:szCs w:val="24"/>
              </w:rPr>
              <w:t>是</w:t>
            </w:r>
            <w:r>
              <w:rPr>
                <w:rFonts w:hint="default" w:ascii="Times New Roman" w:hAnsi="Times New Roman" w:eastAsia="方正仿宋_GBK" w:cs="Times New Roman"/>
                <w:b w:val="0"/>
                <w:bCs/>
                <w:sz w:val="28"/>
                <w:szCs w:val="24"/>
              </w:rPr>
              <w:t>依托云南易门大椿树水泥厂等企业，加快布局水泥、工程塑料等产业；依托广东雄塑环保复合材等项目，积极发展工程塑料，优化塑料薄膜、管材、编织袋及塑料日用品等产品布局。</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cs="Times New Roman"/>
                <w:b/>
                <w:bCs w:val="0"/>
                <w:sz w:val="28"/>
                <w:szCs w:val="24"/>
                <w:lang w:eastAsia="zh-CN"/>
              </w:rPr>
              <w:t>三</w:t>
            </w:r>
            <w:r>
              <w:rPr>
                <w:rFonts w:hint="default" w:ascii="Times New Roman" w:hAnsi="Times New Roman" w:eastAsia="方正仿宋_GBK" w:cs="Times New Roman"/>
                <w:b/>
                <w:bCs w:val="0"/>
                <w:sz w:val="28"/>
                <w:szCs w:val="24"/>
              </w:rPr>
              <w:t>是</w:t>
            </w:r>
            <w:r>
              <w:rPr>
                <w:rFonts w:hint="default" w:ascii="Times New Roman" w:hAnsi="Times New Roman" w:eastAsia="方正仿宋_GBK" w:cs="Times New Roman"/>
                <w:b w:val="0"/>
                <w:bCs/>
                <w:sz w:val="28"/>
                <w:szCs w:val="24"/>
              </w:rPr>
              <w:t>积极探索在周边基地，探索优质陶瓷产业原料，大力发展日用陶瓷、工艺陶瓷、功能陶瓷等，开展高档抗菌瓷、环保、抗污、自洁等多功能陶瓷的研发生产，不断丰富陶瓷产品类型。</w:t>
            </w:r>
          </w:p>
        </w:tc>
      </w:tr>
    </w:tbl>
    <w:p>
      <w:pPr>
        <w:keepNext w:val="0"/>
        <w:keepLines w:val="0"/>
        <w:pageBreakBefore w:val="0"/>
        <w:widowControl w:val="0"/>
        <w:kinsoku/>
        <w:wordWrap/>
        <w:overflowPunct/>
        <w:topLinePunct w:val="0"/>
        <w:bidi w:val="0"/>
        <w:adjustRightInd/>
        <w:snapToGrid/>
        <w:rPr>
          <w:rFonts w:hint="default" w:ascii="Times New Roman" w:hAnsi="Times New Roman" w:cs="Times New Roman"/>
        </w:rPr>
      </w:pPr>
      <w:r>
        <w:rPr>
          <w:rFonts w:hint="default" w:ascii="Times New Roman" w:hAnsi="Times New Roman" w:cs="Times New Roman"/>
          <w:b/>
          <w:bCs/>
        </w:rPr>
        <w:t>2.招商引资重点。</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7</w:t>
            </w:r>
            <w:r>
              <w:rPr>
                <w:rFonts w:hint="default" w:ascii="Times New Roman" w:hAnsi="Times New Roman" w:eastAsia="方正黑体_GBK" w:cs="Times New Roman"/>
                <w:b/>
                <w:bCs/>
                <w:sz w:val="30"/>
                <w:szCs w:val="30"/>
              </w:rPr>
              <w:t xml:space="preserve"> 易门县“十四五”绿色建材业招商引资重点方向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cs="Times New Roman"/>
                <w:sz w:val="28"/>
                <w:szCs w:val="24"/>
                <w:lang w:val="en-US" w:eastAsia="zh-CN"/>
              </w:rPr>
              <w:t>一</w:t>
            </w:r>
            <w:r>
              <w:rPr>
                <w:rFonts w:hint="default" w:ascii="Times New Roman" w:hAnsi="Times New Roman" w:eastAsia="方正仿宋_GBK" w:cs="Times New Roman"/>
                <w:sz w:val="28"/>
                <w:szCs w:val="24"/>
              </w:rPr>
              <w:t>是</w:t>
            </w:r>
            <w:r>
              <w:rPr>
                <w:rFonts w:hint="default" w:ascii="Times New Roman" w:hAnsi="Times New Roman" w:eastAsia="方正仿宋_GBK" w:cs="Times New Roman"/>
                <w:b w:val="0"/>
                <w:bCs/>
                <w:sz w:val="28"/>
                <w:szCs w:val="24"/>
              </w:rPr>
              <w:t>利用易门优质石灰石资源，以水泥产业为培育重点，鼓励引导大椿树水泥有限公司、中瑞建材有限公司、昆钢钙镁溶剂公司充分研发、提升生产技术工艺，做大产业规模，致力于打造云南干法水泥生产基地。</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cs="Times New Roman"/>
                <w:sz w:val="28"/>
                <w:szCs w:val="24"/>
                <w:lang w:val="en-US" w:eastAsia="zh-CN"/>
              </w:rPr>
              <w:t>二</w:t>
            </w:r>
            <w:r>
              <w:rPr>
                <w:rFonts w:hint="default" w:ascii="Times New Roman" w:hAnsi="Times New Roman" w:eastAsia="方正仿宋_GBK" w:cs="Times New Roman"/>
                <w:sz w:val="28"/>
                <w:szCs w:val="24"/>
              </w:rPr>
              <w:t>是</w:t>
            </w:r>
            <w:r>
              <w:rPr>
                <w:rFonts w:hint="default" w:ascii="Times New Roman" w:hAnsi="Times New Roman" w:eastAsia="方正仿宋_GBK" w:cs="Times New Roman"/>
                <w:b w:val="0"/>
                <w:bCs/>
                <w:sz w:val="28"/>
                <w:szCs w:val="24"/>
              </w:rPr>
              <w:t>以加快陶瓷产业二次创业、提档升级为产业转型基点，引进高端陶瓷生产企业，推进陶瓷建材产业整合，支持陶瓷企业兼并重组，探索成立易门陶瓷建材产业集团，打造易门陶瓷品牌。推动陶瓷企业技改扩建，开展高档陶瓷、多功能陶瓷的研发生产，推动产品由中低端向高端迈进</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cs="Times New Roman"/>
                <w:b/>
                <w:bCs w:val="0"/>
                <w:sz w:val="28"/>
                <w:szCs w:val="24"/>
                <w:lang w:val="en-US" w:eastAsia="zh-CN"/>
              </w:rPr>
              <w:t>三是</w:t>
            </w:r>
            <w:r>
              <w:rPr>
                <w:rFonts w:hint="default" w:ascii="Times New Roman" w:hAnsi="Times New Roman" w:eastAsia="方正仿宋_GBK" w:cs="Times New Roman"/>
                <w:b w:val="0"/>
                <w:bCs/>
                <w:sz w:val="28"/>
                <w:szCs w:val="24"/>
              </w:rPr>
              <w:t>引导鼓励建材企业采用企院合作、企校合作方式等开展联合攻关，开发新型节能墙体材料、防水材料、绝热隔音材料等。</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5" w:name="_Toc28850"/>
      <w:r>
        <w:rPr>
          <w:rFonts w:hint="default" w:ascii="Times New Roman" w:hAnsi="Times New Roman" w:eastAsia="方正楷体_GBK" w:cs="Times New Roman"/>
          <w:lang w:val="en-US" w:eastAsia="zh-CN"/>
        </w:rPr>
        <w:t>（六）大力推进</w:t>
      </w:r>
      <w:r>
        <w:rPr>
          <w:rFonts w:hint="default" w:ascii="Times New Roman" w:hAnsi="Times New Roman" w:eastAsia="方正楷体_GBK" w:cs="Times New Roman"/>
          <w:lang w:val="en-US"/>
        </w:rPr>
        <w:t>文化旅游服务业</w:t>
      </w:r>
      <w:bookmarkEnd w:id="75"/>
    </w:p>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b w:val="0"/>
          <w:bCs w:val="0"/>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rPr>
        <w:t>落实全域旅游战略，积极融入大滇西旅游环线建设，按照国际化、高端化、特色化、智慧化发展方向，以文化为灵魂、旅游为载体，围绕“做强两心、做精三镇、做优七廊”思路，推出一批主题系列文化线路。加强与安宁、禄丰、峨山等周边区域联动，串点成线，形成“内环外联”的精品旅游线路网。统筹区域内健康服务资源配置，积极探索与昆明、玉溪、楚雄等滇中地区进行健康养生养老服务合作，优先利用社会资本，加快打造一批健康养生服务集聚区，打造中医药健康服务产业合作园，创新区域健康服务模式，满足人民群众多元化健康服务需求。</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8</w:t>
            </w:r>
            <w:r>
              <w:rPr>
                <w:rFonts w:hint="default" w:ascii="Times New Roman" w:hAnsi="Times New Roman" w:eastAsia="方正黑体_GBK" w:cs="Times New Roman"/>
                <w:b/>
                <w:bCs/>
                <w:sz w:val="30"/>
                <w:szCs w:val="30"/>
              </w:rPr>
              <w:t xml:space="preserve"> 易门县“十四五”文化旅游服务业区域合作重点方向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lang w:eastAsia="zh-CN"/>
              </w:rPr>
            </w:pPr>
            <w:r>
              <w:rPr>
                <w:rFonts w:hint="default" w:ascii="Times New Roman" w:hAnsi="Times New Roman" w:eastAsia="方正仿宋_GBK" w:cs="Times New Roman"/>
                <w:b/>
                <w:bCs w:val="0"/>
                <w:sz w:val="28"/>
                <w:szCs w:val="24"/>
                <w:lang w:val="en-US" w:eastAsia="zh-CN"/>
              </w:rPr>
              <w:t>一是</w:t>
            </w:r>
            <w:r>
              <w:rPr>
                <w:rFonts w:hint="default" w:ascii="Times New Roman" w:hAnsi="Times New Roman" w:eastAsia="方正仿宋_GBK" w:cs="Times New Roman"/>
                <w:b w:val="0"/>
                <w:bCs/>
                <w:sz w:val="28"/>
                <w:szCs w:val="24"/>
              </w:rPr>
              <w:t>积极融入周边</w:t>
            </w:r>
            <w:r>
              <w:rPr>
                <w:rFonts w:hint="default" w:ascii="Times New Roman" w:hAnsi="Times New Roman" w:eastAsia="方正仿宋_GBK" w:cs="Times New Roman"/>
                <w:b w:val="0"/>
                <w:bCs/>
                <w:sz w:val="28"/>
                <w:szCs w:val="24"/>
                <w:lang w:eastAsia="zh-CN"/>
              </w:rPr>
              <w:t>地区</w:t>
            </w:r>
            <w:r>
              <w:rPr>
                <w:rFonts w:hint="default" w:ascii="Times New Roman" w:hAnsi="Times New Roman" w:eastAsia="方正仿宋_GBK" w:cs="Times New Roman"/>
                <w:b w:val="0"/>
                <w:bCs/>
                <w:sz w:val="28"/>
                <w:szCs w:val="24"/>
              </w:rPr>
              <w:t>，联动周边地区，立足易门自然风光、民族风情、历史遗迹等旅游资源，突出“滇中水城•菌乡易门”旅游特色，以开拓自驾游、生态休闲游和康体养老为重点，提升旅游服务水平，大力发展康体休闲、美食文化品鉴、陶瓷工艺体验、乡村特色、红色文化旅游，开发以生态观光、工业遗址游、生态运动、大型娱乐等为一体的开放型农业产业园；加快推进特色生态乡村旅游片区建设，打造以“滇中水城•菌乡</w:t>
            </w:r>
            <w:r>
              <w:rPr>
                <w:rFonts w:hint="default" w:ascii="Times New Roman" w:hAnsi="Times New Roman" w:eastAsia="方正仿宋_GBK" w:cs="Times New Roman"/>
                <w:b w:val="0"/>
                <w:bCs/>
                <w:spacing w:val="-6"/>
                <w:sz w:val="28"/>
                <w:szCs w:val="24"/>
              </w:rPr>
              <w:t>易门”为特色的山水园林宜居县城、昆明都市圈西南部特色休闲旅游目的地</w:t>
            </w:r>
            <w:r>
              <w:rPr>
                <w:rFonts w:hint="default" w:ascii="Times New Roman" w:hAnsi="Times New Roman" w:eastAsia="方正仿宋_GBK" w:cs="Times New Roman"/>
                <w:b w:val="0"/>
                <w:bCs/>
                <w:spacing w:val="-6"/>
                <w:sz w:val="28"/>
                <w:szCs w:val="24"/>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eastAsia="方正仿宋_GBK" w:cs="Times New Roman"/>
                <w:b/>
                <w:bCs w:val="0"/>
                <w:sz w:val="28"/>
                <w:szCs w:val="24"/>
                <w:lang w:val="en-US" w:eastAsia="zh-CN"/>
              </w:rPr>
              <w:t>二是</w:t>
            </w:r>
            <w:r>
              <w:rPr>
                <w:rFonts w:hint="default" w:ascii="Times New Roman" w:hAnsi="Times New Roman" w:eastAsia="方正仿宋_GBK" w:cs="Times New Roman"/>
                <w:b w:val="0"/>
                <w:bCs/>
                <w:sz w:val="28"/>
                <w:szCs w:val="24"/>
              </w:rPr>
              <w:t>统筹推进国内外优质医疗资源引进和本土医疗资源下沉，优化医疗服务资源配置，推进医 疗机构与养老机构等加强合作。</w:t>
            </w:r>
            <w:r>
              <w:rPr>
                <w:rFonts w:hint="default" w:ascii="Times New Roman" w:hAnsi="Times New Roman" w:eastAsia="方正仿宋_GBK" w:cs="Times New Roman"/>
                <w:b w:val="0"/>
                <w:bCs/>
                <w:sz w:val="28"/>
                <w:szCs w:val="24"/>
                <w:lang w:val="en-US" w:eastAsia="zh-CN"/>
              </w:rPr>
              <w:t>整合医疗资源、中医药资源、文化旅游资源，推进“健康+体育”“健康+旅游”产业发展。大力发展健康体检、健康咨询、心理健康咨询等服务。</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sz w:val="28"/>
                <w:szCs w:val="24"/>
                <w:lang w:val="en-US" w:eastAsia="zh-CN"/>
              </w:rPr>
              <w:t>三是</w:t>
            </w:r>
            <w:r>
              <w:rPr>
                <w:rFonts w:hint="default" w:ascii="Times New Roman" w:hAnsi="Times New Roman" w:eastAsia="方正仿宋_GBK" w:cs="Times New Roman"/>
                <w:b w:val="0"/>
                <w:bCs/>
                <w:sz w:val="28"/>
                <w:szCs w:val="24"/>
              </w:rPr>
              <w:t>围绕产业转型升级和城市发展新需求，优化发展环境，</w:t>
            </w:r>
            <w:r>
              <w:rPr>
                <w:rFonts w:hint="default" w:ascii="Times New Roman" w:hAnsi="Times New Roman" w:eastAsia="方正仿宋_GBK" w:cs="Times New Roman"/>
                <w:b w:val="0"/>
                <w:bCs/>
                <w:sz w:val="28"/>
                <w:szCs w:val="24"/>
                <w:lang w:val="en-US" w:eastAsia="zh-CN"/>
              </w:rPr>
              <w:t>积极与周边地区合作，</w:t>
            </w:r>
            <w:r>
              <w:rPr>
                <w:rFonts w:hint="default" w:ascii="Times New Roman" w:hAnsi="Times New Roman" w:eastAsia="方正仿宋_GBK" w:cs="Times New Roman"/>
                <w:b w:val="0"/>
                <w:bCs/>
                <w:sz w:val="28"/>
                <w:szCs w:val="24"/>
              </w:rPr>
              <w:t>充分利用节庆、假日，举办农产品、生活产品、工业品展销会，发展会展经济。</w:t>
            </w:r>
          </w:p>
        </w:tc>
      </w:tr>
    </w:tbl>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lang w:val="en-US" w:eastAsia="zh-CN"/>
        </w:rPr>
      </w:pPr>
      <w:r>
        <w:rPr>
          <w:rFonts w:hint="default" w:ascii="Times New Roman" w:hAnsi="Times New Roman" w:cs="Times New Roman"/>
          <w:b/>
          <w:bCs/>
        </w:rPr>
        <w:t>2.招商引资重点。</w:t>
      </w:r>
      <w:r>
        <w:rPr>
          <w:rFonts w:hint="default" w:ascii="Times New Roman" w:hAnsi="Times New Roman" w:eastAsia="方正仿宋_GBK" w:cs="Times New Roman"/>
          <w:b w:val="0"/>
          <w:bCs/>
          <w:sz w:val="32"/>
          <w:szCs w:val="32"/>
        </w:rPr>
        <w:t>大力引进</w:t>
      </w:r>
      <w:r>
        <w:rPr>
          <w:rFonts w:hint="default" w:ascii="Times New Roman" w:hAnsi="Times New Roman" w:cs="Times New Roman"/>
          <w:b w:val="0"/>
          <w:bCs/>
          <w:sz w:val="32"/>
          <w:szCs w:val="32"/>
          <w:lang w:val="en-US" w:eastAsia="zh-CN"/>
        </w:rPr>
        <w:t>央企、国企、省属企业以及</w:t>
      </w:r>
      <w:r>
        <w:rPr>
          <w:rFonts w:hint="default" w:ascii="Times New Roman" w:hAnsi="Times New Roman" w:eastAsia="方正仿宋_GBK" w:cs="Times New Roman"/>
          <w:b w:val="0"/>
          <w:bCs/>
          <w:sz w:val="32"/>
          <w:szCs w:val="32"/>
        </w:rPr>
        <w:t>社会资本深度参与旅游重大项目建设，以大景区建设为龙头，以精品特色景区建设为核心，开发旅游产品和旅游商品，发展特色文化产业，推动文化旅游产业转型升级、提质增效、跨越发展</w:t>
      </w:r>
      <w:r>
        <w:rPr>
          <w:rFonts w:hint="default" w:ascii="Times New Roman" w:hAnsi="Times New Roman" w:cs="Times New Roman"/>
          <w:b w:val="0"/>
          <w:bCs/>
          <w:sz w:val="32"/>
          <w:szCs w:val="32"/>
          <w:lang w:eastAsia="zh-CN"/>
        </w:rPr>
        <w:t>。</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9</w:t>
            </w:r>
            <w:r>
              <w:rPr>
                <w:rFonts w:hint="default" w:ascii="Times New Roman" w:hAnsi="Times New Roman" w:eastAsia="方正黑体_GBK" w:cs="Times New Roman"/>
                <w:b/>
                <w:bCs/>
                <w:sz w:val="30"/>
                <w:szCs w:val="30"/>
              </w:rPr>
              <w:t xml:space="preserve"> 易门县“十四五”文化旅游服务业招商引资重点方向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bCs w:val="0"/>
                <w:sz w:val="28"/>
                <w:szCs w:val="28"/>
              </w:rPr>
              <w:t>一是</w:t>
            </w:r>
            <w:r>
              <w:rPr>
                <w:rFonts w:hint="default" w:ascii="Times New Roman" w:hAnsi="Times New Roman" w:eastAsia="方正仿宋_GBK" w:cs="Times New Roman"/>
                <w:b w:val="0"/>
                <w:bCs/>
                <w:sz w:val="28"/>
                <w:szCs w:val="28"/>
              </w:rPr>
              <w:t>重点引进文化旅游开发企业，综合开发城山项目，按照不低于AAAA级景区标准建设，打造集文化体验、美食购物、旅游观光、休闲娱乐、文化旅居、城市居住等功能为一体的文化旅游产业项目</w:t>
            </w:r>
            <w:r>
              <w:rPr>
                <w:rFonts w:hint="default" w:ascii="Times New Roman" w:hAnsi="Times New Roman" w:eastAsia="方正仿宋_GBK" w:cs="Times New Roman"/>
                <w:b w:val="0"/>
                <w:bCs/>
                <w:sz w:val="28"/>
                <w:szCs w:val="28"/>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bCs w:val="0"/>
                <w:sz w:val="28"/>
                <w:szCs w:val="28"/>
              </w:rPr>
              <w:t>二是</w:t>
            </w:r>
            <w:r>
              <w:rPr>
                <w:rFonts w:hint="default" w:ascii="Times New Roman" w:hAnsi="Times New Roman" w:eastAsia="方正仿宋_GBK" w:cs="Times New Roman"/>
                <w:b w:val="0"/>
                <w:bCs/>
                <w:sz w:val="28"/>
                <w:szCs w:val="28"/>
              </w:rPr>
              <w:t>引进景区综合开发运营企业，拓展龙泉河、南屯湖、栗园湖等旅游业态，积极引入旅游项目</w:t>
            </w:r>
            <w:r>
              <w:rPr>
                <w:rFonts w:hint="default" w:ascii="Times New Roman" w:hAnsi="Times New Roman" w:eastAsia="方正仿宋_GBK" w:cs="Times New Roman"/>
                <w:b w:val="0"/>
                <w:bCs/>
                <w:sz w:val="28"/>
                <w:szCs w:val="28"/>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bCs w:val="0"/>
                <w:sz w:val="28"/>
                <w:szCs w:val="28"/>
              </w:rPr>
              <w:t>三是</w:t>
            </w:r>
            <w:r>
              <w:rPr>
                <w:rFonts w:hint="default" w:ascii="Times New Roman" w:hAnsi="Times New Roman" w:eastAsia="方正仿宋_GBK" w:cs="Times New Roman"/>
                <w:b w:val="0"/>
                <w:bCs/>
                <w:sz w:val="28"/>
                <w:szCs w:val="28"/>
              </w:rPr>
              <w:t>充分利用区位、资源优势，大力引进星级酒店、康养中心等旅游休闲、康养医疗项目，全力将县城</w:t>
            </w:r>
            <w:r>
              <w:rPr>
                <w:rFonts w:hint="default" w:ascii="Times New Roman" w:hAnsi="Times New Roman" w:eastAsia="方正仿宋_GBK" w:cs="Times New Roman"/>
                <w:b w:val="0"/>
                <w:bCs/>
                <w:sz w:val="28"/>
                <w:szCs w:val="28"/>
                <w:lang w:eastAsia="zh-CN"/>
              </w:rPr>
              <w:t>建成区</w:t>
            </w:r>
            <w:r>
              <w:rPr>
                <w:rFonts w:hint="default" w:ascii="Times New Roman" w:hAnsi="Times New Roman" w:eastAsia="方正仿宋_GBK" w:cs="Times New Roman"/>
                <w:b w:val="0"/>
                <w:bCs/>
                <w:sz w:val="28"/>
                <w:szCs w:val="28"/>
              </w:rPr>
              <w:t>打造成集办公居住、购物美食、休闲娱乐、康体养生、观光游玩为一体的</w:t>
            </w:r>
            <w:r>
              <w:rPr>
                <w:rFonts w:hint="default" w:ascii="Times New Roman" w:hAnsi="Times New Roman" w:eastAsia="方正仿宋_GBK" w:cs="Times New Roman"/>
                <w:b w:val="0"/>
                <w:bCs/>
                <w:sz w:val="28"/>
                <w:szCs w:val="28"/>
                <w:lang w:eastAsia="zh-CN"/>
              </w:rPr>
              <w:t>高端</w:t>
            </w:r>
            <w:r>
              <w:rPr>
                <w:rFonts w:hint="default" w:ascii="Times New Roman" w:hAnsi="Times New Roman" w:eastAsia="方正仿宋_GBK" w:cs="Times New Roman"/>
                <w:b w:val="0"/>
                <w:bCs/>
                <w:sz w:val="28"/>
                <w:szCs w:val="28"/>
              </w:rPr>
              <w:t>旅游综合体</w:t>
            </w:r>
            <w:r>
              <w:rPr>
                <w:rFonts w:hint="default" w:ascii="Times New Roman" w:hAnsi="Times New Roman" w:eastAsia="方正仿宋_GBK" w:cs="Times New Roman"/>
                <w:b w:val="0"/>
                <w:bCs/>
                <w:sz w:val="28"/>
                <w:szCs w:val="28"/>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bCs w:val="0"/>
                <w:sz w:val="28"/>
                <w:szCs w:val="28"/>
              </w:rPr>
              <w:t>四是</w:t>
            </w:r>
            <w:r>
              <w:rPr>
                <w:rFonts w:hint="default" w:ascii="Times New Roman" w:hAnsi="Times New Roman" w:eastAsia="方正仿宋_GBK" w:cs="Times New Roman"/>
                <w:b w:val="0"/>
                <w:bCs/>
                <w:sz w:val="28"/>
                <w:szCs w:val="28"/>
              </w:rPr>
              <w:t>以玉楚高速、“三供一业”基础设施建设为契机，尽快引入社会资本，打造滇铜古镇项目，发展绿汁镇工业遗址旅游新业态</w:t>
            </w:r>
            <w:r>
              <w:rPr>
                <w:rFonts w:hint="default" w:ascii="Times New Roman" w:hAnsi="Times New Roman" w:eastAsia="方正仿宋_GBK" w:cs="Times New Roman"/>
                <w:b w:val="0"/>
                <w:bCs/>
                <w:sz w:val="28"/>
                <w:szCs w:val="28"/>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lang w:eastAsia="zh-CN"/>
              </w:rPr>
            </w:pPr>
            <w:r>
              <w:rPr>
                <w:rFonts w:hint="default" w:ascii="Times New Roman" w:hAnsi="Times New Roman" w:eastAsia="方正仿宋_GBK" w:cs="Times New Roman"/>
                <w:b/>
                <w:bCs w:val="0"/>
                <w:sz w:val="28"/>
                <w:szCs w:val="28"/>
              </w:rPr>
              <w:t>五是</w:t>
            </w:r>
            <w:r>
              <w:rPr>
                <w:rFonts w:hint="default" w:ascii="Times New Roman" w:hAnsi="Times New Roman" w:eastAsia="方正仿宋_GBK" w:cs="Times New Roman"/>
                <w:b w:val="0"/>
                <w:bCs/>
                <w:sz w:val="28"/>
                <w:szCs w:val="28"/>
              </w:rPr>
              <w:t>积极引入社会资本投资，开发建设集农耕文化、拾菌体验、休闲观光、住宿娱乐为一体的“半山酒店”项目及现代旅游农庄，推进农家乐提档升级，打造多条县城周边特色文化旅游精品线路</w:t>
            </w:r>
            <w:r>
              <w:rPr>
                <w:rFonts w:hint="default" w:ascii="Times New Roman" w:hAnsi="Times New Roman" w:eastAsia="方正仿宋_GBK" w:cs="Times New Roman"/>
                <w:b w:val="0"/>
                <w:bCs/>
                <w:sz w:val="28"/>
                <w:szCs w:val="28"/>
                <w:lang w:eastAsia="zh-CN"/>
              </w:rPr>
              <w:t>。</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sz w:val="28"/>
                <w:szCs w:val="28"/>
                <w:lang w:val="en-US" w:eastAsia="zh-CN"/>
              </w:rPr>
              <w:t>六是</w:t>
            </w:r>
            <w:r>
              <w:rPr>
                <w:rFonts w:hint="default" w:ascii="Times New Roman" w:hAnsi="Times New Roman" w:eastAsia="方正仿宋_GBK" w:cs="Times New Roman"/>
                <w:b w:val="0"/>
                <w:bCs/>
                <w:sz w:val="28"/>
                <w:szCs w:val="28"/>
                <w:lang w:val="en-US" w:eastAsia="zh-CN"/>
              </w:rPr>
              <w:t>围绕展健康服务业，引进国内外知名健康管理知名企业。引进先进地区在高端医疗服务、</w:t>
            </w:r>
            <w:r>
              <w:rPr>
                <w:rFonts w:hint="default" w:ascii="Times New Roman" w:hAnsi="Times New Roman" w:eastAsia="方正仿宋_GBK" w:cs="Times New Roman"/>
                <w:b w:val="0"/>
                <w:bCs/>
                <w:sz w:val="28"/>
                <w:szCs w:val="28"/>
              </w:rPr>
              <w:t>健康保险、互联网医疗等领域的资金、智力和管理技术，支持合作发展医疗、养老、保健品、医疗器械、康复医疗产业</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lang w:val="en-US" w:eastAsia="zh-CN"/>
              </w:rPr>
              <w:t>同时，积极引进养老、育幼、家政、物业、咨询中介等相关企业。</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eastAsia="zh-CN"/>
        </w:rPr>
      </w:pPr>
      <w:bookmarkStart w:id="76" w:name="_Toc20479"/>
      <w:r>
        <w:rPr>
          <w:rFonts w:hint="default" w:ascii="Times New Roman" w:hAnsi="Times New Roman" w:eastAsia="方正楷体_GBK" w:cs="Times New Roman"/>
          <w:lang w:val="en-US" w:eastAsia="zh-CN"/>
        </w:rPr>
        <w:t>（七）积极打造生物医药产业集群</w:t>
      </w:r>
      <w:bookmarkEnd w:id="76"/>
    </w:p>
    <w:p>
      <w:pPr>
        <w:keepNext w:val="0"/>
        <w:keepLines w:val="0"/>
        <w:pageBreakBefore w:val="0"/>
        <w:widowControl w:val="0"/>
        <w:suppressLineNumbers w:val="0"/>
        <w:kinsoku/>
        <w:wordWrap/>
        <w:overflowPunct/>
        <w:topLinePunct w:val="0"/>
        <w:bidi w:val="0"/>
        <w:adjustRightInd/>
        <w:snapToGrid/>
        <w:jc w:val="left"/>
        <w:rPr>
          <w:rFonts w:hint="default" w:ascii="Times New Roman" w:hAnsi="Times New Roman" w:eastAsia="方正仿宋_GBK" w:cs="Times New Roman"/>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sz w:val="32"/>
          <w:szCs w:val="32"/>
          <w:lang w:val="en-US" w:eastAsia="zh-CN"/>
        </w:rPr>
        <w:t>按照</w:t>
      </w:r>
      <w:r>
        <w:rPr>
          <w:rFonts w:hint="default" w:ascii="Times New Roman" w:hAnsi="Times New Roman" w:eastAsia="方正仿宋_GBK" w:cs="Times New Roman"/>
          <w:b w:val="0"/>
          <w:bCs w:val="0"/>
          <w:sz w:val="32"/>
          <w:szCs w:val="32"/>
        </w:rPr>
        <w:t>将易门打造为云南省具有特色的生物医药和保健品产业基地</w:t>
      </w:r>
      <w:r>
        <w:rPr>
          <w:rFonts w:hint="default" w:ascii="Times New Roman" w:hAnsi="Times New Roman" w:eastAsia="方正仿宋_GBK" w:cs="Times New Roman"/>
          <w:b w:val="0"/>
          <w:bCs w:val="0"/>
          <w:sz w:val="32"/>
          <w:szCs w:val="32"/>
          <w:lang w:val="en-US" w:eastAsia="zh-CN"/>
        </w:rPr>
        <w:t>的目标，</w:t>
      </w:r>
      <w:r>
        <w:rPr>
          <w:rFonts w:hint="default" w:ascii="Times New Roman" w:hAnsi="Times New Roman" w:eastAsia="方正仿宋_GBK" w:cs="Times New Roman"/>
          <w:b w:val="0"/>
          <w:bCs w:val="0"/>
          <w:sz w:val="32"/>
          <w:szCs w:val="32"/>
        </w:rPr>
        <w:t>立足现有产业基础，充分发挥优质原料优势</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区</w:t>
      </w:r>
      <w:r>
        <w:rPr>
          <w:rFonts w:hint="default" w:ascii="Times New Roman" w:hAnsi="Times New Roman" w:eastAsia="方正仿宋_GBK" w:cs="Times New Roman"/>
          <w:b w:val="0"/>
          <w:bCs w:val="0"/>
          <w:lang w:val="en-US" w:eastAsia="zh-CN"/>
        </w:rPr>
        <w:t>位优势</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lang w:val="en-US" w:eastAsia="zh-CN"/>
        </w:rPr>
        <w:t>与周边区域、滇中地区、昆明合作，推动化学药产业壮大发展、加快中药</w:t>
      </w:r>
      <w:r>
        <w:rPr>
          <w:rFonts w:hint="default" w:ascii="Times New Roman" w:hAnsi="Times New Roman" w:eastAsia="方正仿宋_GBK" w:cs="Times New Roman"/>
          <w:b w:val="0"/>
          <w:bCs w:val="0"/>
          <w:sz w:val="32"/>
          <w:szCs w:val="32"/>
          <w:lang w:val="en-US" w:eastAsia="zh-CN"/>
        </w:rPr>
        <w:t>产业升级发展，</w:t>
      </w:r>
      <w:r>
        <w:rPr>
          <w:rFonts w:hint="default" w:ascii="Times New Roman" w:hAnsi="Times New Roman" w:eastAsia="方正仿宋_GBK" w:cs="Times New Roman"/>
          <w:b w:val="0"/>
          <w:bCs w:val="0"/>
          <w:sz w:val="32"/>
          <w:szCs w:val="32"/>
        </w:rPr>
        <w:t>积极培育生物医药产业新业态，加快推动形成产业集聚。</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黑体"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10</w:t>
            </w:r>
            <w:r>
              <w:rPr>
                <w:rFonts w:hint="default" w:ascii="Times New Roman" w:hAnsi="Times New Roman" w:eastAsia="方正黑体_GBK" w:cs="Times New Roman"/>
                <w:b/>
                <w:bCs/>
                <w:sz w:val="30"/>
                <w:szCs w:val="30"/>
              </w:rPr>
              <w:t xml:space="preserve"> 易门县“十四五”生物医药产业</w:t>
            </w:r>
            <w:r>
              <w:rPr>
                <w:rFonts w:hint="default" w:ascii="Times New Roman" w:hAnsi="Times New Roman" w:eastAsia="方正黑体_GBK" w:cs="Times New Roman"/>
                <w:b/>
                <w:bCs/>
                <w:sz w:val="30"/>
                <w:szCs w:val="30"/>
                <w:lang w:val="en-US" w:eastAsia="zh-CN"/>
              </w:rPr>
              <w:t>区域合作</w:t>
            </w:r>
            <w:r>
              <w:rPr>
                <w:rFonts w:hint="default" w:ascii="Times New Roman" w:hAnsi="Times New Roman" w:eastAsia="方正黑体_GBK" w:cs="Times New Roman"/>
                <w:b/>
                <w:bCs/>
                <w:sz w:val="30"/>
                <w:szCs w:val="30"/>
              </w:rPr>
              <w:t>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cs="Times New Roman"/>
                <w:b/>
                <w:bCs w:val="0"/>
                <w:sz w:val="28"/>
                <w:szCs w:val="24"/>
                <w:lang w:val="en-US" w:eastAsia="zh-CN"/>
              </w:rPr>
            </w:pPr>
            <w:r>
              <w:rPr>
                <w:rFonts w:hint="default" w:ascii="Times New Roman" w:hAnsi="Times New Roman" w:eastAsia="方正仿宋_GBK" w:cs="Times New Roman"/>
                <w:b/>
                <w:bCs w:val="0"/>
                <w:sz w:val="28"/>
                <w:szCs w:val="24"/>
              </w:rPr>
              <w:t>一是</w:t>
            </w:r>
            <w:r>
              <w:rPr>
                <w:rFonts w:hint="default" w:ascii="Times New Roman" w:hAnsi="Times New Roman" w:eastAsia="方正仿宋_GBK" w:cs="Times New Roman"/>
                <w:b w:val="0"/>
                <w:bCs/>
                <w:sz w:val="28"/>
                <w:szCs w:val="24"/>
              </w:rPr>
              <w:t>推动化学药产业壮大发展</w:t>
            </w:r>
            <w:r>
              <w:rPr>
                <w:rFonts w:hint="default" w:ascii="Times New Roman" w:hAnsi="Times New Roman" w:eastAsia="方正仿宋_GBK" w:cs="Times New Roman"/>
                <w:b w:val="0"/>
                <w:bCs/>
                <w:sz w:val="28"/>
                <w:szCs w:val="24"/>
                <w:lang w:eastAsia="zh-CN"/>
              </w:rPr>
              <w:t>。</w:t>
            </w:r>
            <w:r>
              <w:rPr>
                <w:rFonts w:hint="default" w:ascii="Times New Roman" w:hAnsi="Times New Roman" w:eastAsia="方正仿宋_GBK" w:cs="Times New Roman"/>
                <w:b w:val="0"/>
                <w:bCs/>
                <w:sz w:val="28"/>
                <w:szCs w:val="24"/>
                <w:lang w:val="en-US" w:eastAsia="zh-CN"/>
              </w:rPr>
              <w:t>在现有海沣药业的基础上，积极引进化学药产业链配套企业，推动易门化学原料药及制剂仿制的水平提升。</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rPr>
            </w:pPr>
            <w:r>
              <w:rPr>
                <w:rFonts w:hint="default" w:ascii="Times New Roman" w:hAnsi="Times New Roman" w:cs="Times New Roman"/>
                <w:b/>
                <w:bCs w:val="0"/>
                <w:sz w:val="28"/>
                <w:szCs w:val="24"/>
                <w:lang w:val="en-US" w:eastAsia="zh-CN"/>
              </w:rPr>
              <w:t>二是</w:t>
            </w:r>
            <w:r>
              <w:rPr>
                <w:rFonts w:hint="default" w:ascii="Times New Roman" w:hAnsi="Times New Roman" w:cs="Times New Roman"/>
                <w:b w:val="0"/>
                <w:bCs/>
                <w:sz w:val="28"/>
                <w:szCs w:val="24"/>
                <w:lang w:val="en-US" w:eastAsia="zh-CN"/>
              </w:rPr>
              <w:t>深度挖掘具有显著疗效的彝药、中药名药名方，打造以彝药为重点的民族药生产基地，与周边地区开展标准化、规范化、有机化中药材种植养殖基地建设，合力做大做强中药饮片、配方颗粒产业。</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cs="Times New Roman"/>
                <w:b/>
                <w:bCs w:val="0"/>
                <w:sz w:val="28"/>
                <w:szCs w:val="24"/>
                <w:lang w:val="en-US" w:eastAsia="zh-CN"/>
              </w:rPr>
              <w:t>三</w:t>
            </w:r>
            <w:r>
              <w:rPr>
                <w:rFonts w:hint="default" w:ascii="Times New Roman" w:hAnsi="Times New Roman" w:eastAsia="方正仿宋_GBK" w:cs="Times New Roman"/>
                <w:b/>
                <w:bCs w:val="0"/>
                <w:sz w:val="28"/>
                <w:szCs w:val="24"/>
              </w:rPr>
              <w:t>是</w:t>
            </w:r>
            <w:r>
              <w:rPr>
                <w:rFonts w:hint="default" w:ascii="Times New Roman" w:hAnsi="Times New Roman" w:eastAsia="方正仿宋_GBK" w:cs="Times New Roman"/>
                <w:b w:val="0"/>
                <w:bCs/>
                <w:sz w:val="28"/>
                <w:szCs w:val="24"/>
              </w:rPr>
              <w:t>依托易门及周边地区野生菌、蔬菜、林果、生猪等良好的优质特色农产品资源和现有名牌企业，发展品质高端、生态绿色、富有特色的高原特色农产品加工业。重点发展野生菌深加工、生物育种、中药生产、保健品加工、野生蕨菜和酱咸菜加工、白酒加工、畜产品深加工等。</w:t>
            </w:r>
          </w:p>
        </w:tc>
      </w:tr>
    </w:tbl>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lang w:eastAsia="zh-CN"/>
        </w:rPr>
      </w:pPr>
      <w:r>
        <w:rPr>
          <w:rFonts w:hint="default" w:ascii="Times New Roman" w:hAnsi="Times New Roman" w:cs="Times New Roman"/>
          <w:b/>
          <w:bCs/>
        </w:rPr>
        <w:t>2.招商引资重点。</w:t>
      </w:r>
      <w:r>
        <w:rPr>
          <w:rFonts w:hint="default" w:ascii="Times New Roman" w:hAnsi="Times New Roman" w:eastAsia="方正仿宋_GBK" w:cs="Times New Roman"/>
          <w:b w:val="0"/>
          <w:bCs/>
          <w:sz w:val="32"/>
          <w:szCs w:val="28"/>
        </w:rPr>
        <w:t>坚持区域特色和差异化发展，按照“上下游带动、集群化发展”的思路</w:t>
      </w:r>
      <w:r>
        <w:rPr>
          <w:rFonts w:hint="default" w:ascii="Times New Roman" w:hAnsi="Times New Roman" w:cs="Times New Roman"/>
          <w:b w:val="0"/>
          <w:bCs/>
          <w:sz w:val="32"/>
          <w:szCs w:val="28"/>
          <w:lang w:eastAsia="zh-CN"/>
        </w:rPr>
        <w:t>，</w:t>
      </w:r>
      <w:r>
        <w:rPr>
          <w:rFonts w:hint="default" w:ascii="Times New Roman" w:hAnsi="Times New Roman" w:cs="Times New Roman"/>
          <w:b w:val="0"/>
          <w:bCs w:val="0"/>
        </w:rPr>
        <w:t>抓住国内外知名企业寻求战略布点和发达产业环节转移的机遇，</w:t>
      </w:r>
      <w:r>
        <w:rPr>
          <w:rFonts w:hint="default" w:ascii="Times New Roman" w:hAnsi="Times New Roman" w:cs="Times New Roman"/>
          <w:b w:val="0"/>
          <w:bCs w:val="0"/>
          <w:lang w:eastAsia="zh-CN"/>
        </w:rPr>
        <w:t>结合易门实际，</w:t>
      </w:r>
      <w:r>
        <w:rPr>
          <w:rFonts w:hint="default" w:ascii="Times New Roman" w:hAnsi="Times New Roman" w:cs="Times New Roman"/>
          <w:b w:val="0"/>
          <w:bCs w:val="0"/>
        </w:rPr>
        <w:t>聚焦国内外知名药械企业和处于生物医药产业高端环节的研发机构，聚焦</w:t>
      </w:r>
      <w:r>
        <w:rPr>
          <w:rFonts w:hint="default" w:ascii="Times New Roman" w:hAnsi="Times New Roman" w:cs="Times New Roman"/>
          <w:b w:val="0"/>
          <w:bCs w:val="0"/>
          <w:lang w:eastAsia="zh-CN"/>
        </w:rPr>
        <w:t>易门</w:t>
      </w:r>
      <w:r>
        <w:rPr>
          <w:rFonts w:hint="default" w:ascii="Times New Roman" w:hAnsi="Times New Roman" w:cs="Times New Roman"/>
          <w:b w:val="0"/>
          <w:bCs w:val="0"/>
        </w:rPr>
        <w:t>生物医药产业发展的核心技术和关键节点，明确重点招商领域和方向，加强对重点招商对象投资动向的跟踪和定向对接</w:t>
      </w:r>
      <w:r>
        <w:rPr>
          <w:rFonts w:hint="default" w:ascii="Times New Roman" w:hAnsi="Times New Roman" w:cs="Times New Roman"/>
          <w:b w:val="0"/>
          <w:bCs w:val="0"/>
          <w:lang w:eastAsia="zh-CN"/>
        </w:rPr>
        <w:t>。</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黑体"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11</w:t>
            </w:r>
            <w:r>
              <w:rPr>
                <w:rFonts w:hint="default" w:ascii="Times New Roman" w:hAnsi="Times New Roman" w:eastAsia="方正黑体_GBK" w:cs="Times New Roman"/>
                <w:b/>
                <w:bCs/>
                <w:sz w:val="30"/>
                <w:szCs w:val="30"/>
              </w:rPr>
              <w:t xml:space="preserve"> 易门县“十四五”生物医药产业招商引资重点方向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lang w:val="en-US" w:eastAsia="zh-CN"/>
              </w:rPr>
            </w:pPr>
            <w:r>
              <w:rPr>
                <w:rFonts w:hint="default" w:ascii="Times New Roman" w:hAnsi="Times New Roman" w:eastAsia="方正仿宋_GBK" w:cs="Times New Roman"/>
                <w:b/>
                <w:bCs w:val="0"/>
                <w:sz w:val="28"/>
                <w:szCs w:val="24"/>
                <w:lang w:val="en-US" w:eastAsia="zh-CN"/>
              </w:rPr>
              <w:t>一是</w:t>
            </w:r>
            <w:r>
              <w:rPr>
                <w:rFonts w:hint="default" w:ascii="Times New Roman" w:hAnsi="Times New Roman" w:eastAsia="方正仿宋_GBK" w:cs="Times New Roman"/>
                <w:b w:val="0"/>
                <w:bCs/>
                <w:sz w:val="28"/>
                <w:szCs w:val="24"/>
                <w:lang w:val="en-US" w:eastAsia="zh-CN"/>
              </w:rPr>
              <w:t>围绕化学药产业发展，积极</w:t>
            </w:r>
            <w:r>
              <w:rPr>
                <w:rFonts w:hint="default" w:ascii="Times New Roman" w:hAnsi="Times New Roman" w:eastAsia="方正仿宋_GBK" w:cs="Times New Roman"/>
                <w:b w:val="0"/>
                <w:bCs/>
                <w:sz w:val="28"/>
                <w:szCs w:val="24"/>
              </w:rPr>
              <w:t>引进国际国内</w:t>
            </w:r>
            <w:r>
              <w:rPr>
                <w:rFonts w:hint="default" w:ascii="Times New Roman" w:hAnsi="Times New Roman" w:eastAsia="方正仿宋_GBK" w:cs="Times New Roman"/>
                <w:b w:val="0"/>
                <w:bCs/>
                <w:sz w:val="28"/>
                <w:szCs w:val="24"/>
                <w:lang w:eastAsia="zh-CN"/>
              </w:rPr>
              <w:t>知名</w:t>
            </w:r>
            <w:r>
              <w:rPr>
                <w:rFonts w:hint="default" w:ascii="Times New Roman" w:hAnsi="Times New Roman" w:eastAsia="方正仿宋_GBK" w:cs="Times New Roman"/>
                <w:b w:val="0"/>
                <w:bCs/>
                <w:sz w:val="28"/>
                <w:szCs w:val="24"/>
                <w:lang w:val="en-US" w:eastAsia="zh-CN"/>
              </w:rPr>
              <w:t>重点瞄准国内外大企业、领军企业、“独角兽”企业、瞪羚企业、隐形冠军企业开展招商。</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4"/>
                <w:lang w:val="en-US" w:eastAsia="zh-CN"/>
              </w:rPr>
            </w:pPr>
            <w:r>
              <w:rPr>
                <w:rFonts w:hint="default" w:ascii="Times New Roman" w:hAnsi="Times New Roman" w:eastAsia="方正仿宋_GBK" w:cs="Times New Roman"/>
                <w:b/>
                <w:bCs w:val="0"/>
                <w:sz w:val="28"/>
                <w:szCs w:val="24"/>
                <w:lang w:val="en-US" w:eastAsia="zh-CN"/>
              </w:rPr>
              <w:t>二是</w:t>
            </w:r>
            <w:r>
              <w:rPr>
                <w:rFonts w:hint="default" w:ascii="Times New Roman" w:hAnsi="Times New Roman" w:eastAsia="方正仿宋_GBK" w:cs="Times New Roman"/>
                <w:b w:val="0"/>
                <w:bCs/>
                <w:sz w:val="28"/>
                <w:szCs w:val="24"/>
                <w:lang w:val="en-US" w:eastAsia="zh-CN"/>
              </w:rPr>
              <w:t>围绕中药产业升级发展，积极引进国内外知名药企易门设立研发中心、建设生产基地。探索产业集群招商模式。积极推动以政府和国内外知名产业新城运营机，构等社会资本开展合作，利用社会机构的专业资源优势，聚焦上下游产业链条，推进产业群招商新模式，并进行产业园区基础设施建设、公共服务管理、项目落地服务等全方位运营管理。</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sz w:val="28"/>
                <w:szCs w:val="24"/>
                <w:lang w:val="en-US" w:eastAsia="zh-CN"/>
              </w:rPr>
              <w:t>三是</w:t>
            </w:r>
            <w:r>
              <w:rPr>
                <w:rFonts w:hint="default" w:ascii="Times New Roman" w:hAnsi="Times New Roman" w:eastAsia="方正仿宋_GBK" w:cs="Times New Roman"/>
                <w:b w:val="0"/>
                <w:bCs/>
                <w:sz w:val="28"/>
                <w:szCs w:val="24"/>
                <w:lang w:val="en-US" w:eastAsia="zh-CN"/>
              </w:rPr>
              <w:t>围绕易门培育生物医药产业发展的新增长点，挖掘发挥本地企业产业链信息、资源优势，协同开展产业链招商重点引进生物提取、特色医药生产、保健品生产等企业，深度开发以植物提取为主的保健品、特殊用途化妆品、药食同源产品等健康类产品开发与生产。</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7" w:name="_Toc7610"/>
      <w:r>
        <w:rPr>
          <w:rFonts w:hint="default" w:ascii="Times New Roman" w:hAnsi="Times New Roman" w:eastAsia="方正楷体_GBK" w:cs="Times New Roman"/>
          <w:lang w:val="en-US" w:eastAsia="zh-CN"/>
        </w:rPr>
        <w:t>（八）全面壮大现代物流产业</w:t>
      </w:r>
      <w:bookmarkEnd w:id="77"/>
    </w:p>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b w:val="0"/>
          <w:bCs w:val="0"/>
          <w:lang w:eastAsia="zh-CN"/>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lang w:eastAsia="zh-CN"/>
        </w:rPr>
        <w:t>以建设国家级电子商务进农村示范县重点，</w:t>
      </w:r>
      <w:r>
        <w:rPr>
          <w:rFonts w:hint="default" w:ascii="Times New Roman" w:hAnsi="Times New Roman" w:eastAsia="方正仿宋_GBK" w:cs="Times New Roman"/>
          <w:b w:val="0"/>
          <w:bCs w:val="0"/>
        </w:rPr>
        <w:t>打造社区电子商务、农村电子商务、旅游电子商务、工业产品电子商务发展格局，发展电子商务集聚区，打造易门电商产业园。以电子商务普及推广为重点，突出在工业、农业、商贸流通等领域的普及应用，全面提升县域电子商务应用水平</w:t>
      </w:r>
      <w:r>
        <w:rPr>
          <w:rFonts w:hint="default" w:ascii="Times New Roman" w:hAnsi="Times New Roman" w:eastAsia="方正仿宋_GBK" w:cs="Times New Roman"/>
          <w:b w:val="0"/>
          <w:bCs w:val="0"/>
          <w:lang w:eastAsia="zh-CN"/>
        </w:rPr>
        <w:t>。加快物流基础设施建设，着力提升物流服务能力，加快完善物流产业发展体系，建成滇中城市群面向南亚东南亚重要的物流节点。</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 xml:space="preserve">12 </w:t>
            </w:r>
            <w:r>
              <w:rPr>
                <w:rFonts w:hint="default" w:ascii="Times New Roman" w:hAnsi="Times New Roman" w:eastAsia="方正黑体_GBK" w:cs="Times New Roman"/>
                <w:b/>
                <w:bCs/>
                <w:sz w:val="30"/>
                <w:szCs w:val="30"/>
              </w:rPr>
              <w:t>易门县“十四五”现代物流业区域合作重点方向</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val="0"/>
                <w:sz w:val="28"/>
                <w:szCs w:val="22"/>
                <w:lang w:val="en-US" w:eastAsia="zh-CN"/>
              </w:rPr>
            </w:pPr>
            <w:r>
              <w:rPr>
                <w:rFonts w:hint="default" w:ascii="Times New Roman" w:hAnsi="Times New Roman" w:eastAsia="方正仿宋_GBK" w:cs="Times New Roman"/>
                <w:b/>
                <w:bCs/>
                <w:sz w:val="28"/>
                <w:szCs w:val="22"/>
                <w:lang w:val="en-US" w:eastAsia="zh-CN"/>
              </w:rPr>
              <w:t>一是围绕物流基础设施建设。</w:t>
            </w:r>
            <w:r>
              <w:rPr>
                <w:rFonts w:hint="default" w:ascii="Times New Roman" w:hAnsi="Times New Roman" w:eastAsia="方正仿宋_GBK" w:cs="Times New Roman"/>
                <w:b w:val="0"/>
                <w:bCs w:val="0"/>
                <w:sz w:val="28"/>
                <w:szCs w:val="22"/>
                <w:lang w:val="en-US" w:eastAsia="zh-CN"/>
              </w:rPr>
              <w:t>按照易门县构建“一中心、两节点、 两体系、多支点”物流枢纽体系的目标，加快县城物流集散中心建设，推进多式联运发展，强化周边地区的物流基础设施联通，打造“通道+枢纽+园区+网络”的现代物流体系。</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val="0"/>
                <w:sz w:val="28"/>
                <w:szCs w:val="22"/>
                <w:lang w:val="en-US" w:eastAsia="zh-CN"/>
              </w:rPr>
            </w:pPr>
            <w:r>
              <w:rPr>
                <w:rFonts w:hint="default" w:ascii="Times New Roman" w:hAnsi="Times New Roman" w:eastAsia="方正仿宋_GBK" w:cs="Times New Roman"/>
                <w:b/>
                <w:bCs/>
                <w:sz w:val="28"/>
                <w:szCs w:val="22"/>
                <w:lang w:val="en-US" w:eastAsia="zh-CN"/>
              </w:rPr>
              <w:t>二是围绕物流服务能力提升。</w:t>
            </w:r>
            <w:r>
              <w:rPr>
                <w:rFonts w:hint="default" w:ascii="Times New Roman" w:hAnsi="Times New Roman" w:eastAsia="方正仿宋_GBK" w:cs="Times New Roman"/>
                <w:b w:val="0"/>
                <w:bCs w:val="0"/>
                <w:sz w:val="28"/>
                <w:szCs w:val="22"/>
                <w:lang w:val="en-US" w:eastAsia="zh-CN"/>
              </w:rPr>
              <w:t>依托产业优势和资源优势，与周边地区合作，建设为制造业、加工业、商贸流通业配套服务的“中 央仓库”，发展面向产业基地和制造业的配套产业物流。</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sz w:val="28"/>
                <w:szCs w:val="22"/>
                <w:lang w:val="en-US" w:eastAsia="zh-CN"/>
              </w:rPr>
              <w:t>三是围绕城乡物流体系建设。</w:t>
            </w:r>
            <w:r>
              <w:rPr>
                <w:rFonts w:hint="default" w:ascii="Times New Roman" w:hAnsi="Times New Roman" w:eastAsia="方正仿宋_GBK" w:cs="Times New Roman"/>
                <w:b w:val="0"/>
                <w:bCs w:val="0"/>
                <w:sz w:val="28"/>
                <w:szCs w:val="22"/>
                <w:lang w:val="en-US" w:eastAsia="zh-CN"/>
              </w:rPr>
              <w:t>推进县级物流集散中心，县—乡—村三级物流配送网点的建设，逐步形成以现代物流配送中心和 高效信息管理系统为支撑的物流体系，形成覆盖城区、辐射农村、面向国内外的快捷、便利、畅通的配送体系。</w:t>
            </w:r>
          </w:p>
        </w:tc>
      </w:tr>
    </w:tbl>
    <w:p>
      <w:pPr>
        <w:keepNext w:val="0"/>
        <w:keepLines w:val="0"/>
        <w:pageBreakBefore w:val="0"/>
        <w:widowControl w:val="0"/>
        <w:kinsoku/>
        <w:wordWrap/>
        <w:overflowPunct/>
        <w:topLinePunct w:val="0"/>
        <w:bidi w:val="0"/>
        <w:adjustRightInd/>
        <w:snapToGrid/>
        <w:rPr>
          <w:rFonts w:hint="default" w:ascii="Times New Roman" w:hAnsi="Times New Roman" w:cs="Times New Roman"/>
          <w:b w:val="0"/>
          <w:bCs w:val="0"/>
        </w:rPr>
      </w:pPr>
      <w:r>
        <w:rPr>
          <w:rFonts w:hint="default" w:ascii="Times New Roman" w:hAnsi="Times New Roman" w:eastAsia="方正仿宋_GBK" w:cs="Times New Roman"/>
          <w:b/>
          <w:bCs/>
        </w:rPr>
        <w:t>2.招商引资重点。</w:t>
      </w:r>
      <w:r>
        <w:rPr>
          <w:rFonts w:hint="default" w:ascii="Times New Roman" w:hAnsi="Times New Roman" w:eastAsia="方正仿宋_GBK" w:cs="Times New Roman"/>
          <w:b w:val="0"/>
          <w:bCs w:val="0"/>
        </w:rPr>
        <w:t>重点面向滇中，以打造社会化、专业化、信息化的现代物流体系为目标，引进大型物流龙头企业和各类有实力的投资者，打造融合运输业、仓储业、货代业和信息业的产业集群，推进大型物流枢纽和专业物流园区、本地配送网络建设。</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w:t>
            </w:r>
            <w:r>
              <w:rPr>
                <w:rFonts w:hint="default" w:ascii="Times New Roman" w:hAnsi="Times New Roman" w:eastAsia="方正黑体_GBK" w:cs="Times New Roman"/>
                <w:b/>
                <w:bCs/>
                <w:sz w:val="30"/>
                <w:szCs w:val="30"/>
              </w:rPr>
              <w:t>3 易门县“十四五”现代物流业招商引资重点方向</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bCs w:val="0"/>
                <w:sz w:val="28"/>
                <w:szCs w:val="28"/>
              </w:rPr>
              <w:t>一是</w:t>
            </w:r>
            <w:r>
              <w:rPr>
                <w:rFonts w:hint="default" w:ascii="Times New Roman" w:hAnsi="Times New Roman" w:eastAsia="方正仿宋_GBK" w:cs="Times New Roman"/>
                <w:b w:val="0"/>
                <w:bCs/>
                <w:sz w:val="28"/>
                <w:szCs w:val="28"/>
                <w:lang w:eastAsia="zh-CN"/>
              </w:rPr>
              <w:t>围绕</w:t>
            </w:r>
            <w:r>
              <w:rPr>
                <w:rFonts w:hint="default" w:ascii="Times New Roman" w:hAnsi="Times New Roman" w:eastAsia="方正仿宋_GBK" w:cs="Times New Roman"/>
                <w:b w:val="0"/>
                <w:bCs/>
                <w:sz w:val="28"/>
                <w:szCs w:val="28"/>
              </w:rPr>
              <w:t>物流集聚平台</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引资建设红河谷</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绿汁江冷链物流交易中心</w:t>
            </w:r>
            <w:r>
              <w:rPr>
                <w:rFonts w:hint="default" w:ascii="Times New Roman" w:hAnsi="Times New Roman" w:eastAsia="方正仿宋_GBK" w:cs="Times New Roman"/>
                <w:b w:val="0"/>
                <w:bCs/>
                <w:sz w:val="28"/>
                <w:szCs w:val="28"/>
                <w:lang w:eastAsia="zh-CN"/>
              </w:rPr>
              <w:t>，加大</w:t>
            </w:r>
            <w:r>
              <w:rPr>
                <w:rFonts w:hint="default" w:ascii="Times New Roman" w:hAnsi="Times New Roman" w:eastAsia="方正仿宋_GBK" w:cs="Times New Roman"/>
                <w:b w:val="0"/>
                <w:bCs/>
                <w:sz w:val="28"/>
                <w:szCs w:val="28"/>
              </w:rPr>
              <w:t>以打造集交通培训、汽车修理、仓储物流、吃住玩购一体化的交通科技产业新城项目</w:t>
            </w:r>
            <w:r>
              <w:rPr>
                <w:rFonts w:hint="default" w:ascii="Times New Roman" w:hAnsi="Times New Roman" w:eastAsia="方正仿宋_GBK" w:cs="Times New Roman"/>
                <w:b w:val="0"/>
                <w:bCs/>
                <w:sz w:val="28"/>
                <w:szCs w:val="28"/>
                <w:lang w:eastAsia="zh-CN"/>
              </w:rPr>
              <w:t>招商引资，</w:t>
            </w:r>
            <w:r>
              <w:rPr>
                <w:rFonts w:hint="default" w:ascii="Times New Roman" w:hAnsi="Times New Roman" w:eastAsia="方正仿宋_GBK" w:cs="Times New Roman"/>
                <w:b w:val="0"/>
                <w:bCs/>
                <w:sz w:val="28"/>
                <w:szCs w:val="28"/>
              </w:rPr>
              <w:t>推进中贸物流园、中瑞仓储、易腾物流园等项目</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十街、浦贝冷链物流中心以及铜厂股水物流区项目</w:t>
            </w:r>
            <w:r>
              <w:rPr>
                <w:rFonts w:hint="default" w:ascii="Times New Roman" w:hAnsi="Times New Roman" w:eastAsia="方正仿宋_GBK" w:cs="Times New Roman"/>
                <w:b w:val="0"/>
                <w:bCs/>
                <w:sz w:val="28"/>
                <w:szCs w:val="28"/>
                <w:lang w:eastAsia="zh-CN"/>
              </w:rPr>
              <w:t>的招商引资。</w:t>
            </w:r>
            <w:r>
              <w:rPr>
                <w:rFonts w:hint="default" w:ascii="Times New Roman" w:hAnsi="Times New Roman" w:eastAsia="方正仿宋_GBK" w:cs="Times New Roman"/>
                <w:b w:val="0"/>
                <w:bCs/>
                <w:sz w:val="28"/>
                <w:szCs w:val="28"/>
              </w:rPr>
              <w:t xml:space="preserve"> </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bCs w:val="0"/>
                <w:sz w:val="28"/>
                <w:szCs w:val="28"/>
              </w:rPr>
              <w:t>二是</w:t>
            </w:r>
            <w:r>
              <w:rPr>
                <w:rFonts w:hint="default" w:ascii="Times New Roman" w:hAnsi="Times New Roman" w:eastAsia="方正仿宋_GBK" w:cs="Times New Roman"/>
                <w:b w:val="0"/>
                <w:bCs/>
                <w:sz w:val="28"/>
                <w:szCs w:val="28"/>
                <w:lang w:eastAsia="zh-CN"/>
              </w:rPr>
              <w:t>围绕</w:t>
            </w:r>
            <w:r>
              <w:rPr>
                <w:rFonts w:hint="default" w:ascii="Times New Roman" w:hAnsi="Times New Roman" w:eastAsia="方正仿宋_GBK" w:cs="Times New Roman"/>
                <w:b w:val="0"/>
                <w:bCs/>
                <w:sz w:val="28"/>
                <w:szCs w:val="28"/>
              </w:rPr>
              <w:t>物流智慧平台</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重点引资打造集物流信息发布、在线交易、数据交换、</w:t>
            </w:r>
            <w:r>
              <w:rPr>
                <w:rFonts w:hint="default" w:ascii="Times New Roman" w:hAnsi="Times New Roman" w:eastAsia="方正仿宋_GBK" w:cs="Times New Roman"/>
                <w:b w:val="0"/>
                <w:bCs/>
                <w:sz w:val="28"/>
                <w:szCs w:val="28"/>
                <w:lang w:eastAsia="zh-CN"/>
              </w:rPr>
              <w:t>智能</w:t>
            </w:r>
            <w:r>
              <w:rPr>
                <w:rFonts w:hint="default" w:ascii="Times New Roman" w:hAnsi="Times New Roman" w:eastAsia="方正仿宋_GBK" w:cs="Times New Roman"/>
                <w:b w:val="0"/>
                <w:bCs/>
                <w:sz w:val="28"/>
                <w:szCs w:val="28"/>
              </w:rPr>
              <w:t>分析、跟踪追溯等为一体的物流公共信息服务平台、物流电子商务平台、App手机应用三大信息服务平台；</w:t>
            </w:r>
          </w:p>
          <w:p>
            <w:pPr>
              <w:pStyle w:val="5"/>
              <w:keepNext w:val="0"/>
              <w:keepLines w:val="0"/>
              <w:pageBreakBefore w:val="0"/>
              <w:widowControl w:val="0"/>
              <w:kinsoku/>
              <w:wordWrap/>
              <w:overflowPunct/>
              <w:topLinePunct w:val="0"/>
              <w:autoSpaceDN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sz w:val="28"/>
                <w:szCs w:val="28"/>
              </w:rPr>
              <w:t>三是</w:t>
            </w:r>
            <w:r>
              <w:rPr>
                <w:rFonts w:hint="default" w:ascii="Times New Roman" w:hAnsi="Times New Roman" w:eastAsia="方正仿宋_GBK" w:cs="Times New Roman"/>
                <w:b w:val="0"/>
                <w:bCs/>
                <w:sz w:val="28"/>
                <w:szCs w:val="28"/>
                <w:lang w:eastAsia="zh-CN"/>
              </w:rPr>
              <w:t>围绕</w:t>
            </w:r>
            <w:r>
              <w:rPr>
                <w:rFonts w:hint="default" w:ascii="Times New Roman" w:hAnsi="Times New Roman" w:eastAsia="方正仿宋_GBK" w:cs="Times New Roman"/>
                <w:b w:val="0"/>
                <w:bCs/>
                <w:sz w:val="28"/>
                <w:szCs w:val="28"/>
              </w:rPr>
              <w:t>区域物流网络</w:t>
            </w:r>
            <w:r>
              <w:rPr>
                <w:rFonts w:hint="default" w:ascii="Times New Roman" w:hAnsi="Times New Roman" w:eastAsia="方正仿宋_GBK" w:cs="Times New Roman"/>
                <w:b w:val="0"/>
                <w:bCs/>
                <w:sz w:val="28"/>
                <w:szCs w:val="28"/>
                <w:lang w:eastAsia="zh-CN"/>
              </w:rPr>
              <w:t>，</w:t>
            </w:r>
            <w:r>
              <w:rPr>
                <w:rFonts w:hint="default" w:ascii="Times New Roman" w:hAnsi="Times New Roman" w:eastAsia="方正仿宋_GBK" w:cs="Times New Roman"/>
                <w:b w:val="0"/>
                <w:bCs/>
                <w:sz w:val="28"/>
                <w:szCs w:val="28"/>
              </w:rPr>
              <w:t>重点引进应急物资储备中心、城市物流、连锁配送等项目</w:t>
            </w:r>
            <w:r>
              <w:rPr>
                <w:rFonts w:hint="default" w:ascii="Times New Roman" w:hAnsi="Times New Roman" w:eastAsia="方正仿宋_GBK" w:cs="Times New Roman"/>
                <w:b w:val="0"/>
                <w:bCs/>
                <w:sz w:val="28"/>
                <w:szCs w:val="28"/>
                <w:lang w:eastAsia="zh-CN"/>
              </w:rPr>
              <w:t>、企业，构建相对</w:t>
            </w:r>
            <w:r>
              <w:rPr>
                <w:rFonts w:hint="default" w:ascii="Times New Roman" w:hAnsi="Times New Roman" w:eastAsia="方正仿宋_GBK" w:cs="Times New Roman"/>
                <w:b w:val="0"/>
                <w:bCs/>
                <w:sz w:val="28"/>
                <w:szCs w:val="28"/>
              </w:rPr>
              <w:t>完善</w:t>
            </w:r>
            <w:r>
              <w:rPr>
                <w:rFonts w:hint="default" w:ascii="Times New Roman" w:hAnsi="Times New Roman" w:eastAsia="方正仿宋_GBK" w:cs="Times New Roman"/>
                <w:b w:val="0"/>
                <w:bCs/>
                <w:sz w:val="28"/>
                <w:szCs w:val="28"/>
                <w:lang w:eastAsia="zh-CN"/>
              </w:rPr>
              <w:t>的</w:t>
            </w:r>
            <w:r>
              <w:rPr>
                <w:rFonts w:hint="default" w:ascii="Times New Roman" w:hAnsi="Times New Roman" w:eastAsia="方正仿宋_GBK" w:cs="Times New Roman"/>
                <w:b w:val="0"/>
                <w:bCs/>
                <w:sz w:val="28"/>
                <w:szCs w:val="28"/>
              </w:rPr>
              <w:t>流通网络。</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8" w:name="_Toc18450"/>
      <w:r>
        <w:rPr>
          <w:rFonts w:hint="default" w:ascii="Times New Roman" w:hAnsi="Times New Roman" w:eastAsia="方正楷体_GBK" w:cs="Times New Roman"/>
          <w:lang w:val="en-US" w:eastAsia="zh-CN"/>
        </w:rPr>
        <w:t>（九）促进建筑及房地产业健康发展</w:t>
      </w:r>
      <w:bookmarkEnd w:id="78"/>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cs="Times New Roman"/>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lang w:eastAsia="zh-CN"/>
        </w:rPr>
        <w:t>一方面按照建筑工业化、住宅产业化、产业本地化的要求，积极探索装配式建筑，推动产业结构转型升级。发挥政府的政策引导与扶持作用，建立市场主导、政府推动、龙头企业带动、产学研为一体的发展新模式，不断推动建筑产业发展壮大。另一方面，按照建成区十平方公里，人口十万人的目标合理制定房地产业 发展规划。</w:t>
      </w:r>
      <w:r>
        <w:rPr>
          <w:rFonts w:hint="default" w:ascii="Times New Roman" w:hAnsi="Times New Roman" w:eastAsia="方正仿宋_GBK" w:cs="Times New Roman"/>
          <w:lang w:eastAsia="zh-CN"/>
        </w:rPr>
        <w:t>合理规划商品住房、保障性住房等各类住房建设用地计划、供应量和比例，促进居住、商业和办公等地产多元化协调发展，大力发展租赁住房，引起管理先进的物业，更好满足居民多层次住房需求，改善人民群众宜居环境。</w:t>
      </w:r>
    </w:p>
    <w:tbl>
      <w:tblPr>
        <w:tblStyle w:val="21"/>
        <w:tblpPr w:leftFromText="180" w:rightFromText="180" w:vertAnchor="text" w:horzAnchor="page" w:tblpX="1578" w:tblpY="67"/>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14</w:t>
            </w:r>
            <w:r>
              <w:rPr>
                <w:rFonts w:hint="default" w:ascii="Times New Roman" w:hAnsi="Times New Roman" w:eastAsia="方正黑体_GBK" w:cs="Times New Roman"/>
                <w:b/>
                <w:bCs/>
                <w:sz w:val="30"/>
                <w:szCs w:val="30"/>
              </w:rPr>
              <w:t xml:space="preserve"> 易门县“十四五”建筑及房地产业区域合作重点方向</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kern w:val="0"/>
                <w:sz w:val="28"/>
                <w:szCs w:val="24"/>
                <w:lang w:val="en-US" w:eastAsia="zh-CN" w:bidi="ar-SA"/>
              </w:rPr>
            </w:pPr>
            <w:r>
              <w:rPr>
                <w:rFonts w:hint="default" w:ascii="Times New Roman" w:hAnsi="Times New Roman" w:eastAsia="方正仿宋_GBK" w:cs="Times New Roman"/>
                <w:b/>
                <w:bCs w:val="0"/>
                <w:kern w:val="0"/>
                <w:sz w:val="28"/>
                <w:szCs w:val="24"/>
                <w:lang w:val="en-US" w:eastAsia="zh-CN" w:bidi="ar-SA"/>
              </w:rPr>
              <w:t>一是</w:t>
            </w:r>
            <w:r>
              <w:rPr>
                <w:rFonts w:hint="default" w:ascii="Times New Roman" w:hAnsi="Times New Roman" w:eastAsia="方正仿宋_GBK" w:cs="Times New Roman"/>
                <w:b w:val="0"/>
                <w:bCs/>
                <w:kern w:val="0"/>
                <w:sz w:val="28"/>
                <w:szCs w:val="24"/>
                <w:lang w:val="en-US" w:eastAsia="zh-CN" w:bidi="ar-SA"/>
              </w:rPr>
              <w:t>围绕提升城市品质，按照“滇中菌乡山水公园城”定位， 加快融入和服务昆玉同城化发展，以“美丽县城”建设为抓手，聚焦“干净、宜居、特色、智慧”要素，坚持规划引领，优化功能布局。加快城市更新改造，统筹老旧小区改造、城中村改造和新城区建设，稳步推进县城城山片区、桥头街片区、南片区、合作水库片区开发。</w:t>
            </w:r>
          </w:p>
          <w:p>
            <w:pPr>
              <w:pStyle w:val="7"/>
              <w:rPr>
                <w:rFonts w:hint="default" w:ascii="Times New Roman" w:hAnsi="Times New Roman" w:cs="Times New Roman"/>
              </w:rPr>
            </w:pPr>
            <w:r>
              <w:rPr>
                <w:rFonts w:hint="default" w:ascii="Times New Roman" w:hAnsi="Times New Roman" w:eastAsia="方正仿宋_GBK" w:cs="Times New Roman"/>
                <w:b/>
                <w:bCs w:val="0"/>
                <w:kern w:val="0"/>
                <w:sz w:val="28"/>
                <w:szCs w:val="24"/>
                <w:lang w:val="en-US" w:eastAsia="zh-CN" w:bidi="ar-SA"/>
              </w:rPr>
              <w:t>二是</w:t>
            </w:r>
            <w:r>
              <w:rPr>
                <w:rFonts w:hint="default" w:ascii="Times New Roman" w:hAnsi="Times New Roman" w:eastAsia="方正仿宋_GBK" w:cs="Times New Roman"/>
                <w:b w:val="0"/>
                <w:bCs/>
                <w:kern w:val="0"/>
                <w:sz w:val="28"/>
                <w:szCs w:val="24"/>
                <w:lang w:val="en-US" w:eastAsia="zh-CN" w:bidi="ar-SA"/>
              </w:rPr>
              <w:t>围绕住房保障体系建设，盘活城镇、城郊土地和房屋资源，着眼高 品质、避免同质化，合理规划商品住房、保障性住房等各类 住房建设用地计划、供应量和比例，促进居住、商业和办公 等地产多元化协调发展，加快片区开发项目建设，发展旅游、 养老、文化、健康生活等地产项目。</w:t>
            </w:r>
          </w:p>
        </w:tc>
      </w:tr>
    </w:tbl>
    <w:p>
      <w:pPr>
        <w:keepNext w:val="0"/>
        <w:keepLines w:val="0"/>
        <w:pageBreakBefore w:val="0"/>
        <w:widowControl w:val="0"/>
        <w:kinsoku/>
        <w:wordWrap/>
        <w:overflowPunct/>
        <w:topLinePunct w:val="0"/>
        <w:bidi w:val="0"/>
        <w:adjustRightInd/>
        <w:snapToGrid/>
        <w:rPr>
          <w:rFonts w:hint="default" w:ascii="Times New Roman" w:hAnsi="Times New Roman" w:cs="Times New Roman"/>
          <w:lang w:val="en-US" w:eastAsia="zh-CN"/>
        </w:rPr>
      </w:pPr>
      <w:r>
        <w:rPr>
          <w:rFonts w:hint="default" w:ascii="Times New Roman" w:hAnsi="Times New Roman" w:cs="Times New Roman"/>
          <w:b/>
          <w:bCs/>
        </w:rPr>
        <w:t>2.招商引资重点。</w:t>
      </w:r>
      <w:r>
        <w:rPr>
          <w:rFonts w:hint="default" w:ascii="Times New Roman" w:hAnsi="Times New Roman" w:cs="Times New Roman"/>
          <w:lang w:val="en-US" w:eastAsia="zh-CN"/>
        </w:rPr>
        <w:t>综合考虑易门经济发展、土地资源、市场需求等多种因素，积极引进有实力的企业，稳步推进易门建筑业发展，尤其是围绕绿色建筑领域，结合城市更新改造，统筹老旧小区改造、城中村 改造和新城区建设以及旅游、 养老、文化、健康生活等地产项目，推动易门检出及房地产业健康平稳发展。</w:t>
      </w:r>
    </w:p>
    <w:tbl>
      <w:tblPr>
        <w:tblStyle w:val="21"/>
        <w:tblpPr w:leftFromText="180" w:rightFromText="180" w:vertAnchor="text" w:horzAnchor="page" w:tblpX="1578" w:tblpY="67"/>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15</w:t>
            </w:r>
            <w:r>
              <w:rPr>
                <w:rFonts w:hint="default" w:ascii="Times New Roman" w:hAnsi="Times New Roman" w:eastAsia="方正黑体_GBK" w:cs="Times New Roman"/>
                <w:b/>
                <w:bCs/>
                <w:sz w:val="30"/>
                <w:szCs w:val="30"/>
              </w:rPr>
              <w:t xml:space="preserve"> 易门县“十四五”建筑及房地产业</w:t>
            </w:r>
            <w:r>
              <w:rPr>
                <w:rFonts w:hint="default" w:ascii="Times New Roman" w:hAnsi="Times New Roman" w:eastAsia="方正黑体_GBK" w:cs="Times New Roman"/>
                <w:b/>
                <w:bCs/>
                <w:sz w:val="30"/>
                <w:szCs w:val="30"/>
                <w:lang w:eastAsia="zh-CN"/>
              </w:rPr>
              <w:t>招商引资</w:t>
            </w:r>
            <w:r>
              <w:rPr>
                <w:rFonts w:hint="default" w:ascii="Times New Roman" w:hAnsi="Times New Roman" w:eastAsia="方正黑体_GBK" w:cs="Times New Roman"/>
                <w:b/>
                <w:bCs/>
                <w:sz w:val="30"/>
                <w:szCs w:val="30"/>
              </w:rPr>
              <w:t>重点方向</w:t>
            </w:r>
          </w:p>
          <w:p>
            <w:pPr>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kern w:val="0"/>
                <w:sz w:val="28"/>
                <w:szCs w:val="24"/>
                <w:lang w:val="en-US" w:eastAsia="zh-CN" w:bidi="ar-SA"/>
              </w:rPr>
            </w:pPr>
            <w:r>
              <w:rPr>
                <w:rFonts w:hint="default" w:ascii="Times New Roman" w:hAnsi="Times New Roman" w:eastAsia="方正仿宋_GBK" w:cs="Times New Roman"/>
                <w:b/>
                <w:bCs w:val="0"/>
                <w:kern w:val="0"/>
                <w:sz w:val="28"/>
                <w:szCs w:val="24"/>
                <w:lang w:val="en-US" w:eastAsia="zh-CN" w:bidi="ar-SA"/>
              </w:rPr>
              <w:t>一是</w:t>
            </w:r>
            <w:r>
              <w:rPr>
                <w:rFonts w:hint="default" w:ascii="Times New Roman" w:hAnsi="Times New Roman" w:eastAsia="方正仿宋_GBK" w:cs="Times New Roman"/>
                <w:b w:val="0"/>
                <w:bCs/>
                <w:kern w:val="0"/>
                <w:sz w:val="28"/>
                <w:szCs w:val="24"/>
                <w:lang w:val="en-US" w:eastAsia="zh-CN" w:bidi="ar-SA"/>
              </w:rPr>
              <w:t>积极引导、鼓励有实力的县外建筑施工企业落户易门，支持本土 建筑企业积极开拓县外市场。加快推进以装配式建筑为代表 的新型建筑工业化，全面推进绿色建筑发展。</w:t>
            </w:r>
          </w:p>
          <w:p>
            <w:pPr>
              <w:pStyle w:val="7"/>
              <w:rPr>
                <w:rFonts w:hint="default" w:ascii="Times New Roman" w:hAnsi="Times New Roman" w:eastAsia="方正仿宋_GBK" w:cs="Times New Roman"/>
                <w:b w:val="0"/>
                <w:bCs/>
                <w:kern w:val="0"/>
                <w:sz w:val="28"/>
                <w:szCs w:val="24"/>
                <w:lang w:val="en-US" w:eastAsia="zh-CN" w:bidi="ar-SA"/>
              </w:rPr>
            </w:pPr>
            <w:r>
              <w:rPr>
                <w:rFonts w:hint="default" w:ascii="Times New Roman" w:hAnsi="Times New Roman" w:eastAsia="方正仿宋_GBK" w:cs="Times New Roman"/>
                <w:b/>
                <w:bCs w:val="0"/>
                <w:kern w:val="0"/>
                <w:sz w:val="28"/>
                <w:szCs w:val="24"/>
                <w:lang w:val="en-US" w:eastAsia="zh-CN" w:bidi="ar-SA"/>
              </w:rPr>
              <w:t>二是</w:t>
            </w:r>
            <w:r>
              <w:rPr>
                <w:rFonts w:hint="default" w:ascii="Times New Roman" w:hAnsi="Times New Roman" w:eastAsia="方正仿宋_GBK" w:cs="Times New Roman"/>
                <w:b w:val="0"/>
                <w:bCs/>
                <w:kern w:val="0"/>
                <w:sz w:val="28"/>
                <w:szCs w:val="24"/>
                <w:lang w:val="en-US" w:eastAsia="zh-CN" w:bidi="ar-SA"/>
              </w:rPr>
              <w:t>积极引导省外大型建筑业企业落户易门，对省外大型建筑企业进行上门服务，主动对接、简化流程，指导企业在易门完成工商注册、资质办理和统计入库工作。同时，引导和扶持企业提高资质等级。扩展和提高建筑业企业竞争能力，扶持建筑业企业资质增项、升级。</w:t>
            </w:r>
          </w:p>
          <w:p>
            <w:pPr>
              <w:pStyle w:val="7"/>
              <w:rPr>
                <w:rFonts w:hint="default" w:ascii="Times New Roman" w:hAnsi="Times New Roman" w:eastAsia="宋体" w:cs="Times New Roman"/>
                <w:lang w:eastAsia="zh-CN"/>
              </w:rPr>
            </w:pPr>
            <w:r>
              <w:rPr>
                <w:rFonts w:hint="default" w:ascii="Times New Roman" w:hAnsi="Times New Roman" w:eastAsia="方正仿宋_GBK" w:cs="Times New Roman"/>
                <w:b/>
                <w:bCs w:val="0"/>
                <w:kern w:val="0"/>
                <w:sz w:val="28"/>
                <w:szCs w:val="24"/>
                <w:lang w:val="en-US" w:eastAsia="zh-CN" w:bidi="ar-SA"/>
              </w:rPr>
              <w:t>三是</w:t>
            </w:r>
            <w:r>
              <w:rPr>
                <w:rFonts w:hint="default" w:ascii="Times New Roman" w:hAnsi="Times New Roman" w:eastAsia="方正仿宋_GBK" w:cs="Times New Roman"/>
                <w:b w:val="0"/>
                <w:bCs/>
                <w:kern w:val="0"/>
                <w:sz w:val="28"/>
                <w:szCs w:val="24"/>
                <w:lang w:val="en-US" w:eastAsia="zh-CN" w:bidi="ar-SA"/>
              </w:rPr>
              <w:t>围绕人民高质量生活需求，引进拥有先进管理理念、技术的物业。</w:t>
            </w:r>
          </w:p>
        </w:tc>
      </w:tr>
    </w:tbl>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79" w:name="_Toc19236"/>
      <w:r>
        <w:rPr>
          <w:rFonts w:hint="default" w:ascii="Times New Roman" w:hAnsi="Times New Roman" w:eastAsia="方正楷体_GBK" w:cs="Times New Roman"/>
          <w:lang w:val="en-US" w:eastAsia="zh-CN"/>
        </w:rPr>
        <w:t>（十）积极培育新能源产业</w:t>
      </w:r>
      <w:bookmarkEnd w:id="79"/>
    </w:p>
    <w:p>
      <w:pPr>
        <w:keepNext w:val="0"/>
        <w:keepLines w:val="0"/>
        <w:pageBreakBefore w:val="0"/>
        <w:widowControl w:val="0"/>
        <w:kinsoku/>
        <w:wordWrap/>
        <w:overflowPunct/>
        <w:topLinePunct w:val="0"/>
        <w:bidi w:val="0"/>
        <w:adjustRightInd/>
        <w:snapToGrid/>
        <w:rPr>
          <w:rFonts w:hint="default" w:ascii="Times New Roman" w:hAnsi="Times New Roman" w:eastAsia="方正仿宋_GBK" w:cs="Times New Roman"/>
        </w:rPr>
      </w:pPr>
      <w:r>
        <w:rPr>
          <w:rFonts w:hint="default" w:ascii="Times New Roman" w:hAnsi="Times New Roman" w:eastAsia="方正仿宋_GBK" w:cs="Times New Roman"/>
          <w:b/>
          <w:bCs/>
        </w:rPr>
        <w:t>1.区域合作重点。</w:t>
      </w:r>
      <w:r>
        <w:rPr>
          <w:rFonts w:hint="default" w:ascii="Times New Roman" w:hAnsi="Times New Roman" w:eastAsia="方正仿宋_GBK" w:cs="Times New Roman"/>
          <w:b w:val="0"/>
          <w:bCs w:val="0"/>
        </w:rPr>
        <w:t>依托区域产业政策、资源禀赋和产业基础，</w:t>
      </w:r>
      <w:r>
        <w:rPr>
          <w:rFonts w:hint="default" w:ascii="Times New Roman" w:hAnsi="Times New Roman" w:eastAsia="方正仿宋_GBK" w:cs="Times New Roman"/>
          <w:b w:val="0"/>
          <w:bCs w:val="0"/>
          <w:lang w:eastAsia="zh-CN"/>
        </w:rPr>
        <w:t>围绕低碳易门建设，聚焦天然气、风电、光伏、生物质能等新，加快培育新能源产业，密切关注京津冀、长三角、粤港澳、成渝以及长江中游城市群等重点区域产业动态，全方位推进与先进地区交流合作，吸引企业、技术、人才、科研机构投资建设易门。</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16</w:t>
            </w:r>
            <w:r>
              <w:rPr>
                <w:rFonts w:hint="default" w:ascii="Times New Roman" w:hAnsi="Times New Roman" w:eastAsia="方正黑体_GBK" w:cs="Times New Roman"/>
                <w:b/>
                <w:bCs/>
                <w:sz w:val="30"/>
                <w:szCs w:val="30"/>
              </w:rPr>
              <w:t xml:space="preserve"> 易门县“十四五”</w:t>
            </w:r>
            <w:r>
              <w:rPr>
                <w:rFonts w:hint="default" w:ascii="Times New Roman" w:hAnsi="Times New Roman" w:eastAsia="方正黑体_GBK" w:cs="Times New Roman"/>
                <w:b/>
                <w:bCs/>
                <w:sz w:val="30"/>
                <w:szCs w:val="30"/>
                <w:lang w:val="en-US"/>
              </w:rPr>
              <w:t>新能源产业</w:t>
            </w:r>
            <w:r>
              <w:rPr>
                <w:rFonts w:hint="default" w:ascii="Times New Roman" w:hAnsi="Times New Roman" w:eastAsia="方正黑体_GBK" w:cs="Times New Roman"/>
                <w:b/>
                <w:bCs/>
                <w:sz w:val="30"/>
                <w:szCs w:val="30"/>
                <w:lang w:val="en-US" w:eastAsia="zh-CN"/>
              </w:rPr>
              <w:t>区域合作</w:t>
            </w:r>
            <w:r>
              <w:rPr>
                <w:rFonts w:hint="default" w:ascii="Times New Roman" w:hAnsi="Times New Roman" w:eastAsia="方正黑体_GBK" w:cs="Times New Roman"/>
                <w:b/>
                <w:bCs/>
                <w:sz w:val="30"/>
                <w:szCs w:val="30"/>
              </w:rPr>
              <w:t>重点方向</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kern w:val="0"/>
                <w:sz w:val="28"/>
                <w:szCs w:val="24"/>
                <w:lang w:val="en-US" w:eastAsia="zh-CN" w:bidi="ar-SA"/>
              </w:rPr>
            </w:pPr>
            <w:r>
              <w:rPr>
                <w:rFonts w:hint="default" w:ascii="Times New Roman" w:hAnsi="Times New Roman" w:eastAsia="方正仿宋_GBK" w:cs="Times New Roman"/>
                <w:b/>
                <w:bCs w:val="0"/>
                <w:kern w:val="0"/>
                <w:sz w:val="28"/>
                <w:szCs w:val="24"/>
                <w:lang w:val="en-US" w:eastAsia="zh-CN" w:bidi="ar-SA"/>
              </w:rPr>
              <w:t>一是</w:t>
            </w:r>
            <w:r>
              <w:rPr>
                <w:rFonts w:hint="default" w:ascii="Times New Roman" w:hAnsi="Times New Roman" w:eastAsia="方正仿宋_GBK" w:cs="Times New Roman"/>
                <w:b w:val="0"/>
                <w:bCs/>
                <w:kern w:val="0"/>
                <w:sz w:val="28"/>
                <w:szCs w:val="24"/>
                <w:lang w:val="en-US" w:eastAsia="zh-CN" w:bidi="ar-SA"/>
              </w:rPr>
              <w:t>围绕光伏、风电、生物质能，有序推进马头村、十街、三元、白邑等8个光伏电站项目建设以及罗母箐、樟木箐、铜厂、浦贝4个风电场项目建设。积极利用农作物秸秆、畜禽粪便等开展生物质能发电。</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kern w:val="0"/>
                <w:sz w:val="28"/>
                <w:szCs w:val="24"/>
                <w:lang w:val="en-US" w:eastAsia="zh-CN" w:bidi="ar-SA"/>
              </w:rPr>
            </w:pPr>
            <w:r>
              <w:rPr>
                <w:rFonts w:hint="default" w:ascii="Times New Roman" w:hAnsi="Times New Roman" w:eastAsia="方正仿宋_GBK" w:cs="Times New Roman"/>
                <w:b/>
                <w:bCs w:val="0"/>
                <w:kern w:val="0"/>
                <w:sz w:val="28"/>
                <w:szCs w:val="24"/>
                <w:lang w:val="en-US" w:eastAsia="zh-CN" w:bidi="ar-SA"/>
              </w:rPr>
              <w:t>二是</w:t>
            </w:r>
            <w:r>
              <w:rPr>
                <w:rFonts w:hint="default" w:ascii="Times New Roman" w:hAnsi="Times New Roman" w:eastAsia="方正仿宋_GBK" w:cs="Times New Roman"/>
                <w:b w:val="0"/>
                <w:bCs/>
                <w:kern w:val="0"/>
                <w:sz w:val="28"/>
                <w:szCs w:val="24"/>
                <w:lang w:val="en-US" w:eastAsia="zh-CN" w:bidi="ar-SA"/>
              </w:rPr>
              <w:t xml:space="preserve">围绕天然气利用，积极推进能源消费结构优化，促进建材、陶瓷、轻化工、商业服务、食品等行业全面使用天然气。 </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kern w:val="0"/>
                <w:sz w:val="28"/>
                <w:szCs w:val="24"/>
                <w:lang w:val="en-US" w:eastAsia="zh-CN" w:bidi="ar-SA"/>
              </w:rPr>
              <w:t>三是</w:t>
            </w:r>
            <w:r>
              <w:rPr>
                <w:rFonts w:hint="default" w:ascii="Times New Roman" w:hAnsi="Times New Roman" w:eastAsia="方正仿宋_GBK" w:cs="Times New Roman"/>
                <w:b w:val="0"/>
                <w:bCs/>
                <w:kern w:val="0"/>
                <w:sz w:val="28"/>
                <w:szCs w:val="24"/>
                <w:lang w:val="en-US" w:eastAsia="zh-CN" w:bidi="ar-SA"/>
              </w:rPr>
              <w:t>围绕电动汽车充电基础设施建设，在公交停车场、大型客运站、环卫物流站建设独立占地的充电站，并作为电动汽车充电示范站和推广点。在集中居民小区、企事业单位、工业园区等单位内部建设用户专用充电桩群，有条件的设施对社会公众开放。在公共机构、交通枢纽、商场、文体设施、 城市绿地、建筑物配建停车场、路边停车位等城市公共停车场所，全面推广建设分散式充电桩，满足临时补电需要。</w:t>
            </w:r>
          </w:p>
        </w:tc>
      </w:tr>
    </w:tbl>
    <w:p>
      <w:pPr>
        <w:keepNext w:val="0"/>
        <w:keepLines w:val="0"/>
        <w:pageBreakBefore w:val="0"/>
        <w:widowControl w:val="0"/>
        <w:kinsoku/>
        <w:wordWrap/>
        <w:overflowPunct/>
        <w:topLinePunct w:val="0"/>
        <w:bidi w:val="0"/>
        <w:adjustRightInd/>
        <w:snapToGrid/>
        <w:rPr>
          <w:rFonts w:hint="default" w:ascii="Times New Roman" w:hAnsi="Times New Roman" w:cs="Times New Roman"/>
          <w:b w:val="0"/>
          <w:bCs w:val="0"/>
        </w:rPr>
      </w:pPr>
      <w:r>
        <w:rPr>
          <w:rFonts w:hint="default" w:ascii="Times New Roman" w:hAnsi="Times New Roman" w:eastAsia="方正仿宋_GBK" w:cs="Times New Roman"/>
          <w:b/>
          <w:bCs/>
        </w:rPr>
        <w:t>2.招商引资重点。</w:t>
      </w:r>
      <w:r>
        <w:rPr>
          <w:rFonts w:hint="default" w:ascii="Times New Roman" w:hAnsi="Times New Roman" w:eastAsia="方正仿宋_GBK" w:cs="Times New Roman"/>
          <w:b w:val="0"/>
          <w:bCs w:val="0"/>
        </w:rPr>
        <w:t>紧盯</w:t>
      </w:r>
      <w:r>
        <w:rPr>
          <w:rFonts w:hint="default" w:ascii="Times New Roman" w:hAnsi="Times New Roman" w:eastAsia="方正仿宋_GBK" w:cs="Times New Roman"/>
          <w:b w:val="0"/>
          <w:bCs w:val="0"/>
          <w:lang w:eastAsia="zh-CN"/>
        </w:rPr>
        <w:t>云南和</w:t>
      </w:r>
      <w:r>
        <w:rPr>
          <w:rFonts w:hint="default" w:ascii="Times New Roman" w:hAnsi="Times New Roman" w:eastAsia="方正仿宋_GBK" w:cs="Times New Roman"/>
          <w:b w:val="0"/>
          <w:bCs w:val="0"/>
        </w:rPr>
        <w:t>玉溪新能源产业链重点环节，精准定位招商产业链及细分市场。强化靶向招商引资，以招商引资项目落地为抓手，发挥项目引领带动作用，推进以产业基地为主要载体的产业快速发展。聚焦天然气、风电、光伏、生物质能，逐步建立完善招商网络，多种渠道开展精准招商、产业承接。</w:t>
      </w:r>
    </w:p>
    <w:tbl>
      <w:tblPr>
        <w:tblStyle w:val="2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tcPr>
          <w:p>
            <w:pPr>
              <w:keepNext w:val="0"/>
              <w:keepLines w:val="0"/>
              <w:pageBreakBefore w:val="0"/>
              <w:widowControl w:val="0"/>
              <w:kinsoku/>
              <w:wordWrap/>
              <w:overflowPunct/>
              <w:topLinePunct w:val="0"/>
              <w:autoSpaceDN w:val="0"/>
              <w:bidi w:val="0"/>
              <w:adjustRightInd/>
              <w:snapToGrid/>
              <w:spacing w:beforeLines="50" w:afterLines="50" w:line="400" w:lineRule="exact"/>
              <w:ind w:firstLine="0" w:firstLineChars="0"/>
              <w:jc w:val="center"/>
              <w:rPr>
                <w:rFonts w:hint="default" w:ascii="Times New Roman" w:hAnsi="Times New Roman" w:eastAsia="方正黑体_GBK" w:cs="Times New Roman"/>
                <w:b/>
                <w:bCs/>
                <w:sz w:val="30"/>
                <w:szCs w:val="30"/>
              </w:rPr>
            </w:pPr>
            <w:r>
              <w:rPr>
                <w:rFonts w:hint="default" w:ascii="Times New Roman" w:hAnsi="Times New Roman" w:eastAsia="方正黑体_GBK" w:cs="Times New Roman"/>
                <w:b/>
                <w:bCs/>
                <w:sz w:val="30"/>
                <w:szCs w:val="30"/>
              </w:rPr>
              <w:t>专栏</w:t>
            </w:r>
            <w:r>
              <w:rPr>
                <w:rFonts w:hint="default" w:ascii="Times New Roman" w:hAnsi="Times New Roman" w:eastAsia="方正黑体_GBK" w:cs="Times New Roman"/>
                <w:b/>
                <w:bCs/>
                <w:sz w:val="30"/>
                <w:szCs w:val="30"/>
                <w:lang w:val="en-US" w:eastAsia="zh-CN"/>
              </w:rPr>
              <w:t>17</w:t>
            </w:r>
            <w:r>
              <w:rPr>
                <w:rFonts w:hint="default" w:ascii="Times New Roman" w:hAnsi="Times New Roman" w:eastAsia="方正黑体_GBK" w:cs="Times New Roman"/>
                <w:b/>
                <w:bCs/>
                <w:sz w:val="30"/>
                <w:szCs w:val="30"/>
              </w:rPr>
              <w:t xml:space="preserve"> 易门县“十四五”新能源产业招商引资重点方向</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方正仿宋_GBK" w:cs="Times New Roman"/>
                <w:b w:val="0"/>
                <w:bCs/>
                <w:sz w:val="28"/>
                <w:szCs w:val="24"/>
                <w:lang w:val="en-US" w:eastAsia="zh-CN"/>
              </w:rPr>
            </w:pPr>
            <w:r>
              <w:rPr>
                <w:rFonts w:hint="default" w:ascii="Times New Roman" w:hAnsi="Times New Roman" w:eastAsia="方正仿宋_GBK" w:cs="Times New Roman"/>
                <w:b/>
                <w:bCs w:val="0"/>
                <w:sz w:val="28"/>
                <w:szCs w:val="24"/>
                <w:lang w:val="en-US" w:eastAsia="zh-CN"/>
              </w:rPr>
              <w:t>一是</w:t>
            </w:r>
            <w:r>
              <w:rPr>
                <w:rFonts w:hint="default" w:ascii="Times New Roman" w:hAnsi="Times New Roman" w:eastAsia="方正仿宋_GBK" w:cs="Times New Roman"/>
                <w:b w:val="0"/>
                <w:bCs/>
                <w:sz w:val="28"/>
                <w:szCs w:val="24"/>
                <w:lang w:val="en-US" w:eastAsia="zh-CN"/>
              </w:rPr>
              <w:t>有序推进光伏电站项目风电场项目招商引资</w:t>
            </w:r>
            <w:r>
              <w:rPr>
                <w:rFonts w:hint="default" w:ascii="Times New Roman" w:hAnsi="Times New Roman" w:cs="Times New Roman"/>
                <w:b w:val="0"/>
                <w:bCs/>
                <w:sz w:val="28"/>
                <w:szCs w:val="24"/>
                <w:lang w:val="en-US" w:eastAsia="zh-CN"/>
              </w:rPr>
              <w:t>，积极引进</w:t>
            </w:r>
            <w:r>
              <w:rPr>
                <w:rFonts w:hint="default" w:ascii="Times New Roman" w:hAnsi="Times New Roman" w:eastAsia="方正仿宋_GBK" w:cs="Times New Roman"/>
                <w:b w:val="0"/>
                <w:bCs/>
                <w:sz w:val="28"/>
                <w:szCs w:val="24"/>
                <w:lang w:val="en-US" w:eastAsia="zh-CN"/>
              </w:rPr>
              <w:t>一批国家级、省级、市级技术创新中心、工程研究中心、重点（工程）实验室等重点平台，加快引进农作物秸秆、畜禽粪便等开展生物质能发电项目的企业。招引一批</w:t>
            </w:r>
            <w:r>
              <w:rPr>
                <w:rFonts w:hint="default" w:ascii="Times New Roman" w:hAnsi="Times New Roman" w:cs="Times New Roman"/>
                <w:b w:val="0"/>
                <w:bCs/>
                <w:sz w:val="28"/>
                <w:szCs w:val="24"/>
                <w:lang w:val="en-US" w:eastAsia="zh-CN"/>
              </w:rPr>
              <w:t>新能源</w:t>
            </w:r>
            <w:r>
              <w:rPr>
                <w:rFonts w:hint="default" w:ascii="Times New Roman" w:hAnsi="Times New Roman" w:eastAsia="方正仿宋_GBK" w:cs="Times New Roman"/>
                <w:b w:val="0"/>
                <w:bCs/>
                <w:sz w:val="28"/>
                <w:szCs w:val="24"/>
                <w:lang w:val="en-US" w:eastAsia="zh-CN"/>
              </w:rPr>
              <w:t>行业头部企业、细分领域重点企业和潜力中小企业</w:t>
            </w:r>
            <w:r>
              <w:rPr>
                <w:rFonts w:hint="default" w:ascii="Times New Roman" w:hAnsi="Times New Roman" w:cs="Times New Roman"/>
                <w:b w:val="0"/>
                <w:bCs/>
                <w:sz w:val="28"/>
                <w:szCs w:val="24"/>
                <w:lang w:val="en-US" w:eastAsia="zh-CN"/>
              </w:rPr>
              <w:t>。</w:t>
            </w:r>
          </w:p>
          <w:p>
            <w:pPr>
              <w:pStyle w:val="5"/>
              <w:keepNext w:val="0"/>
              <w:keepLines w:val="0"/>
              <w:pageBreakBefore w:val="0"/>
              <w:widowControl w:val="0"/>
              <w:kinsoku/>
              <w:wordWrap/>
              <w:overflowPunct/>
              <w:topLinePunct w:val="0"/>
              <w:bidi w:val="0"/>
              <w:adjustRightInd/>
              <w:snapToGrid/>
              <w:spacing w:line="500" w:lineRule="exact"/>
              <w:ind w:firstLine="31680"/>
              <w:rPr>
                <w:rFonts w:hint="default" w:ascii="Times New Roman" w:hAnsi="Times New Roman" w:eastAsia="黑体" w:cs="Times New Roman"/>
                <w:sz w:val="28"/>
                <w:szCs w:val="22"/>
              </w:rPr>
            </w:pPr>
            <w:r>
              <w:rPr>
                <w:rFonts w:hint="default" w:ascii="Times New Roman" w:hAnsi="Times New Roman" w:eastAsia="方正仿宋_GBK" w:cs="Times New Roman"/>
                <w:b/>
                <w:bCs w:val="0"/>
                <w:sz w:val="28"/>
                <w:szCs w:val="24"/>
                <w:lang w:val="en-US" w:eastAsia="zh-CN"/>
              </w:rPr>
              <w:t>二是</w:t>
            </w:r>
            <w:r>
              <w:rPr>
                <w:rFonts w:hint="default" w:ascii="Times New Roman" w:hAnsi="Times New Roman" w:cs="Times New Roman"/>
                <w:b w:val="0"/>
                <w:bCs/>
                <w:sz w:val="28"/>
                <w:szCs w:val="24"/>
                <w:lang w:val="en-US" w:eastAsia="zh-CN"/>
              </w:rPr>
              <w:t>积极引进社会资本，</w:t>
            </w:r>
            <w:r>
              <w:rPr>
                <w:rFonts w:hint="default" w:ascii="Times New Roman" w:hAnsi="Times New Roman" w:eastAsia="方正仿宋_GBK" w:cs="Times New Roman"/>
                <w:b w:val="0"/>
                <w:bCs/>
                <w:sz w:val="28"/>
                <w:szCs w:val="24"/>
                <w:lang w:val="en-US" w:eastAsia="zh-CN"/>
              </w:rPr>
              <w:t>全面加快电动汽车充电基础设施项目建设。</w:t>
            </w:r>
          </w:p>
        </w:tc>
      </w:tr>
      <w:bookmarkEnd w:id="69"/>
    </w:tbl>
    <w:p>
      <w:pPr>
        <w:pStyle w:val="3"/>
        <w:keepNext w:val="0"/>
        <w:keepLines w:val="0"/>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黑体_GBK" w:cs="Times New Roman"/>
        </w:rPr>
      </w:pPr>
      <w:bookmarkStart w:id="80" w:name="_Toc17808"/>
      <w:bookmarkStart w:id="81" w:name="_Toc859"/>
      <w:r>
        <w:rPr>
          <w:rFonts w:hint="default" w:ascii="Times New Roman" w:hAnsi="Times New Roman" w:eastAsia="方正黑体_GBK" w:cs="Times New Roman"/>
        </w:rPr>
        <w:t>五、机制创新</w:t>
      </w:r>
      <w:bookmarkEnd w:id="80"/>
      <w:bookmarkEnd w:id="81"/>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rPr>
      </w:pPr>
      <w:bookmarkStart w:id="82" w:name="_Toc474750877"/>
      <w:bookmarkStart w:id="83" w:name="_Toc15219"/>
      <w:r>
        <w:rPr>
          <w:rFonts w:hint="default" w:ascii="Times New Roman" w:hAnsi="Times New Roman" w:eastAsia="方正仿宋_GBK" w:cs="Times New Roman"/>
        </w:rPr>
        <w:t>抓住我国加快打造“以国内大循环为主体、国内国际双循环相互促进”新发展格局的窗口期，探索与中东部地区、沿海地区、南亚东南亚地区，建立相关区域合作机制和框架，助推易门企业、产品走出去，吸引资金、人才走进来，融入大循环和双循环。</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84" w:name="_Toc28050"/>
      <w:r>
        <w:rPr>
          <w:rFonts w:hint="default" w:ascii="Times New Roman" w:hAnsi="Times New Roman" w:eastAsia="方正楷体_GBK" w:cs="Times New Roman"/>
          <w:lang w:val="en-US"/>
        </w:rPr>
        <w:t>（一）打造昆玉同城化招商合作平台</w:t>
      </w:r>
      <w:bookmarkEnd w:id="84"/>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cs="Times New Roman"/>
          <w:color w:val="000000"/>
          <w:kern w:val="0"/>
          <w:szCs w:val="32"/>
        </w:rPr>
      </w:pPr>
      <w:r>
        <w:rPr>
          <w:rFonts w:hint="default" w:ascii="Times New Roman" w:hAnsi="Times New Roman" w:cs="Times New Roman"/>
          <w:kern w:val="0"/>
          <w:szCs w:val="32"/>
        </w:rPr>
        <w:t>坚持在昆玉同城化发展进程中进位、补位，打造与昆明主城区、安宁市、晋宁区的市场、资源、技术、产业、资本、人才等方面的全面对接的平台，推动昆明和玉溪实现优势互补、共建共享。努力在昆明和玉溪同城化发展的能量交换中，搭建平台、提供通道、编织网络，加快完善与昆明的高效交通互联，发展与昆明既相互配套，又能发挥比较优势的产业，争取昆明更多产业转移落地易门，增强昆明消费者到易门旅游康养、休闲度假的吸引力。积极利用昆明的市场平台发展壮大易门的产业，通过公共服务的共建共享积极引入昆明的人才和优质资源。争取省市基础设施、产业体系、资金、人才、土地供应及统筹城乡综合配套改革等政策支持，把易门全力打造为全市新的经济增长极。</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85" w:name="_Toc2342"/>
      <w:r>
        <w:rPr>
          <w:rFonts w:hint="default" w:ascii="Times New Roman" w:hAnsi="Times New Roman" w:eastAsia="方正楷体_GBK" w:cs="Times New Roman"/>
          <w:lang w:val="en-US"/>
        </w:rPr>
        <w:t>（二）发挥现有合作平台的功能和作用</w:t>
      </w:r>
      <w:bookmarkEnd w:id="82"/>
      <w:bookmarkEnd w:id="85"/>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1.加强国际交流合作。</w:t>
      </w:r>
      <w:r>
        <w:rPr>
          <w:rFonts w:hint="default" w:ascii="Times New Roman" w:hAnsi="Times New Roman" w:eastAsia="方正仿宋_GBK" w:cs="Times New Roman"/>
          <w:kern w:val="0"/>
          <w:szCs w:val="32"/>
        </w:rPr>
        <w:t>抢抓联合国生物多样性大会于2021年在昆明召开的机会，积极寻求与国际组织的合作机会，利用中国（云南）野生菌交易中心的影响力，积极举办或承办具有国际性质的大会、论坛等一系列高级别国际会议。吸引各类国际组织总部、地区总部和分支机构落地易门，完善与国外其他城市的沟通联系机制。通过合作方式引进资金、理念、创意、服务等，推进易门产业加速转型升级。利用南博会，推进与中国（云南）自由贸易试验区产品、项目、人才等方面的合作。推进与南亚东南亚各国的交流与合作，吸引人流、物流、资金流，扩大外商投资项目和商业机会。</w:t>
      </w:r>
      <w:bookmarkStart w:id="86" w:name="_Toc316566655"/>
      <w:bookmarkEnd w:id="86"/>
      <w:bookmarkStart w:id="87" w:name="_Toc261556117"/>
      <w:bookmarkEnd w:id="87"/>
      <w:r>
        <w:rPr>
          <w:rFonts w:hint="default" w:ascii="Times New Roman" w:hAnsi="Times New Roman" w:eastAsia="方正仿宋_GBK" w:cs="Times New Roman"/>
          <w:kern w:val="0"/>
          <w:szCs w:val="32"/>
        </w:rPr>
        <w:t>探索举办国际山地越野国际挑战赛、国际半程马拉松赛等大型赛事活动，打造有易门特色、影响力大的品牌赛事。加强与国际知名院校、教育培训机构的合作与交流。</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2.加强区域间交流合作。</w:t>
      </w:r>
      <w:r>
        <w:rPr>
          <w:rFonts w:hint="default" w:ascii="Times New Roman" w:hAnsi="Times New Roman" w:eastAsia="方正仿宋_GBK" w:cs="Times New Roman"/>
          <w:kern w:val="0"/>
          <w:szCs w:val="32"/>
        </w:rPr>
        <w:t>积极承接东部地区产业转移，大力发展加工贸易。鼓励先进技术、关键设备和零部件等进口，增加一般消费品进口，促进跨境电子商务、市场、采购贸易等新兴贸易方式发展。积极融入云桂、云黔高铁经济带，探索“飞地经济”发展模式，加强与国内城市经济、文化联系，构建以产业为核心的区域合作新格局，打造多区域合作发展的新高地。加强与滇中地区，特别是与安宁、晋宁、双柏、禄丰、峨山的联动，推动区域间资源优化配置和优势互补。积极对接大滇西旅游环线，推动旅游线路的对接与精品线路开发。进一步推动与兄弟县的产业发展、旅游拓展、交通能源、文化交流、社会事业等方面的全面合作。</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eastAsia="zh-CN"/>
        </w:rPr>
      </w:pPr>
      <w:bookmarkStart w:id="88" w:name="_Toc474750878"/>
      <w:bookmarkStart w:id="89" w:name="_Toc12112"/>
      <w:r>
        <w:rPr>
          <w:rFonts w:hint="default" w:ascii="Times New Roman" w:hAnsi="Times New Roman" w:eastAsia="方正楷体_GBK" w:cs="Times New Roman"/>
          <w:lang w:val="en-US"/>
        </w:rPr>
        <w:t>（三）突出</w:t>
      </w:r>
      <w:r>
        <w:rPr>
          <w:rFonts w:hint="default" w:ascii="Times New Roman" w:hAnsi="Times New Roman" w:eastAsia="方正楷体_GBK" w:cs="Times New Roman"/>
          <w:lang w:val="en-US" w:eastAsia="zh-CN"/>
        </w:rPr>
        <w:t>各类</w:t>
      </w:r>
      <w:r>
        <w:rPr>
          <w:rFonts w:hint="default" w:ascii="Times New Roman" w:hAnsi="Times New Roman" w:eastAsia="方正楷体_GBK" w:cs="Times New Roman"/>
          <w:lang w:val="en-US"/>
        </w:rPr>
        <w:t>合作主体的</w:t>
      </w:r>
      <w:bookmarkEnd w:id="88"/>
      <w:r>
        <w:rPr>
          <w:rFonts w:hint="default" w:ascii="Times New Roman" w:hAnsi="Times New Roman" w:eastAsia="方正楷体_GBK" w:cs="Times New Roman"/>
          <w:lang w:val="en-US" w:eastAsia="zh-CN"/>
        </w:rPr>
        <w:t>桥梁和纽带</w:t>
      </w:r>
      <w:bookmarkEnd w:id="89"/>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1.充分发挥政府在区域合作中的引导作用。</w:t>
      </w:r>
      <w:r>
        <w:rPr>
          <w:rFonts w:hint="default" w:ascii="Times New Roman" w:hAnsi="Times New Roman" w:eastAsia="方正仿宋_GBK" w:cs="Times New Roman"/>
          <w:kern w:val="0"/>
          <w:szCs w:val="32"/>
        </w:rPr>
        <w:t>引导企业积极参与区域合作，通过区域合作增强企业发展力、竞争力，发挥产业政策引导优势，引导企业之间跨地区、跨所有制的联合、并购、重组，把骨干企业做强，把优势产业做大。引导企业集中、要素集聚，培育一批具有本地特色的产业集群或产业集中区。主动帮助企业解决在区域合作中遇到的土地、劳动力、供电供水问题。</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2.充分发挥企业在区域合作中的主体作用。</w:t>
      </w:r>
      <w:r>
        <w:rPr>
          <w:rFonts w:hint="default" w:ascii="Times New Roman" w:hAnsi="Times New Roman" w:eastAsia="方正仿宋_GBK" w:cs="Times New Roman"/>
          <w:kern w:val="0"/>
          <w:szCs w:val="32"/>
        </w:rPr>
        <w:t>必须把企业作为区域合作项目的投资主体，应发挥企业在区域合作中的主体作用。通过企业参与区域合作，扩大企业生产规模，提高市场占有率，开拓企业发展的新空间、新领域；增进地区间的友好交流，增强政企互信，提高政府行政效能，使产业政策、经济政策、社会管理政策更加符合企业发展实际需要。充分发挥企业与国际组织、跨国企业、中介组织的桥梁作用，开拓区域合作新空间和新领域。</w:t>
      </w:r>
    </w:p>
    <w:p>
      <w:pPr>
        <w:keepNext w:val="0"/>
        <w:keepLines w:val="0"/>
        <w:pageBreakBefore w:val="0"/>
        <w:widowControl w:val="0"/>
        <w:kinsoku/>
        <w:wordWrap/>
        <w:overflowPunct/>
        <w:topLinePunct w:val="0"/>
        <w:autoSpaceDN w:val="0"/>
        <w:bidi w:val="0"/>
        <w:adjustRightInd/>
        <w:snapToGrid/>
        <w:spacing w:line="560" w:lineRule="exact"/>
        <w:ind w:firstLine="31680"/>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3.充分发挥中介组织在区域合作中的桥梁作用。</w:t>
      </w:r>
      <w:r>
        <w:rPr>
          <w:rFonts w:hint="default" w:ascii="Times New Roman" w:hAnsi="Times New Roman" w:eastAsia="方正仿宋_GBK" w:cs="Times New Roman"/>
          <w:kern w:val="0"/>
          <w:szCs w:val="32"/>
        </w:rPr>
        <w:t>推动相关的企事业单位、社会团体以及中介组织，在平等、自愿的基础上依法组成的地方性行业协会。充分发挥商会、行业协会在对外交往、统一战线、社会管理、延伸政府服务、增强社会自律、完善市场体制等方面的功能和作用。推动建设非政府组织沟通交流体系，充分发挥中介组织、社会团体等在促进区域合作中的桥梁和纽带作用，增强合作机制的多元性和灵活性。</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90" w:name="_Toc30485"/>
      <w:bookmarkStart w:id="91" w:name="_Toc474750879"/>
      <w:r>
        <w:rPr>
          <w:rFonts w:hint="default" w:ascii="Times New Roman" w:hAnsi="Times New Roman" w:eastAsia="方正楷体_GBK" w:cs="Times New Roman"/>
          <w:lang w:val="en-US"/>
        </w:rPr>
        <w:t>（四）开拓区域合作的新空间新领域</w:t>
      </w:r>
      <w:bookmarkEnd w:id="90"/>
      <w:bookmarkEnd w:id="91"/>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坚定按照“立足滇中、东融昆明、西联楚雄、南接玉溪”的区域合作发展战略，充分发挥连接多区域的重要通道与合作平台作用，以开放合作促进开发建设。</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1.区域分工协作，强化整体竞争力。</w:t>
      </w:r>
      <w:r>
        <w:rPr>
          <w:rFonts w:hint="default" w:ascii="Times New Roman" w:hAnsi="Times New Roman" w:eastAsia="方正仿宋_GBK" w:cs="Times New Roman"/>
        </w:rPr>
        <w:t>当好接续昆明城市辐射的“二传手”，发挥好局部中心的功能，增强对中心城市的产业配套能力，充分消化昆明城市转移出来的生产能力，改造传统产业，充当大企业的加工基地。突出区域节点优势，积极融入滇中城市经济圈建设，主动接受其在技术、资本、信息、金融、物流等方面的辐射带动与转移，促成区域要素共享。</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2.构建区域生态功能框架，确保可持续发展。</w:t>
      </w:r>
      <w:r>
        <w:rPr>
          <w:rFonts w:hint="default" w:ascii="Times New Roman" w:hAnsi="Times New Roman" w:eastAsia="方正仿宋_GBK" w:cs="Times New Roman"/>
        </w:rPr>
        <w:t>根据资源禀赋、环境承载力水平将</w:t>
      </w:r>
      <w:r>
        <w:rPr>
          <w:rFonts w:hint="default" w:ascii="Times New Roman" w:hAnsi="Times New Roman" w:eastAsia="方正仿宋_GBK" w:cs="Times New Roman"/>
          <w:lang w:eastAsia="zh-CN"/>
        </w:rPr>
        <w:t>城市</w:t>
      </w:r>
      <w:r>
        <w:rPr>
          <w:rFonts w:hint="default" w:ascii="Times New Roman" w:hAnsi="Times New Roman" w:eastAsia="方正仿宋_GBK" w:cs="Times New Roman"/>
        </w:rPr>
        <w:t>群划为不同的功能区，实施空间管制。将具有重要生态功能的环境敏感区和生态脆弱区域划为保护区，根据保护级别的不同，实施禁止开发或限制开发；城市规模和布局与水土资源、环境容量等自然条件相适应。</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3.推进区域新型城镇化，统筹城乡发展。</w:t>
      </w:r>
      <w:r>
        <w:rPr>
          <w:rFonts w:hint="default" w:ascii="Times New Roman" w:hAnsi="Times New Roman" w:eastAsia="方正仿宋_GBK" w:cs="Times New Roman"/>
        </w:rPr>
        <w:t>结合区域产业布局，构建规模等级合理的城镇体系， 以人口城镇化为重点，推进农业转移人口就近就地落户城镇，稳步提升城镇化质量和水平，提升城市、产业城镇就业吸纳能力，有效实现城乡人力资源空间转移。优化创新城镇发展模式，推进产城融合，推动城市化良性发展。切实加大农村招商引资。深入实施乡村振兴战略，广泛引进社会资本，加大农村投入，改善农村生活条件，缩小城乡差距，在基础设施与社会设施上加大对农村的投入。</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4.合理引导资金投向重点领域和关键环节。</w:t>
      </w:r>
      <w:r>
        <w:rPr>
          <w:rFonts w:hint="default" w:ascii="Times New Roman" w:hAnsi="Times New Roman" w:eastAsia="方正仿宋_GBK" w:cs="Times New Roman"/>
          <w:bCs/>
        </w:rPr>
        <w:t>引导外资投向有色金属、新型建材、生物制药、新技术，以及健康养生养老、金融保险、文化等现代服务业和高原特色现代农业等产业领域。重点在产业链上补短板、填空白、提档次，围绕特色优势产业“强链”，既有产业“补链”，引进国有大型企业和世界500强“建链”，抓住国家大型企业集团战略布局机遇“抢链”。推动引资、引技、引智相结合，扩大利用外资规模，提高引进外资质量。鼓励优势企业有序走出去，提高对外投资质量和效益。</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92" w:name="_Toc16941"/>
      <w:bookmarkStart w:id="93" w:name="_Toc474750880"/>
      <w:r>
        <w:rPr>
          <w:rFonts w:hint="default" w:ascii="Times New Roman" w:hAnsi="Times New Roman" w:eastAsia="方正楷体_GBK" w:cs="Times New Roman"/>
          <w:lang w:val="en-US"/>
        </w:rPr>
        <w:t>（五）建立区域合作多边协调机制</w:t>
      </w:r>
      <w:bookmarkEnd w:id="92"/>
      <w:bookmarkEnd w:id="93"/>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bCs/>
        </w:rPr>
        <w:t>1.建立区域合作协调机制的制度基础。</w:t>
      </w:r>
      <w:r>
        <w:rPr>
          <w:rFonts w:hint="default" w:ascii="Times New Roman" w:hAnsi="Times New Roman" w:eastAsia="方正仿宋_GBK" w:cs="Times New Roman"/>
          <w:bCs/>
        </w:rPr>
        <w:t>将相关合作机制制度化、协调方式规范化，以相关文件的形式固定合作的重点项目，提高对合作成员的约束效力。研究制定区域合作管理办法，确立区域合作管理架构，协调机制，责任主体。建立有利于进行跨县（市、区）相互协调的制度体系。针对重点产业，研究制定双边及多边区域合作规划，逐渐与合作区域协商统一各地区在合作领域方面的制度保障，逐步弱化行政区划对区域合作的限制，研究建立统一的市场规则，消除地方保护和市场壁垒，打破行业垄断，为合作区域内市场主体创造公平竞争的制度环境。</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bCs/>
        </w:rPr>
      </w:pPr>
      <w:r>
        <w:rPr>
          <w:rFonts w:hint="default" w:ascii="Times New Roman" w:hAnsi="Times New Roman" w:eastAsia="方正仿宋_GBK" w:cs="Times New Roman"/>
          <w:b/>
          <w:bCs/>
        </w:rPr>
        <w:t>2.完善区域合作协调机制的组织体系。</w:t>
      </w:r>
      <w:r>
        <w:rPr>
          <w:rFonts w:hint="default" w:ascii="Times New Roman" w:hAnsi="Times New Roman" w:eastAsia="方正仿宋_GBK" w:cs="Times New Roman"/>
          <w:bCs/>
        </w:rPr>
        <w:t>加强对规划实施的组织领导，制定实施方案，明确分工，落实责任，完善机制，推动规划实施。针对区域合作发展中出现的突出矛盾和问题，召开领导小组工作会议及时予以协调解决，为对外区域联动发展及跨省（区）、县（市、区）重点项目的选择、安排和推进创造良好条件。设立大型国际会议专门对接组织，推动大型国际性会议协调和落地，制定促进双边和多边合作操作指南，推动合作主体达成的合作协议，跟进国际区域合作项目的实施。</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b/>
          <w:bCs/>
        </w:rPr>
        <w:t>3.建立广泛而多层次的对话交流机制。</w:t>
      </w:r>
      <w:r>
        <w:rPr>
          <w:rFonts w:hint="default" w:ascii="Times New Roman" w:hAnsi="Times New Roman" w:eastAsia="方正仿宋_GBK" w:cs="Times New Roman"/>
          <w:bCs/>
        </w:rPr>
        <w:t>定期召开政府主要领导座谈会，讨论区域合作发展中的重大战略制定或选择问题，协商确定区域合作的总体要求和重点事项。建立由各职能部门参加的专题合作会议机制，共同研究、规划和实施具体的合作项目，以及讨论政策实施过程中的具体问题，有针对性地解决当前合作进程中存在的各种障碍；积极发挥行业协会、商会等中介组织作用，注重体制改革，打破阻碍民间组织发展的体制障碍，为其发展创造良好的环境，进而以民间的力量自下而上地推进区域合作。</w:t>
      </w:r>
    </w:p>
    <w:bookmarkEnd w:id="83"/>
    <w:p>
      <w:pPr>
        <w:pStyle w:val="3"/>
        <w:keepNext w:val="0"/>
        <w:keepLines w:val="0"/>
        <w:pageBreakBefore w:val="0"/>
        <w:widowControl w:val="0"/>
        <w:kinsoku/>
        <w:wordWrap/>
        <w:overflowPunct/>
        <w:topLinePunct w:val="0"/>
        <w:bidi w:val="0"/>
        <w:adjustRightInd/>
        <w:snapToGrid/>
        <w:spacing w:line="560" w:lineRule="exact"/>
        <w:ind w:firstLine="640" w:firstLineChars="200"/>
        <w:jc w:val="left"/>
        <w:rPr>
          <w:rFonts w:hint="default" w:ascii="Times New Roman" w:hAnsi="Times New Roman" w:eastAsia="方正黑体_GBK" w:cs="Times New Roman"/>
        </w:rPr>
      </w:pPr>
      <w:bookmarkStart w:id="94" w:name="_Toc15458"/>
      <w:bookmarkStart w:id="95" w:name="_Toc17948"/>
      <w:r>
        <w:rPr>
          <w:rFonts w:hint="default" w:ascii="Times New Roman" w:hAnsi="Times New Roman" w:eastAsia="方正黑体_GBK" w:cs="Times New Roman"/>
        </w:rPr>
        <w:t>六、保障措施</w:t>
      </w:r>
      <w:bookmarkEnd w:id="94"/>
      <w:bookmarkEnd w:id="95"/>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96" w:name="_Toc11976"/>
      <w:bookmarkStart w:id="97" w:name="_Toc25947"/>
      <w:r>
        <w:rPr>
          <w:rFonts w:hint="default" w:ascii="Times New Roman" w:hAnsi="Times New Roman" w:eastAsia="方正楷体_GBK" w:cs="Times New Roman"/>
          <w:lang w:val="en-US"/>
        </w:rPr>
        <w:t>（一）</w:t>
      </w:r>
      <w:r>
        <w:rPr>
          <w:rFonts w:hint="default" w:ascii="Times New Roman" w:hAnsi="Times New Roman" w:eastAsia="方正楷体_GBK" w:cs="Times New Roman"/>
          <w:lang w:val="en-US" w:eastAsia="zh-CN"/>
        </w:rPr>
        <w:t>强化</w:t>
      </w:r>
      <w:r>
        <w:rPr>
          <w:rFonts w:hint="default" w:ascii="Times New Roman" w:hAnsi="Times New Roman" w:eastAsia="方正楷体_GBK" w:cs="Times New Roman"/>
          <w:lang w:val="en-US"/>
        </w:rPr>
        <w:t>组织领导</w:t>
      </w:r>
      <w:bookmarkEnd w:id="96"/>
      <w:bookmarkEnd w:id="97"/>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bookmarkStart w:id="98" w:name="_Toc13830"/>
      <w:r>
        <w:rPr>
          <w:rFonts w:hint="default" w:ascii="Times New Roman" w:hAnsi="Times New Roman" w:eastAsia="方正仿宋_GBK" w:cs="Times New Roman"/>
        </w:rPr>
        <w:t>一是把区域合作、招商引资纳入各级党委、政府重要议事日程，建立党政主要领导联席会议制度，原则上每年召开一次，做到一把手亲自抓、分管领导具体抓，共同研究区域合作发展规划、政策框架，确定合作重点领域。联席会议下设办公室，为常设机构，具体负责沟通信息、协调关系、调查研究和处理日常事务，落实合作规划，研究实施措施，协调解决合作中存在的问题。</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二是进一步健全完善工作机制，加强组织领导，建立招商引资委员会高位推动、乡镇部门联动、专业招商小组主攻、全员参与配合的招商引资组织领导模式，强化分工合作，强化统筹调度，形成多头联系、一口汇总、多部门跟进服务、多主体落地建设的招商模式，打造内外合一、专业运作、力量集中的招商体系。</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三是加强队伍建设，配齐配强现有招商工作队伍，加大培训力度，加强招商专业人员的培养教育。积极引导招商工作人员学习经济、科技、金融、法律等相关知识，研究新情况，探索新路子，不断发掘新的招商思路和方法。加强调查研究，组织开展招商引资培训和招商引资学习调研活动，注重在一线锻造招商队伍，在理论和实践结合中培养一支熟悉产业经济、掌握投资政策、通晓招商规律、精通项目谈判的专业化招商人才队伍。</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四是根据省、市最新招商引资工作考核机制，及时调整招商引资工作考核办法细则，健全项目洽谈、评审、落地推进、绩效考核、服务保障等工作推进机制，充分调动各级各部门“大招商、招大商”的积极性，用踏石留印、抓铁有痕的劲头抓好各项措施的落实，全力推动招商引资工作继续“走在前列”。</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99" w:name="_Toc13930"/>
      <w:r>
        <w:rPr>
          <w:rFonts w:hint="default" w:ascii="Times New Roman" w:hAnsi="Times New Roman" w:eastAsia="方正楷体_GBK" w:cs="Times New Roman"/>
          <w:lang w:val="en-US"/>
        </w:rPr>
        <w:t>（二）实施精准招商</w:t>
      </w:r>
      <w:bookmarkEnd w:id="99"/>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一是充分利用本地资源禀赋及现有工业基础，围绕发达地区产业转移特点，有针对性地鼓励、支持一些有条件企业发展中下游基础性配套工业，提高基础性工业的聚集与配套服务能力。明确产业招商目标和招引方案，围绕各条产业链的构建和延伸，着力招引“建链、补链、强链”项目，不断拉长产业链条，提升产业附加值，推动产业集聚发展。</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二是深度对接京津冀、长三角、珠三角和省内昆明、安宁等地区，充分借助各类人脉资源，广泛搜集重点企业信息，全面了解企业投资重点、投资方向，为企业量身定做项目，因企选派招商队伍，开展“点对点、一对一”精准招商和宣传推介，着力招引龙头引领项目，大大提高招商成功率和招商成效。</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三是紧盯“三个”500强、央企、行业百强等大企业以及高新技术企业，带着项目去推介、一对一去对接，增强招商引资的针对性和有效性，全力招引科技含量高、带动作用强、财政税收贡献大的大项目好项目。</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100" w:name="_Toc26371"/>
      <w:r>
        <w:rPr>
          <w:rFonts w:hint="default" w:ascii="Times New Roman" w:hAnsi="Times New Roman" w:eastAsia="方正楷体_GBK" w:cs="Times New Roman"/>
          <w:lang w:val="en-US"/>
        </w:rPr>
        <w:t>（三）</w:t>
      </w:r>
      <w:r>
        <w:rPr>
          <w:rFonts w:hint="default" w:ascii="Times New Roman" w:hAnsi="Times New Roman" w:eastAsia="方正楷体_GBK" w:cs="Times New Roman"/>
          <w:lang w:val="en-US" w:eastAsia="zh-CN"/>
        </w:rPr>
        <w:t>大力</w:t>
      </w:r>
      <w:r>
        <w:rPr>
          <w:rFonts w:hint="default" w:ascii="Times New Roman" w:hAnsi="Times New Roman" w:eastAsia="方正楷体_GBK" w:cs="Times New Roman"/>
          <w:lang w:val="en-US"/>
        </w:rPr>
        <w:t>宣传推介</w:t>
      </w:r>
      <w:bookmarkEnd w:id="100"/>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一是拓宽招商方式。打好感情牌，加强在谈企业项目的对接联系，用好以情招商；发挥现有企业和招商项目“主力军”作用，强化以商招商；以设立招商联络处、驻点招商处、聘请招商顾问、举办招商推介活动为重点，积极对接异地商会、协会和知名企业家，拓展委托招商；以易门云粤投资有限公司、果岭（云南）工业园区开发有限公司为依托，打造具有产业集群优势的“园中园”，探索以园招商；加强与专业招商咨询机构的沟通联络，推进专业化、市场化招商。</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二是强化宣传推介。紧扣园区功能定位，瞄准东部沿海地区、昆明“退二进三”产业转移，“走出去”与 “请进来”相结合，全力开展招商对接，主动加强与各省市驻滇商会协会沟通联络，邀请有投资意愿的客商、企业到易门考察洽谈，积极参加省市组织的峰会、论坛、投资洽谈活动和各地商会活动，举办各类招商推介、集中签约活动，大力宣传易门投资环境，提高投资影响力。</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101" w:name="_Toc6488"/>
      <w:r>
        <w:rPr>
          <w:rFonts w:hint="default" w:ascii="Times New Roman" w:hAnsi="Times New Roman" w:eastAsia="方正楷体_GBK" w:cs="Times New Roman"/>
          <w:lang w:val="en-US"/>
        </w:rPr>
        <w:t>（四）</w:t>
      </w:r>
      <w:r>
        <w:rPr>
          <w:rFonts w:hint="default" w:ascii="Times New Roman" w:hAnsi="Times New Roman" w:eastAsia="方正楷体_GBK" w:cs="Times New Roman"/>
          <w:lang w:val="en-US" w:eastAsia="zh-CN"/>
        </w:rPr>
        <w:t>推动</w:t>
      </w:r>
      <w:r>
        <w:rPr>
          <w:rFonts w:hint="default" w:ascii="Times New Roman" w:hAnsi="Times New Roman" w:eastAsia="方正楷体_GBK" w:cs="Times New Roman"/>
          <w:lang w:val="en-US"/>
        </w:rPr>
        <w:t>项目落地</w:t>
      </w:r>
      <w:bookmarkEnd w:id="101"/>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一是积极向上争取，尽快完成土地利用规划调整，科学规划、合理利用工业储备用地。盘点现有资源，集中力量整合资源，加大力度对条件相对较差的现有地块进行开发，争取把存量充分利用起来，尽快产生效益。</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二是立足易门工业园区“一园三片区”规划发展格局，进一步明确功能定位、完善基础配套、理顺体制机制、推动扩容增量，提高园区对产业项目的吸纳和承载能力，集中打造项目落地平台，发挥园区在招商引资工作中的主阵地作用。</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三是继续探索“园中园”开发模式，尽可能利用企业资源“以商招商”“以园招商”，既解决了政府缺少开发资金的问题又解决了招商难的问题，实现以园招商、以商建园，以园聚企、以企促园。</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四是压实责任，抓牢抓实项目推进。坚决贯彻落实以县级领导牵头负责为主的项目推进机制，把项目推进摆在突出位置，找准影响项目开工的难点，加强联动服务，为项目尽早开工建设创造条件，对推进不了及开工建设不了的项目启动退出机制进行清理。抓好竣工项目投产、在建项目复工和新建项目推进，做好重大项目储备，扎实推进项目前期工作。形成签约项目能落地，落地项目早开工，开工项目快推进，推进项目早竣工，竣工项目稳投产的项目推进工作态势。</w:t>
      </w:r>
    </w:p>
    <w:p>
      <w:pPr>
        <w:pStyle w:val="4"/>
        <w:keepNext w:val="0"/>
        <w:keepLines w:val="0"/>
        <w:pageBreakBefore w:val="0"/>
        <w:widowControl w:val="0"/>
        <w:kinsoku/>
        <w:wordWrap/>
        <w:overflowPunct/>
        <w:topLinePunct w:val="0"/>
        <w:bidi w:val="0"/>
        <w:adjustRightInd/>
        <w:snapToGrid/>
        <w:ind w:firstLine="31680"/>
        <w:rPr>
          <w:rFonts w:hint="default" w:ascii="Times New Roman" w:hAnsi="Times New Roman" w:eastAsia="方正楷体_GBK" w:cs="Times New Roman"/>
          <w:lang w:val="en-US"/>
        </w:rPr>
      </w:pPr>
      <w:bookmarkStart w:id="102" w:name="_Toc26536"/>
      <w:r>
        <w:rPr>
          <w:rFonts w:hint="default" w:ascii="Times New Roman" w:hAnsi="Times New Roman" w:eastAsia="方正楷体_GBK" w:cs="Times New Roman"/>
          <w:lang w:val="en-US"/>
        </w:rPr>
        <w:t>（五）优化营商环境</w:t>
      </w:r>
      <w:bookmarkEnd w:id="102"/>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一是抓住深化“放管服”改革有利时机，进一步优化投资建设项目审批服务流程，依托“一站式惠民”平台和“一门一网一次”政务服务，畅通投资项目高效审批快车道，实行全程帮办代办审批服务，把工作留在政府，把服务还给客商，以“重商、亲商、安商、富商”的姿态，着力打造“办事不求人、审批不见面、最多跑一次”的政务服务新环境，持续开展好联系服务企业制度，帮助企业排忧解难，打造务实高效的投资服务环境。</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二是着力构建“亲”“清”新型政商关系，与投资方保持紧密联系，全心全意服务企业，了解企业建设过程中存在的困难，把企业的困难当作自己的困难，切实破解各种不利因素的制约。</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rPr>
      </w:pPr>
      <w:r>
        <w:rPr>
          <w:rFonts w:hint="default" w:ascii="Times New Roman" w:hAnsi="Times New Roman" w:eastAsia="方正仿宋_GBK" w:cs="Times New Roman"/>
        </w:rPr>
        <w:t>三是强化项目全程跟踪服务，积极“主动服务、上门服务”，帮助企业解决要素保障、成本控制等问题。</w:t>
      </w:r>
    </w:p>
    <w:p>
      <w:pPr>
        <w:keepNext w:val="0"/>
        <w:keepLines w:val="0"/>
        <w:pageBreakBefore w:val="0"/>
        <w:widowControl w:val="0"/>
        <w:kinsoku/>
        <w:wordWrap/>
        <w:overflowPunct/>
        <w:topLinePunct w:val="0"/>
        <w:bidi w:val="0"/>
        <w:adjustRightInd/>
        <w:snapToGrid/>
        <w:spacing w:line="560" w:lineRule="exact"/>
        <w:ind w:firstLine="31680"/>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四是结合地方实际，在用好用活省市政策的基础上，不断研究补充完善更加有针对性、更符合地方发展的激励政策，用活政策激励，助力企业发展</w:t>
      </w:r>
      <w:bookmarkStart w:id="103" w:name="_Toc18716"/>
      <w:r>
        <w:rPr>
          <w:rFonts w:hint="default" w:ascii="Times New Roman" w:hAnsi="Times New Roman" w:eastAsia="方正仿宋_GBK" w:cs="Times New Roman"/>
          <w:lang w:eastAsia="zh-CN"/>
        </w:rPr>
        <w:t>。</w:t>
      </w:r>
      <w:bookmarkEnd w:id="98"/>
      <w:bookmarkEnd w:id="103"/>
    </w:p>
    <w:sectPr>
      <w:footerReference r:id="rId7" w:type="default"/>
      <w:pgSz w:w="11911" w:h="16838"/>
      <w:pgMar w:top="2098" w:right="1417" w:bottom="1984" w:left="1587" w:header="0" w:footer="1361" w:gutter="0"/>
      <w:pgNumType w:fmt="decimal"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firstLine="3168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firstLine="3168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方正仿宋_GBK" w:cs="Times New Roman"/>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3</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3"/>
                      <w:rPr>
                        <w:rFonts w:hint="default" w:ascii="Times New Roman" w:hAnsi="Times New Roman" w:eastAsia="方正仿宋_GBK" w:cs="Times New Roman"/>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3</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firstLine="3168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rPr>
                              <w:rFonts w:hint="default" w:ascii="Times New Roman" w:hAnsi="Times New Roman" w:eastAsia="方正仿宋_GBK" w:cs="Times New Roman"/>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5</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rPr>
                        <w:rFonts w:hint="default" w:ascii="Times New Roman" w:hAnsi="Times New Roman" w:eastAsia="方正仿宋_GBK" w:cs="Times New Roman"/>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5</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ind w:firstLine="640"/>
      </w:pPr>
      <w:r>
        <w:separator/>
      </w:r>
    </w:p>
  </w:footnote>
  <w:footnote w:type="continuationSeparator" w:id="7">
    <w:p>
      <w:pPr>
        <w:spacing w:line="240" w:lineRule="auto"/>
        <w:ind w:firstLine="640"/>
      </w:pPr>
      <w:r>
        <w:continuationSeparator/>
      </w:r>
    </w:p>
  </w:footnote>
  <w:footnote w:id="0">
    <w:p>
      <w:pPr>
        <w:pStyle w:val="16"/>
        <w:snapToGrid w:val="0"/>
        <w:rPr>
          <w:rFonts w:hint="default" w:eastAsia="方正仿宋_GBK"/>
          <w:lang w:val="en-US" w:eastAsia="zh-CN"/>
        </w:rPr>
      </w:pPr>
      <w:r>
        <w:rPr>
          <w:rStyle w:val="28"/>
        </w:rPr>
        <w:footnoteRef/>
      </w:r>
      <w:r>
        <w:t xml:space="preserve"> </w:t>
      </w:r>
      <w:r>
        <w:rPr>
          <w:rFonts w:hint="eastAsia"/>
          <w:lang w:eastAsia="zh-CN"/>
        </w:rPr>
        <w:t>全国第七次人口普查数据。</w:t>
      </w:r>
    </w:p>
  </w:footnote>
  <w:footnote w:id="1">
    <w:p>
      <w:pPr>
        <w:pStyle w:val="16"/>
        <w:spacing w:line="240" w:lineRule="exact"/>
        <w:ind w:firstLine="31680"/>
      </w:pPr>
      <w:r>
        <w:rPr>
          <w:rStyle w:val="28"/>
          <w:rFonts w:ascii="宋体" w:hAnsi="宋体" w:eastAsia="宋体" w:cs="宋体"/>
          <w:sz w:val="21"/>
          <w:szCs w:val="28"/>
        </w:rPr>
        <w:footnoteRef/>
      </w:r>
      <w:r>
        <w:rPr>
          <w:rFonts w:hint="eastAsia" w:ascii="宋体" w:hAnsi="宋体" w:eastAsia="宋体" w:cs="宋体"/>
          <w:sz w:val="21"/>
          <w:szCs w:val="28"/>
        </w:rPr>
        <w:t>“六稳”：稳就业、稳金融、稳外贸、稳外资、稳投资、稳预期；“六保”：保居民就业、保基本民生、保市场主体、保粮食能源安全、保产业链供应链稳定、保基层运转。</w:t>
      </w:r>
    </w:p>
  </w:footnote>
  <w:footnote w:id="2">
    <w:p>
      <w:pPr>
        <w:pStyle w:val="16"/>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方正仿宋_GBK" w:cs="Times New Roman"/>
          <w:sz w:val="21"/>
          <w:szCs w:val="32"/>
          <w:lang w:val="en-US" w:eastAsia="zh-CN"/>
        </w:rPr>
      </w:pPr>
      <w:r>
        <w:rPr>
          <w:rStyle w:val="28"/>
        </w:rPr>
        <w:footnoteRef/>
      </w:r>
      <w:r>
        <w:rPr>
          <w:rFonts w:hint="default" w:ascii="Times New Roman" w:hAnsi="Times New Roman" w:cs="Times New Roman"/>
          <w:sz w:val="21"/>
          <w:szCs w:val="32"/>
        </w:rPr>
        <w:t xml:space="preserve"> </w:t>
      </w:r>
      <w:r>
        <w:rPr>
          <w:rFonts w:hint="default" w:ascii="Times New Roman" w:hAnsi="Times New Roman" w:cs="Times New Roman"/>
          <w:sz w:val="21"/>
          <w:szCs w:val="32"/>
          <w:lang w:eastAsia="zh-CN"/>
        </w:rPr>
        <w:t>数据来源于各县、市、区</w:t>
      </w:r>
      <w:r>
        <w:rPr>
          <w:rFonts w:hint="default" w:ascii="Times New Roman" w:hAnsi="Times New Roman" w:cs="Times New Roman"/>
          <w:sz w:val="21"/>
          <w:szCs w:val="32"/>
          <w:lang w:val="en-US" w:eastAsia="zh-CN"/>
        </w:rPr>
        <w:t>2020年统计公报及“十四五”规划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320"/>
  <w:drawingGridVerticalSpacing w:val="-794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C7"/>
    <w:rsid w:val="000039B2"/>
    <w:rsid w:val="0001770C"/>
    <w:rsid w:val="00020526"/>
    <w:rsid w:val="0002330C"/>
    <w:rsid w:val="0002458A"/>
    <w:rsid w:val="00025C7C"/>
    <w:rsid w:val="000264DC"/>
    <w:rsid w:val="00027C8C"/>
    <w:rsid w:val="0003077C"/>
    <w:rsid w:val="00043235"/>
    <w:rsid w:val="00051DA9"/>
    <w:rsid w:val="000559E9"/>
    <w:rsid w:val="00060A7D"/>
    <w:rsid w:val="00075549"/>
    <w:rsid w:val="00075D20"/>
    <w:rsid w:val="00081E8F"/>
    <w:rsid w:val="00082159"/>
    <w:rsid w:val="00095C00"/>
    <w:rsid w:val="000968E9"/>
    <w:rsid w:val="000A53E2"/>
    <w:rsid w:val="000A66E1"/>
    <w:rsid w:val="000C128B"/>
    <w:rsid w:val="000C4AD1"/>
    <w:rsid w:val="000D07CE"/>
    <w:rsid w:val="000D6E05"/>
    <w:rsid w:val="000E30BD"/>
    <w:rsid w:val="000E31C2"/>
    <w:rsid w:val="000F3AF2"/>
    <w:rsid w:val="00111208"/>
    <w:rsid w:val="00143806"/>
    <w:rsid w:val="001637D0"/>
    <w:rsid w:val="00166E4F"/>
    <w:rsid w:val="00170FDE"/>
    <w:rsid w:val="00175B1E"/>
    <w:rsid w:val="00176B7C"/>
    <w:rsid w:val="0018355D"/>
    <w:rsid w:val="001878CA"/>
    <w:rsid w:val="001A739B"/>
    <w:rsid w:val="001B0BF3"/>
    <w:rsid w:val="001B1070"/>
    <w:rsid w:val="001B33AC"/>
    <w:rsid w:val="001B4A79"/>
    <w:rsid w:val="001C02A8"/>
    <w:rsid w:val="001C51C8"/>
    <w:rsid w:val="001C700B"/>
    <w:rsid w:val="001D1F01"/>
    <w:rsid w:val="001D4C69"/>
    <w:rsid w:val="001D7AD2"/>
    <w:rsid w:val="001E116D"/>
    <w:rsid w:val="001E36A3"/>
    <w:rsid w:val="001E7DE4"/>
    <w:rsid w:val="001F46D9"/>
    <w:rsid w:val="001F6AB2"/>
    <w:rsid w:val="001F735A"/>
    <w:rsid w:val="00201C06"/>
    <w:rsid w:val="0020323B"/>
    <w:rsid w:val="0020365E"/>
    <w:rsid w:val="002051C7"/>
    <w:rsid w:val="002249DA"/>
    <w:rsid w:val="00227A4B"/>
    <w:rsid w:val="00246740"/>
    <w:rsid w:val="00255F56"/>
    <w:rsid w:val="00256021"/>
    <w:rsid w:val="00265FC9"/>
    <w:rsid w:val="00274207"/>
    <w:rsid w:val="002850DF"/>
    <w:rsid w:val="002A5C90"/>
    <w:rsid w:val="002A75C4"/>
    <w:rsid w:val="002B5149"/>
    <w:rsid w:val="002C5B0A"/>
    <w:rsid w:val="002C6ED4"/>
    <w:rsid w:val="002D4DC3"/>
    <w:rsid w:val="002D6239"/>
    <w:rsid w:val="002D6E10"/>
    <w:rsid w:val="002E5E46"/>
    <w:rsid w:val="002E61DF"/>
    <w:rsid w:val="0030718A"/>
    <w:rsid w:val="00323CAB"/>
    <w:rsid w:val="0033111D"/>
    <w:rsid w:val="00333BCD"/>
    <w:rsid w:val="00363E89"/>
    <w:rsid w:val="003650C7"/>
    <w:rsid w:val="00365A52"/>
    <w:rsid w:val="003664AD"/>
    <w:rsid w:val="003715FC"/>
    <w:rsid w:val="00373029"/>
    <w:rsid w:val="00380C9A"/>
    <w:rsid w:val="00383F03"/>
    <w:rsid w:val="0038513C"/>
    <w:rsid w:val="00397BBD"/>
    <w:rsid w:val="003A4024"/>
    <w:rsid w:val="003B46A2"/>
    <w:rsid w:val="003C2039"/>
    <w:rsid w:val="003C6D43"/>
    <w:rsid w:val="003D3214"/>
    <w:rsid w:val="003D3A5F"/>
    <w:rsid w:val="003D46FA"/>
    <w:rsid w:val="0040226F"/>
    <w:rsid w:val="00407DD2"/>
    <w:rsid w:val="004120D8"/>
    <w:rsid w:val="004219F0"/>
    <w:rsid w:val="00421BF3"/>
    <w:rsid w:val="004302B8"/>
    <w:rsid w:val="00431229"/>
    <w:rsid w:val="00432DE9"/>
    <w:rsid w:val="00432FDB"/>
    <w:rsid w:val="00433277"/>
    <w:rsid w:val="00435FCC"/>
    <w:rsid w:val="004509A9"/>
    <w:rsid w:val="00461AE6"/>
    <w:rsid w:val="00472012"/>
    <w:rsid w:val="00473F37"/>
    <w:rsid w:val="00474B92"/>
    <w:rsid w:val="004830A6"/>
    <w:rsid w:val="0048755C"/>
    <w:rsid w:val="004879B6"/>
    <w:rsid w:val="004A6595"/>
    <w:rsid w:val="004A6792"/>
    <w:rsid w:val="004A7883"/>
    <w:rsid w:val="004B0C4D"/>
    <w:rsid w:val="004B2098"/>
    <w:rsid w:val="004B3A25"/>
    <w:rsid w:val="004E66AB"/>
    <w:rsid w:val="004F2430"/>
    <w:rsid w:val="004F40A3"/>
    <w:rsid w:val="0051278B"/>
    <w:rsid w:val="00542B37"/>
    <w:rsid w:val="00547DF1"/>
    <w:rsid w:val="00552AAA"/>
    <w:rsid w:val="00554770"/>
    <w:rsid w:val="0057743D"/>
    <w:rsid w:val="00591B0A"/>
    <w:rsid w:val="00592462"/>
    <w:rsid w:val="005A6464"/>
    <w:rsid w:val="005B46D7"/>
    <w:rsid w:val="005C4F18"/>
    <w:rsid w:val="005C769F"/>
    <w:rsid w:val="005D532F"/>
    <w:rsid w:val="005E42B0"/>
    <w:rsid w:val="005F12FA"/>
    <w:rsid w:val="005F2314"/>
    <w:rsid w:val="00600A3E"/>
    <w:rsid w:val="00600C3C"/>
    <w:rsid w:val="00603C15"/>
    <w:rsid w:val="006040DA"/>
    <w:rsid w:val="00606277"/>
    <w:rsid w:val="00606C3B"/>
    <w:rsid w:val="00615989"/>
    <w:rsid w:val="006175B2"/>
    <w:rsid w:val="0062544D"/>
    <w:rsid w:val="00625998"/>
    <w:rsid w:val="00651FFE"/>
    <w:rsid w:val="00652749"/>
    <w:rsid w:val="00654F50"/>
    <w:rsid w:val="00662677"/>
    <w:rsid w:val="00671FCC"/>
    <w:rsid w:val="00672563"/>
    <w:rsid w:val="006732CD"/>
    <w:rsid w:val="006835EB"/>
    <w:rsid w:val="006939E2"/>
    <w:rsid w:val="006A6716"/>
    <w:rsid w:val="006C2A6D"/>
    <w:rsid w:val="006C4B3D"/>
    <w:rsid w:val="006D0757"/>
    <w:rsid w:val="006E3C25"/>
    <w:rsid w:val="006E616B"/>
    <w:rsid w:val="006E6AEC"/>
    <w:rsid w:val="006E7C1E"/>
    <w:rsid w:val="0072006E"/>
    <w:rsid w:val="00725AC1"/>
    <w:rsid w:val="0074466D"/>
    <w:rsid w:val="00746238"/>
    <w:rsid w:val="00766164"/>
    <w:rsid w:val="00766F38"/>
    <w:rsid w:val="00772210"/>
    <w:rsid w:val="00776D48"/>
    <w:rsid w:val="0078041B"/>
    <w:rsid w:val="00781C68"/>
    <w:rsid w:val="00786A2E"/>
    <w:rsid w:val="00795015"/>
    <w:rsid w:val="007A349F"/>
    <w:rsid w:val="007A7A2C"/>
    <w:rsid w:val="007B04EE"/>
    <w:rsid w:val="007B0E0E"/>
    <w:rsid w:val="007B4EB0"/>
    <w:rsid w:val="007B6275"/>
    <w:rsid w:val="007C3128"/>
    <w:rsid w:val="007C59B1"/>
    <w:rsid w:val="007C5DB6"/>
    <w:rsid w:val="007C739E"/>
    <w:rsid w:val="007D09D0"/>
    <w:rsid w:val="007D46D5"/>
    <w:rsid w:val="007D5351"/>
    <w:rsid w:val="007D74FB"/>
    <w:rsid w:val="007E22D3"/>
    <w:rsid w:val="007E3228"/>
    <w:rsid w:val="007E6D26"/>
    <w:rsid w:val="008076A7"/>
    <w:rsid w:val="00811291"/>
    <w:rsid w:val="00814151"/>
    <w:rsid w:val="00820BE8"/>
    <w:rsid w:val="00821646"/>
    <w:rsid w:val="00825548"/>
    <w:rsid w:val="00827CD2"/>
    <w:rsid w:val="00831716"/>
    <w:rsid w:val="0084133B"/>
    <w:rsid w:val="00847301"/>
    <w:rsid w:val="008478AB"/>
    <w:rsid w:val="0086156B"/>
    <w:rsid w:val="00866CF7"/>
    <w:rsid w:val="00877325"/>
    <w:rsid w:val="008848C6"/>
    <w:rsid w:val="008848CF"/>
    <w:rsid w:val="00885794"/>
    <w:rsid w:val="008857A5"/>
    <w:rsid w:val="008D067F"/>
    <w:rsid w:val="008D4D42"/>
    <w:rsid w:val="008E190B"/>
    <w:rsid w:val="008E26DC"/>
    <w:rsid w:val="008F2C7B"/>
    <w:rsid w:val="008F37A0"/>
    <w:rsid w:val="008F7141"/>
    <w:rsid w:val="009170E7"/>
    <w:rsid w:val="00920A36"/>
    <w:rsid w:val="00925CB4"/>
    <w:rsid w:val="009279E0"/>
    <w:rsid w:val="0094119C"/>
    <w:rsid w:val="009451A0"/>
    <w:rsid w:val="009462E6"/>
    <w:rsid w:val="00953C71"/>
    <w:rsid w:val="00964CF9"/>
    <w:rsid w:val="00966C6D"/>
    <w:rsid w:val="00983772"/>
    <w:rsid w:val="009923F7"/>
    <w:rsid w:val="009928C9"/>
    <w:rsid w:val="0099676F"/>
    <w:rsid w:val="00997F2E"/>
    <w:rsid w:val="009B0168"/>
    <w:rsid w:val="009B0435"/>
    <w:rsid w:val="009B3A40"/>
    <w:rsid w:val="009B5698"/>
    <w:rsid w:val="009C4EE9"/>
    <w:rsid w:val="009E0D69"/>
    <w:rsid w:val="009E0E5E"/>
    <w:rsid w:val="009E2DDE"/>
    <w:rsid w:val="009E31A6"/>
    <w:rsid w:val="009E3D11"/>
    <w:rsid w:val="009F00A5"/>
    <w:rsid w:val="00A01EA3"/>
    <w:rsid w:val="00A411E7"/>
    <w:rsid w:val="00A54295"/>
    <w:rsid w:val="00A754A1"/>
    <w:rsid w:val="00A80A5F"/>
    <w:rsid w:val="00A90073"/>
    <w:rsid w:val="00A9386F"/>
    <w:rsid w:val="00A93BCD"/>
    <w:rsid w:val="00A977DD"/>
    <w:rsid w:val="00AA64B4"/>
    <w:rsid w:val="00AB18A4"/>
    <w:rsid w:val="00AB34B5"/>
    <w:rsid w:val="00AB7044"/>
    <w:rsid w:val="00AD4976"/>
    <w:rsid w:val="00AE141D"/>
    <w:rsid w:val="00AE52BF"/>
    <w:rsid w:val="00AF38B5"/>
    <w:rsid w:val="00AF5D9A"/>
    <w:rsid w:val="00B12BD7"/>
    <w:rsid w:val="00B12DC4"/>
    <w:rsid w:val="00B14739"/>
    <w:rsid w:val="00B26F51"/>
    <w:rsid w:val="00B27ADC"/>
    <w:rsid w:val="00B338CC"/>
    <w:rsid w:val="00B33A73"/>
    <w:rsid w:val="00B35444"/>
    <w:rsid w:val="00B37C3E"/>
    <w:rsid w:val="00B40D0D"/>
    <w:rsid w:val="00B453C2"/>
    <w:rsid w:val="00B463D5"/>
    <w:rsid w:val="00B52343"/>
    <w:rsid w:val="00B5375A"/>
    <w:rsid w:val="00B56EE1"/>
    <w:rsid w:val="00B60270"/>
    <w:rsid w:val="00B64BB2"/>
    <w:rsid w:val="00B65F1E"/>
    <w:rsid w:val="00B77A38"/>
    <w:rsid w:val="00B90D1D"/>
    <w:rsid w:val="00B933DB"/>
    <w:rsid w:val="00B9676E"/>
    <w:rsid w:val="00BA1BAA"/>
    <w:rsid w:val="00BA63E5"/>
    <w:rsid w:val="00BA7A41"/>
    <w:rsid w:val="00BB5B77"/>
    <w:rsid w:val="00BD3C61"/>
    <w:rsid w:val="00BE0FA0"/>
    <w:rsid w:val="00BF14EF"/>
    <w:rsid w:val="00C04E53"/>
    <w:rsid w:val="00C052B1"/>
    <w:rsid w:val="00C10156"/>
    <w:rsid w:val="00C12079"/>
    <w:rsid w:val="00C13DF1"/>
    <w:rsid w:val="00C13E13"/>
    <w:rsid w:val="00C16685"/>
    <w:rsid w:val="00C21DF7"/>
    <w:rsid w:val="00C35624"/>
    <w:rsid w:val="00C35C6B"/>
    <w:rsid w:val="00C44A43"/>
    <w:rsid w:val="00C47CDD"/>
    <w:rsid w:val="00C52E6B"/>
    <w:rsid w:val="00C54275"/>
    <w:rsid w:val="00C63853"/>
    <w:rsid w:val="00C6755E"/>
    <w:rsid w:val="00C826B8"/>
    <w:rsid w:val="00C95A0C"/>
    <w:rsid w:val="00CA06B9"/>
    <w:rsid w:val="00CB4E0D"/>
    <w:rsid w:val="00CB6296"/>
    <w:rsid w:val="00CC2CD9"/>
    <w:rsid w:val="00CD280A"/>
    <w:rsid w:val="00CD5C8B"/>
    <w:rsid w:val="00CF4493"/>
    <w:rsid w:val="00D00BAF"/>
    <w:rsid w:val="00D13631"/>
    <w:rsid w:val="00D14AE8"/>
    <w:rsid w:val="00D31B6A"/>
    <w:rsid w:val="00D34C56"/>
    <w:rsid w:val="00D36C4D"/>
    <w:rsid w:val="00D36F70"/>
    <w:rsid w:val="00D46F8E"/>
    <w:rsid w:val="00D520A0"/>
    <w:rsid w:val="00D64773"/>
    <w:rsid w:val="00D8273F"/>
    <w:rsid w:val="00D8749E"/>
    <w:rsid w:val="00D945ED"/>
    <w:rsid w:val="00DD2B2A"/>
    <w:rsid w:val="00DD71F3"/>
    <w:rsid w:val="00DE7C20"/>
    <w:rsid w:val="00DF1B79"/>
    <w:rsid w:val="00DF3024"/>
    <w:rsid w:val="00DF395C"/>
    <w:rsid w:val="00DF4114"/>
    <w:rsid w:val="00E1210A"/>
    <w:rsid w:val="00E160DD"/>
    <w:rsid w:val="00E21C13"/>
    <w:rsid w:val="00E23E35"/>
    <w:rsid w:val="00E27DB2"/>
    <w:rsid w:val="00E307DE"/>
    <w:rsid w:val="00E35FAC"/>
    <w:rsid w:val="00E36CE6"/>
    <w:rsid w:val="00E40260"/>
    <w:rsid w:val="00E43F59"/>
    <w:rsid w:val="00E45C12"/>
    <w:rsid w:val="00E6289D"/>
    <w:rsid w:val="00E672CC"/>
    <w:rsid w:val="00E7186F"/>
    <w:rsid w:val="00E749EF"/>
    <w:rsid w:val="00E74DF9"/>
    <w:rsid w:val="00E76A5D"/>
    <w:rsid w:val="00E80DF0"/>
    <w:rsid w:val="00E90F7E"/>
    <w:rsid w:val="00E9606B"/>
    <w:rsid w:val="00EA0F0A"/>
    <w:rsid w:val="00EA30B7"/>
    <w:rsid w:val="00EA58EA"/>
    <w:rsid w:val="00EB1103"/>
    <w:rsid w:val="00EC59D5"/>
    <w:rsid w:val="00ED3DB4"/>
    <w:rsid w:val="00ED42A5"/>
    <w:rsid w:val="00EE12BC"/>
    <w:rsid w:val="00EE2ADF"/>
    <w:rsid w:val="00EE56AD"/>
    <w:rsid w:val="00EE6975"/>
    <w:rsid w:val="00F01860"/>
    <w:rsid w:val="00F274B5"/>
    <w:rsid w:val="00F2751F"/>
    <w:rsid w:val="00F340ED"/>
    <w:rsid w:val="00F37BCD"/>
    <w:rsid w:val="00F40182"/>
    <w:rsid w:val="00F42273"/>
    <w:rsid w:val="00F47FE4"/>
    <w:rsid w:val="00F6022B"/>
    <w:rsid w:val="00F6521D"/>
    <w:rsid w:val="00F74A4A"/>
    <w:rsid w:val="00F77C0C"/>
    <w:rsid w:val="00F81286"/>
    <w:rsid w:val="00F9729F"/>
    <w:rsid w:val="00FA01C2"/>
    <w:rsid w:val="00FB17A8"/>
    <w:rsid w:val="00FB524B"/>
    <w:rsid w:val="00FC46C7"/>
    <w:rsid w:val="00FC4CD2"/>
    <w:rsid w:val="00FF3A2B"/>
    <w:rsid w:val="010471A4"/>
    <w:rsid w:val="01491948"/>
    <w:rsid w:val="02AB0B47"/>
    <w:rsid w:val="03154645"/>
    <w:rsid w:val="036C54A0"/>
    <w:rsid w:val="039B7DB6"/>
    <w:rsid w:val="04210266"/>
    <w:rsid w:val="04710747"/>
    <w:rsid w:val="04D0514F"/>
    <w:rsid w:val="05182DFE"/>
    <w:rsid w:val="05CE10C1"/>
    <w:rsid w:val="05E4668F"/>
    <w:rsid w:val="06BA7C10"/>
    <w:rsid w:val="06F175A8"/>
    <w:rsid w:val="07272092"/>
    <w:rsid w:val="077F12E6"/>
    <w:rsid w:val="07B366EE"/>
    <w:rsid w:val="07C241C2"/>
    <w:rsid w:val="07EA3E20"/>
    <w:rsid w:val="07F049F8"/>
    <w:rsid w:val="080B6A5F"/>
    <w:rsid w:val="08574161"/>
    <w:rsid w:val="08865367"/>
    <w:rsid w:val="08884490"/>
    <w:rsid w:val="08A664DD"/>
    <w:rsid w:val="08E50DDC"/>
    <w:rsid w:val="08FF6D44"/>
    <w:rsid w:val="092D370C"/>
    <w:rsid w:val="094F14E7"/>
    <w:rsid w:val="09BF7F78"/>
    <w:rsid w:val="0A1A4C84"/>
    <w:rsid w:val="0A6C0D6D"/>
    <w:rsid w:val="0AE624D0"/>
    <w:rsid w:val="0AED5001"/>
    <w:rsid w:val="0AF164EB"/>
    <w:rsid w:val="0BA747FF"/>
    <w:rsid w:val="0BAD3DD2"/>
    <w:rsid w:val="0BAD6799"/>
    <w:rsid w:val="0BD70C66"/>
    <w:rsid w:val="0BFF574E"/>
    <w:rsid w:val="0C2F6F76"/>
    <w:rsid w:val="0C8B23B9"/>
    <w:rsid w:val="0CF85439"/>
    <w:rsid w:val="0CFB1B0C"/>
    <w:rsid w:val="0D4D65BC"/>
    <w:rsid w:val="0D850241"/>
    <w:rsid w:val="0DA02A4F"/>
    <w:rsid w:val="0DD06CBC"/>
    <w:rsid w:val="0DF64A9D"/>
    <w:rsid w:val="0E4568AE"/>
    <w:rsid w:val="0ED14D1E"/>
    <w:rsid w:val="0ED97F04"/>
    <w:rsid w:val="0EE77B3D"/>
    <w:rsid w:val="0EED3849"/>
    <w:rsid w:val="0F04545E"/>
    <w:rsid w:val="0FAD4979"/>
    <w:rsid w:val="10C438D7"/>
    <w:rsid w:val="10D771F8"/>
    <w:rsid w:val="112D7159"/>
    <w:rsid w:val="11651C1F"/>
    <w:rsid w:val="116539FF"/>
    <w:rsid w:val="118948C1"/>
    <w:rsid w:val="11CA69E1"/>
    <w:rsid w:val="122E50D0"/>
    <w:rsid w:val="124904D9"/>
    <w:rsid w:val="128C1D92"/>
    <w:rsid w:val="12B23FAD"/>
    <w:rsid w:val="12C40CFA"/>
    <w:rsid w:val="12DF0909"/>
    <w:rsid w:val="1364205A"/>
    <w:rsid w:val="13714BBE"/>
    <w:rsid w:val="13930AED"/>
    <w:rsid w:val="13CA7DF8"/>
    <w:rsid w:val="143C687E"/>
    <w:rsid w:val="14556DB3"/>
    <w:rsid w:val="14E01F7B"/>
    <w:rsid w:val="15262E71"/>
    <w:rsid w:val="15306F95"/>
    <w:rsid w:val="157E5E53"/>
    <w:rsid w:val="15A67F61"/>
    <w:rsid w:val="15B81CD6"/>
    <w:rsid w:val="15EC73EC"/>
    <w:rsid w:val="1622032E"/>
    <w:rsid w:val="167B34C7"/>
    <w:rsid w:val="17151D13"/>
    <w:rsid w:val="171F47CB"/>
    <w:rsid w:val="17A23C28"/>
    <w:rsid w:val="17C67B42"/>
    <w:rsid w:val="18430DBF"/>
    <w:rsid w:val="185B4F2D"/>
    <w:rsid w:val="18EC231B"/>
    <w:rsid w:val="19507BE1"/>
    <w:rsid w:val="19A95565"/>
    <w:rsid w:val="19F80A55"/>
    <w:rsid w:val="1A23572C"/>
    <w:rsid w:val="1AE259D8"/>
    <w:rsid w:val="1AFC665B"/>
    <w:rsid w:val="1B092C1B"/>
    <w:rsid w:val="1B0D39FE"/>
    <w:rsid w:val="1B76105A"/>
    <w:rsid w:val="1BAB267D"/>
    <w:rsid w:val="1C881F06"/>
    <w:rsid w:val="1CB127A9"/>
    <w:rsid w:val="1CE3498B"/>
    <w:rsid w:val="1D443319"/>
    <w:rsid w:val="1DFE4AC7"/>
    <w:rsid w:val="1E0A4F05"/>
    <w:rsid w:val="1E7A08B8"/>
    <w:rsid w:val="1E9D506D"/>
    <w:rsid w:val="1EB90808"/>
    <w:rsid w:val="1EC13DB2"/>
    <w:rsid w:val="1F5E2E27"/>
    <w:rsid w:val="1F9B43D1"/>
    <w:rsid w:val="1FDA23D0"/>
    <w:rsid w:val="202240F6"/>
    <w:rsid w:val="209333CD"/>
    <w:rsid w:val="210448FA"/>
    <w:rsid w:val="2134608C"/>
    <w:rsid w:val="214741B5"/>
    <w:rsid w:val="21D04DB2"/>
    <w:rsid w:val="229B40FC"/>
    <w:rsid w:val="22BB1400"/>
    <w:rsid w:val="22CE64B4"/>
    <w:rsid w:val="22D5331D"/>
    <w:rsid w:val="22D614D7"/>
    <w:rsid w:val="230C45F8"/>
    <w:rsid w:val="23806AEC"/>
    <w:rsid w:val="23BF55FF"/>
    <w:rsid w:val="241F199B"/>
    <w:rsid w:val="243513F1"/>
    <w:rsid w:val="245F6C57"/>
    <w:rsid w:val="24677444"/>
    <w:rsid w:val="24786509"/>
    <w:rsid w:val="24B570FA"/>
    <w:rsid w:val="255036CC"/>
    <w:rsid w:val="258A5579"/>
    <w:rsid w:val="258F456C"/>
    <w:rsid w:val="25D277B6"/>
    <w:rsid w:val="266D1F72"/>
    <w:rsid w:val="26920BFA"/>
    <w:rsid w:val="26C162AD"/>
    <w:rsid w:val="26CD7BEF"/>
    <w:rsid w:val="26EB28CE"/>
    <w:rsid w:val="26FC67A8"/>
    <w:rsid w:val="275277A5"/>
    <w:rsid w:val="283C2857"/>
    <w:rsid w:val="28FC1D2E"/>
    <w:rsid w:val="29493866"/>
    <w:rsid w:val="29AE711E"/>
    <w:rsid w:val="2A1A3152"/>
    <w:rsid w:val="2BA51ACF"/>
    <w:rsid w:val="2BF247EA"/>
    <w:rsid w:val="2C9861D3"/>
    <w:rsid w:val="2CDA4EE9"/>
    <w:rsid w:val="2D105353"/>
    <w:rsid w:val="2D1359D2"/>
    <w:rsid w:val="2D6368F9"/>
    <w:rsid w:val="2D751881"/>
    <w:rsid w:val="2DE53D06"/>
    <w:rsid w:val="2DF87595"/>
    <w:rsid w:val="2E9E331C"/>
    <w:rsid w:val="2EDF5992"/>
    <w:rsid w:val="2EE12A28"/>
    <w:rsid w:val="2F436F20"/>
    <w:rsid w:val="2F9A1F01"/>
    <w:rsid w:val="2FC107BA"/>
    <w:rsid w:val="309A2B93"/>
    <w:rsid w:val="30C10866"/>
    <w:rsid w:val="30D06217"/>
    <w:rsid w:val="30F15B41"/>
    <w:rsid w:val="30F40D67"/>
    <w:rsid w:val="30FD098E"/>
    <w:rsid w:val="31134EA5"/>
    <w:rsid w:val="31972B76"/>
    <w:rsid w:val="31C90149"/>
    <w:rsid w:val="31D37AAE"/>
    <w:rsid w:val="326000F5"/>
    <w:rsid w:val="328A03A9"/>
    <w:rsid w:val="33391003"/>
    <w:rsid w:val="34013EAD"/>
    <w:rsid w:val="343B499F"/>
    <w:rsid w:val="34577CEC"/>
    <w:rsid w:val="355A55E5"/>
    <w:rsid w:val="355B1C9E"/>
    <w:rsid w:val="35F96A2E"/>
    <w:rsid w:val="36061B53"/>
    <w:rsid w:val="364E51C3"/>
    <w:rsid w:val="36627E5C"/>
    <w:rsid w:val="36996533"/>
    <w:rsid w:val="36E12CE9"/>
    <w:rsid w:val="375A3982"/>
    <w:rsid w:val="379B15EC"/>
    <w:rsid w:val="38221828"/>
    <w:rsid w:val="388A5D62"/>
    <w:rsid w:val="388E52E1"/>
    <w:rsid w:val="38BD488A"/>
    <w:rsid w:val="38DE703D"/>
    <w:rsid w:val="3908134E"/>
    <w:rsid w:val="39797028"/>
    <w:rsid w:val="39DB67D7"/>
    <w:rsid w:val="39E326FB"/>
    <w:rsid w:val="39E711CE"/>
    <w:rsid w:val="3A025FBB"/>
    <w:rsid w:val="3A1C7E99"/>
    <w:rsid w:val="3A83731D"/>
    <w:rsid w:val="3A9B387F"/>
    <w:rsid w:val="3AA92788"/>
    <w:rsid w:val="3B1F573C"/>
    <w:rsid w:val="3B2E46CE"/>
    <w:rsid w:val="3B51076F"/>
    <w:rsid w:val="3B846171"/>
    <w:rsid w:val="3BF0714D"/>
    <w:rsid w:val="3BF11055"/>
    <w:rsid w:val="3C3A18FC"/>
    <w:rsid w:val="3C426BA9"/>
    <w:rsid w:val="3C4807E7"/>
    <w:rsid w:val="3CAD4802"/>
    <w:rsid w:val="3CCA65A0"/>
    <w:rsid w:val="3D0776FE"/>
    <w:rsid w:val="3D1A0250"/>
    <w:rsid w:val="3E306894"/>
    <w:rsid w:val="3E830463"/>
    <w:rsid w:val="3EBD7A04"/>
    <w:rsid w:val="3ECB3C82"/>
    <w:rsid w:val="3F045BC6"/>
    <w:rsid w:val="3F3049A2"/>
    <w:rsid w:val="3F7D7567"/>
    <w:rsid w:val="3F9B7437"/>
    <w:rsid w:val="3FA22B44"/>
    <w:rsid w:val="40067C88"/>
    <w:rsid w:val="401235D1"/>
    <w:rsid w:val="402A302B"/>
    <w:rsid w:val="40307F1C"/>
    <w:rsid w:val="40AE442B"/>
    <w:rsid w:val="40C73CF3"/>
    <w:rsid w:val="40E6745A"/>
    <w:rsid w:val="41E17BA2"/>
    <w:rsid w:val="4310022B"/>
    <w:rsid w:val="4316079B"/>
    <w:rsid w:val="43404827"/>
    <w:rsid w:val="43525488"/>
    <w:rsid w:val="437F5A62"/>
    <w:rsid w:val="442F3884"/>
    <w:rsid w:val="44362CB7"/>
    <w:rsid w:val="447D7120"/>
    <w:rsid w:val="449A222F"/>
    <w:rsid w:val="44BC0753"/>
    <w:rsid w:val="44C802DF"/>
    <w:rsid w:val="44DA4485"/>
    <w:rsid w:val="44EA0C4D"/>
    <w:rsid w:val="467308F0"/>
    <w:rsid w:val="46935730"/>
    <w:rsid w:val="46A03218"/>
    <w:rsid w:val="46D32ECA"/>
    <w:rsid w:val="473D174C"/>
    <w:rsid w:val="47520856"/>
    <w:rsid w:val="47755F78"/>
    <w:rsid w:val="478D17E5"/>
    <w:rsid w:val="47CF8279"/>
    <w:rsid w:val="48B00983"/>
    <w:rsid w:val="48B21FD7"/>
    <w:rsid w:val="49482561"/>
    <w:rsid w:val="4955492D"/>
    <w:rsid w:val="496833C9"/>
    <w:rsid w:val="497F0798"/>
    <w:rsid w:val="4A3966D2"/>
    <w:rsid w:val="4A3C5CA2"/>
    <w:rsid w:val="4A45166C"/>
    <w:rsid w:val="4A687018"/>
    <w:rsid w:val="4AB6658C"/>
    <w:rsid w:val="4B071A7E"/>
    <w:rsid w:val="4B297EDA"/>
    <w:rsid w:val="4B560393"/>
    <w:rsid w:val="4B97602B"/>
    <w:rsid w:val="4C281DB9"/>
    <w:rsid w:val="4C4D6763"/>
    <w:rsid w:val="4C5E52BE"/>
    <w:rsid w:val="4C78373B"/>
    <w:rsid w:val="4CA250C5"/>
    <w:rsid w:val="4D0A0C0C"/>
    <w:rsid w:val="4D387261"/>
    <w:rsid w:val="4D4A5041"/>
    <w:rsid w:val="4D68373D"/>
    <w:rsid w:val="4D6A6DB8"/>
    <w:rsid w:val="4DAB56C1"/>
    <w:rsid w:val="4E794F09"/>
    <w:rsid w:val="4EAD24B7"/>
    <w:rsid w:val="4ECC1777"/>
    <w:rsid w:val="4F0C3F2E"/>
    <w:rsid w:val="4F311A37"/>
    <w:rsid w:val="4F8E1E16"/>
    <w:rsid w:val="4F93303C"/>
    <w:rsid w:val="4FE406DA"/>
    <w:rsid w:val="4FFF49B4"/>
    <w:rsid w:val="50301C1F"/>
    <w:rsid w:val="5052564B"/>
    <w:rsid w:val="50E73E78"/>
    <w:rsid w:val="51574F8A"/>
    <w:rsid w:val="51E15076"/>
    <w:rsid w:val="51F30037"/>
    <w:rsid w:val="52A56FD8"/>
    <w:rsid w:val="52E153FA"/>
    <w:rsid w:val="52FC023D"/>
    <w:rsid w:val="53E52D81"/>
    <w:rsid w:val="545C5AC7"/>
    <w:rsid w:val="547F3760"/>
    <w:rsid w:val="54CC2BBC"/>
    <w:rsid w:val="553803DD"/>
    <w:rsid w:val="556762DD"/>
    <w:rsid w:val="55763D56"/>
    <w:rsid w:val="55CE6A00"/>
    <w:rsid w:val="560D5397"/>
    <w:rsid w:val="56136F79"/>
    <w:rsid w:val="5667320B"/>
    <w:rsid w:val="568430D3"/>
    <w:rsid w:val="56AA415A"/>
    <w:rsid w:val="57127A9A"/>
    <w:rsid w:val="57985992"/>
    <w:rsid w:val="579F2086"/>
    <w:rsid w:val="57B833AB"/>
    <w:rsid w:val="58102B87"/>
    <w:rsid w:val="582A042C"/>
    <w:rsid w:val="584D7106"/>
    <w:rsid w:val="587D26F5"/>
    <w:rsid w:val="58A63C01"/>
    <w:rsid w:val="58B568B9"/>
    <w:rsid w:val="58C3509F"/>
    <w:rsid w:val="58C84F80"/>
    <w:rsid w:val="58D5651D"/>
    <w:rsid w:val="59E9009C"/>
    <w:rsid w:val="5A5314D8"/>
    <w:rsid w:val="5AF04B79"/>
    <w:rsid w:val="5B01319D"/>
    <w:rsid w:val="5B31678F"/>
    <w:rsid w:val="5B494AAE"/>
    <w:rsid w:val="5B6151D1"/>
    <w:rsid w:val="5B69273D"/>
    <w:rsid w:val="5B7F26EB"/>
    <w:rsid w:val="5BCE459D"/>
    <w:rsid w:val="5BD466EF"/>
    <w:rsid w:val="5BFC3CB1"/>
    <w:rsid w:val="5C103D1D"/>
    <w:rsid w:val="5C7A6C5D"/>
    <w:rsid w:val="5CA63324"/>
    <w:rsid w:val="5CAB617A"/>
    <w:rsid w:val="5CC403B9"/>
    <w:rsid w:val="5D72616D"/>
    <w:rsid w:val="5D803608"/>
    <w:rsid w:val="5D862796"/>
    <w:rsid w:val="5DD0579C"/>
    <w:rsid w:val="5E20055A"/>
    <w:rsid w:val="5E251E7B"/>
    <w:rsid w:val="5E522258"/>
    <w:rsid w:val="5F297468"/>
    <w:rsid w:val="5F7A6C82"/>
    <w:rsid w:val="5FB26A8F"/>
    <w:rsid w:val="60296DBF"/>
    <w:rsid w:val="60766FE4"/>
    <w:rsid w:val="624F35A5"/>
    <w:rsid w:val="62EA18DF"/>
    <w:rsid w:val="62F5359B"/>
    <w:rsid w:val="632D3C53"/>
    <w:rsid w:val="644412A3"/>
    <w:rsid w:val="64645A0E"/>
    <w:rsid w:val="648D0D46"/>
    <w:rsid w:val="64DE697B"/>
    <w:rsid w:val="64E25185"/>
    <w:rsid w:val="64F11F18"/>
    <w:rsid w:val="65750FB3"/>
    <w:rsid w:val="663325C8"/>
    <w:rsid w:val="6641063F"/>
    <w:rsid w:val="6647632D"/>
    <w:rsid w:val="6687368A"/>
    <w:rsid w:val="66CF6F67"/>
    <w:rsid w:val="672E3151"/>
    <w:rsid w:val="6759599D"/>
    <w:rsid w:val="676F41CE"/>
    <w:rsid w:val="67D70397"/>
    <w:rsid w:val="67DB4392"/>
    <w:rsid w:val="689A027C"/>
    <w:rsid w:val="692D7A8D"/>
    <w:rsid w:val="69763FAC"/>
    <w:rsid w:val="6A086AB4"/>
    <w:rsid w:val="6A40045A"/>
    <w:rsid w:val="6AF32035"/>
    <w:rsid w:val="6B044C2F"/>
    <w:rsid w:val="6B993AEB"/>
    <w:rsid w:val="6BAC10BD"/>
    <w:rsid w:val="6BD43618"/>
    <w:rsid w:val="6C6C56AA"/>
    <w:rsid w:val="6C913DCD"/>
    <w:rsid w:val="6CB81EDB"/>
    <w:rsid w:val="6CBF5018"/>
    <w:rsid w:val="6CC62031"/>
    <w:rsid w:val="6DF02B61"/>
    <w:rsid w:val="6EBF1E72"/>
    <w:rsid w:val="6EC17B98"/>
    <w:rsid w:val="6EFD0E65"/>
    <w:rsid w:val="6F4C7615"/>
    <w:rsid w:val="6F6450FA"/>
    <w:rsid w:val="706461CE"/>
    <w:rsid w:val="70877D29"/>
    <w:rsid w:val="712848F3"/>
    <w:rsid w:val="7130295D"/>
    <w:rsid w:val="716A743C"/>
    <w:rsid w:val="71B55E45"/>
    <w:rsid w:val="721415DC"/>
    <w:rsid w:val="72847CA8"/>
    <w:rsid w:val="729A01E8"/>
    <w:rsid w:val="72BD2BB0"/>
    <w:rsid w:val="73441BC9"/>
    <w:rsid w:val="735938F8"/>
    <w:rsid w:val="73642444"/>
    <w:rsid w:val="736F33AB"/>
    <w:rsid w:val="73C04FBE"/>
    <w:rsid w:val="73ED4347"/>
    <w:rsid w:val="74082F2F"/>
    <w:rsid w:val="746E00FF"/>
    <w:rsid w:val="747F7B7E"/>
    <w:rsid w:val="74AD1FED"/>
    <w:rsid w:val="754E350B"/>
    <w:rsid w:val="75E64F0F"/>
    <w:rsid w:val="75F931F8"/>
    <w:rsid w:val="76014FB0"/>
    <w:rsid w:val="7653305B"/>
    <w:rsid w:val="772A0563"/>
    <w:rsid w:val="77366579"/>
    <w:rsid w:val="7766019B"/>
    <w:rsid w:val="77A641EC"/>
    <w:rsid w:val="77BB2E61"/>
    <w:rsid w:val="77C52F85"/>
    <w:rsid w:val="7800750B"/>
    <w:rsid w:val="782902D5"/>
    <w:rsid w:val="787714EA"/>
    <w:rsid w:val="7881183E"/>
    <w:rsid w:val="78E1186E"/>
    <w:rsid w:val="78FD2348"/>
    <w:rsid w:val="790756A4"/>
    <w:rsid w:val="79DA15EF"/>
    <w:rsid w:val="7A1011FE"/>
    <w:rsid w:val="7A260E12"/>
    <w:rsid w:val="7A5851F5"/>
    <w:rsid w:val="7A9952BF"/>
    <w:rsid w:val="7A99753D"/>
    <w:rsid w:val="7AC21D1F"/>
    <w:rsid w:val="7B170383"/>
    <w:rsid w:val="7B2F50FC"/>
    <w:rsid w:val="7BB63374"/>
    <w:rsid w:val="7BC07767"/>
    <w:rsid w:val="7BDA54B4"/>
    <w:rsid w:val="7BE20172"/>
    <w:rsid w:val="7BE82D0A"/>
    <w:rsid w:val="7CE31925"/>
    <w:rsid w:val="7CFE564A"/>
    <w:rsid w:val="7D157F19"/>
    <w:rsid w:val="7DA00AAB"/>
    <w:rsid w:val="7DC22726"/>
    <w:rsid w:val="7DC901A4"/>
    <w:rsid w:val="7E3C6EC6"/>
    <w:rsid w:val="7EF26B99"/>
    <w:rsid w:val="7FD04BA9"/>
    <w:rsid w:val="7FF62A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880" w:firstLineChars="200"/>
      <w:jc w:val="both"/>
    </w:pPr>
    <w:rPr>
      <w:rFonts w:ascii="Calibri" w:hAnsi="Calibri" w:eastAsia="方正仿宋_GBK" w:cs="Times New Roman"/>
      <w:kern w:val="2"/>
      <w:sz w:val="32"/>
      <w:szCs w:val="24"/>
      <w:lang w:val="en-US" w:eastAsia="zh-CN" w:bidi="ar-SA"/>
    </w:rPr>
  </w:style>
  <w:style w:type="paragraph" w:styleId="3">
    <w:name w:val="heading 1"/>
    <w:basedOn w:val="1"/>
    <w:next w:val="1"/>
    <w:link w:val="29"/>
    <w:qFormat/>
    <w:uiPriority w:val="0"/>
    <w:pPr>
      <w:keepNext/>
      <w:keepLines/>
      <w:ind w:firstLine="0" w:firstLineChars="0"/>
      <w:jc w:val="center"/>
      <w:outlineLvl w:val="0"/>
    </w:pPr>
    <w:rPr>
      <w:rFonts w:eastAsia="黑体"/>
      <w:kern w:val="44"/>
    </w:rPr>
  </w:style>
  <w:style w:type="paragraph" w:styleId="4">
    <w:name w:val="heading 2"/>
    <w:basedOn w:val="1"/>
    <w:next w:val="1"/>
    <w:link w:val="30"/>
    <w:semiHidden/>
    <w:unhideWhenUsed/>
    <w:qFormat/>
    <w:uiPriority w:val="0"/>
    <w:pPr>
      <w:spacing w:line="560" w:lineRule="exact"/>
      <w:ind w:firstLine="1044"/>
      <w:jc w:val="left"/>
      <w:outlineLvl w:val="1"/>
    </w:pPr>
    <w:rPr>
      <w:rFonts w:ascii="宋体" w:hAnsi="宋体" w:eastAsia="楷体_GB2312" w:cs="宋体"/>
      <w:bCs/>
      <w:szCs w:val="28"/>
      <w:lang w:val="zh-CN"/>
    </w:rPr>
  </w:style>
  <w:style w:type="paragraph" w:styleId="5">
    <w:name w:val="heading 3"/>
    <w:basedOn w:val="1"/>
    <w:next w:val="1"/>
    <w:link w:val="31"/>
    <w:semiHidden/>
    <w:unhideWhenUsed/>
    <w:qFormat/>
    <w:uiPriority w:val="0"/>
    <w:pPr>
      <w:jc w:val="left"/>
      <w:outlineLvl w:val="2"/>
    </w:pPr>
    <w:rPr>
      <w:rFonts w:ascii="宋体" w:hAnsi="宋体"/>
      <w:b/>
      <w:kern w:val="0"/>
      <w:szCs w:val="27"/>
    </w:rPr>
  </w:style>
  <w:style w:type="paragraph" w:styleId="6">
    <w:name w:val="heading 4"/>
    <w:basedOn w:val="1"/>
    <w:next w:val="1"/>
    <w:link w:val="32"/>
    <w:semiHidden/>
    <w:unhideWhenUsed/>
    <w:qFormat/>
    <w:uiPriority w:val="0"/>
    <w:pPr>
      <w:keepNext/>
      <w:keepLines/>
      <w:spacing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420"/>
    </w:pPr>
    <w:rPr>
      <w:kern w:val="0"/>
      <w:sz w:val="28"/>
      <w:szCs w:val="28"/>
    </w:rPr>
  </w:style>
  <w:style w:type="paragraph" w:styleId="7">
    <w:name w:val="Body Text"/>
    <w:basedOn w:val="1"/>
    <w:next w:val="8"/>
    <w:link w:val="33"/>
    <w:qFormat/>
    <w:uiPriority w:val="0"/>
    <w:rPr>
      <w:rFonts w:ascii="宋体" w:hAnsi="宋体" w:eastAsia="宋体" w:cs="宋体"/>
      <w:sz w:val="24"/>
      <w:lang w:val="zh-CN"/>
    </w:rPr>
  </w:style>
  <w:style w:type="paragraph" w:styleId="8">
    <w:name w:val="Plain Text"/>
    <w:basedOn w:val="1"/>
    <w:link w:val="35"/>
    <w:qFormat/>
    <w:uiPriority w:val="0"/>
    <w:rPr>
      <w:rFonts w:ascii="宋体" w:hAnsi="宋体"/>
    </w:rPr>
  </w:style>
  <w:style w:type="paragraph" w:styleId="9">
    <w:name w:val="Body Text Indent"/>
    <w:basedOn w:val="1"/>
    <w:qFormat/>
    <w:uiPriority w:val="0"/>
    <w:pPr>
      <w:spacing w:line="360" w:lineRule="auto"/>
      <w:ind w:firstLine="480"/>
    </w:pPr>
    <w:rPr>
      <w:i/>
      <w:color w:val="800080"/>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Body Text Indent 2"/>
    <w:qFormat/>
    <w:uiPriority w:val="0"/>
    <w:pPr>
      <w:widowControl w:val="0"/>
      <w:ind w:firstLine="630"/>
      <w:jc w:val="both"/>
    </w:pPr>
    <w:rPr>
      <w:rFonts w:ascii="楷体_GB2312" w:hAnsi="Calibri" w:eastAsia="楷体_GB2312" w:cs="Times New Roman"/>
      <w:kern w:val="2"/>
      <w:sz w:val="28"/>
      <w:szCs w:val="20"/>
      <w:lang w:val="en-US" w:eastAsia="zh-CN" w:bidi="ar-SA"/>
    </w:rPr>
  </w:style>
  <w:style w:type="paragraph" w:styleId="13">
    <w:name w:val="footer"/>
    <w:basedOn w:val="1"/>
    <w:link w:val="36"/>
    <w:qFormat/>
    <w:uiPriority w:val="0"/>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footnote text"/>
    <w:basedOn w:val="1"/>
    <w:link w:val="38"/>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7"/>
    <w:link w:val="34"/>
    <w:qFormat/>
    <w:uiPriority w:val="0"/>
    <w:pPr>
      <w:ind w:firstLine="420" w:firstLineChars="100"/>
    </w:pPr>
  </w:style>
  <w:style w:type="paragraph" w:styleId="20">
    <w:name w:val="Body Text First Indent 2"/>
    <w:basedOn w:val="9"/>
    <w:qFormat/>
    <w:uiPriority w:val="0"/>
    <w:pPr>
      <w:ind w:firstLine="420" w:firstLineChars="200"/>
    </w:pPr>
  </w:style>
  <w:style w:type="table" w:styleId="22">
    <w:name w:val="Table Grid"/>
    <w:basedOn w:val="21"/>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cs="Times New Roman"/>
      <w:b/>
    </w:rPr>
  </w:style>
  <w:style w:type="character" w:styleId="25">
    <w:name w:val="page number"/>
    <w:basedOn w:val="23"/>
    <w:qFormat/>
    <w:uiPriority w:val="0"/>
    <w:rPr>
      <w:rFonts w:ascii="Times New Roman" w:hAnsi="Times New Roman" w:eastAsia="宋体" w:cs="Times New Roman"/>
    </w:rPr>
  </w:style>
  <w:style w:type="character" w:styleId="26">
    <w:name w:val="Emphasis"/>
    <w:basedOn w:val="23"/>
    <w:qFormat/>
    <w:uiPriority w:val="0"/>
    <w:rPr>
      <w:rFonts w:cs="Times New Roman"/>
      <w:i/>
    </w:rPr>
  </w:style>
  <w:style w:type="character" w:styleId="27">
    <w:name w:val="Hyperlink"/>
    <w:basedOn w:val="23"/>
    <w:qFormat/>
    <w:uiPriority w:val="0"/>
    <w:rPr>
      <w:rFonts w:cs="Times New Roman"/>
      <w:color w:val="0000FF"/>
      <w:u w:val="single"/>
    </w:rPr>
  </w:style>
  <w:style w:type="character" w:styleId="28">
    <w:name w:val="footnote reference"/>
    <w:basedOn w:val="23"/>
    <w:qFormat/>
    <w:uiPriority w:val="0"/>
    <w:rPr>
      <w:rFonts w:cs="Times New Roman"/>
      <w:vertAlign w:val="superscript"/>
    </w:rPr>
  </w:style>
  <w:style w:type="character" w:customStyle="1" w:styleId="29">
    <w:name w:val="Heading 1 Char"/>
    <w:basedOn w:val="23"/>
    <w:link w:val="3"/>
    <w:qFormat/>
    <w:locked/>
    <w:uiPriority w:val="99"/>
    <w:rPr>
      <w:rFonts w:ascii="Calibri" w:hAnsi="Calibri" w:eastAsia="方正仿宋_GBK" w:cs="Times New Roman"/>
      <w:b/>
      <w:bCs/>
      <w:kern w:val="44"/>
      <w:sz w:val="44"/>
      <w:szCs w:val="44"/>
    </w:rPr>
  </w:style>
  <w:style w:type="character" w:customStyle="1" w:styleId="30">
    <w:name w:val="Heading 2 Char"/>
    <w:basedOn w:val="23"/>
    <w:link w:val="4"/>
    <w:semiHidden/>
    <w:qFormat/>
    <w:locked/>
    <w:uiPriority w:val="99"/>
    <w:rPr>
      <w:rFonts w:ascii="Cambria" w:hAnsi="Cambria" w:eastAsia="宋体" w:cs="Times New Roman"/>
      <w:b/>
      <w:bCs/>
      <w:sz w:val="32"/>
      <w:szCs w:val="32"/>
    </w:rPr>
  </w:style>
  <w:style w:type="character" w:customStyle="1" w:styleId="31">
    <w:name w:val="Heading 3 Char"/>
    <w:basedOn w:val="23"/>
    <w:link w:val="5"/>
    <w:qFormat/>
    <w:locked/>
    <w:uiPriority w:val="99"/>
    <w:rPr>
      <w:rFonts w:ascii="宋体" w:hAnsi="宋体" w:eastAsia="方正仿宋_GBK" w:cs="宋体"/>
      <w:b/>
      <w:kern w:val="0"/>
      <w:sz w:val="27"/>
      <w:szCs w:val="27"/>
    </w:rPr>
  </w:style>
  <w:style w:type="character" w:customStyle="1" w:styleId="32">
    <w:name w:val="Heading 4 Char"/>
    <w:basedOn w:val="23"/>
    <w:link w:val="6"/>
    <w:semiHidden/>
    <w:qFormat/>
    <w:locked/>
    <w:uiPriority w:val="99"/>
    <w:rPr>
      <w:rFonts w:ascii="Cambria" w:hAnsi="Cambria" w:eastAsia="宋体" w:cs="Times New Roman"/>
      <w:b/>
      <w:bCs/>
      <w:sz w:val="28"/>
      <w:szCs w:val="28"/>
    </w:rPr>
  </w:style>
  <w:style w:type="character" w:customStyle="1" w:styleId="33">
    <w:name w:val="Body Text Char"/>
    <w:basedOn w:val="23"/>
    <w:link w:val="7"/>
    <w:semiHidden/>
    <w:qFormat/>
    <w:locked/>
    <w:uiPriority w:val="99"/>
    <w:rPr>
      <w:rFonts w:ascii="Calibri" w:hAnsi="Calibri" w:eastAsia="方正仿宋_GBK" w:cs="Times New Roman"/>
      <w:sz w:val="24"/>
      <w:szCs w:val="24"/>
    </w:rPr>
  </w:style>
  <w:style w:type="character" w:customStyle="1" w:styleId="34">
    <w:name w:val="Body Text First Indent Char"/>
    <w:basedOn w:val="33"/>
    <w:link w:val="19"/>
    <w:semiHidden/>
    <w:qFormat/>
    <w:locked/>
    <w:uiPriority w:val="99"/>
  </w:style>
  <w:style w:type="character" w:customStyle="1" w:styleId="35">
    <w:name w:val="Plain Text Char"/>
    <w:basedOn w:val="23"/>
    <w:link w:val="8"/>
    <w:semiHidden/>
    <w:qFormat/>
    <w:locked/>
    <w:uiPriority w:val="99"/>
    <w:rPr>
      <w:rFonts w:ascii="宋体" w:hAnsi="Courier New" w:cs="Courier New"/>
      <w:sz w:val="21"/>
      <w:szCs w:val="21"/>
    </w:rPr>
  </w:style>
  <w:style w:type="character" w:customStyle="1" w:styleId="36">
    <w:name w:val="Footer Char"/>
    <w:basedOn w:val="23"/>
    <w:link w:val="13"/>
    <w:semiHidden/>
    <w:qFormat/>
    <w:locked/>
    <w:uiPriority w:val="99"/>
    <w:rPr>
      <w:rFonts w:ascii="Calibri" w:hAnsi="Calibri" w:eastAsia="方正仿宋_GBK" w:cs="Times New Roman"/>
      <w:sz w:val="18"/>
      <w:szCs w:val="18"/>
    </w:rPr>
  </w:style>
  <w:style w:type="character" w:customStyle="1" w:styleId="37">
    <w:name w:val="Header Char"/>
    <w:basedOn w:val="23"/>
    <w:link w:val="14"/>
    <w:semiHidden/>
    <w:qFormat/>
    <w:locked/>
    <w:uiPriority w:val="99"/>
    <w:rPr>
      <w:rFonts w:ascii="Calibri" w:hAnsi="Calibri" w:eastAsia="方正仿宋_GBK" w:cs="Times New Roman"/>
      <w:sz w:val="18"/>
      <w:szCs w:val="18"/>
    </w:rPr>
  </w:style>
  <w:style w:type="character" w:customStyle="1" w:styleId="38">
    <w:name w:val="Footnote Text Char"/>
    <w:basedOn w:val="23"/>
    <w:link w:val="16"/>
    <w:semiHidden/>
    <w:qFormat/>
    <w:locked/>
    <w:uiPriority w:val="99"/>
    <w:rPr>
      <w:rFonts w:ascii="Calibri" w:hAnsi="Calibri" w:eastAsia="方正仿宋_GBK" w:cs="Times New Roman"/>
      <w:sz w:val="18"/>
      <w:szCs w:val="18"/>
    </w:rPr>
  </w:style>
  <w:style w:type="paragraph" w:customStyle="1" w:styleId="39">
    <w:name w:val="正文2"/>
    <w:next w:val="1"/>
    <w:qFormat/>
    <w:uiPriority w:val="99"/>
    <w:pPr>
      <w:spacing w:line="480" w:lineRule="exact"/>
      <w:ind w:firstLine="200" w:firstLineChars="200"/>
    </w:pPr>
    <w:rPr>
      <w:rFonts w:ascii="Calibri" w:hAnsi="Calibri" w:eastAsia="宋体" w:cs="Times New Roman"/>
      <w:color w:val="000000"/>
      <w:spacing w:val="4"/>
      <w:kern w:val="2"/>
      <w:sz w:val="24"/>
      <w:szCs w:val="24"/>
      <w:lang w:val="en-US" w:eastAsia="zh-CN" w:bidi="ar-SA"/>
    </w:rPr>
  </w:style>
  <w:style w:type="paragraph" w:customStyle="1" w:styleId="40">
    <w:name w:val="Heading2"/>
    <w:basedOn w:val="1"/>
    <w:next w:val="1"/>
    <w:qFormat/>
    <w:uiPriority w:val="99"/>
    <w:pPr>
      <w:keepNext/>
      <w:keepLines/>
      <w:spacing w:before="260" w:after="260" w:line="416" w:lineRule="auto"/>
    </w:pPr>
    <w:rPr>
      <w:rFonts w:ascii="Arial" w:hAnsi="Arial" w:eastAsia="黑体"/>
      <w:b/>
      <w:bCs/>
      <w:szCs w:val="32"/>
    </w:rPr>
  </w:style>
  <w:style w:type="paragraph" w:customStyle="1" w:styleId="41">
    <w:name w:val="Normal Indent1"/>
    <w:basedOn w:val="1"/>
    <w:qFormat/>
    <w:uiPriority w:val="99"/>
    <w:pPr>
      <w:ind w:firstLine="420"/>
    </w:pPr>
  </w:style>
  <w:style w:type="paragraph" w:customStyle="1" w:styleId="42">
    <w:name w:val="Table Paragraph"/>
    <w:basedOn w:val="1"/>
    <w:qFormat/>
    <w:uiPriority w:val="99"/>
    <w:rPr>
      <w:rFonts w:ascii="宋体" w:hAnsi="宋体" w:eastAsia="宋体" w:cs="宋体"/>
      <w:lang w:val="zh-CN"/>
    </w:rPr>
  </w:style>
  <w:style w:type="paragraph" w:styleId="43">
    <w:name w:val="List Paragraph"/>
    <w:basedOn w:val="1"/>
    <w:qFormat/>
    <w:uiPriority w:val="99"/>
    <w:pPr>
      <w:spacing w:before="2"/>
      <w:ind w:left="160" w:right="517" w:firstLine="480"/>
    </w:pPr>
    <w:rPr>
      <w:rFonts w:ascii="宋体" w:hAnsi="宋体" w:eastAsia="宋体" w:cs="宋体"/>
      <w:lang w:val="zh-CN"/>
    </w:rPr>
  </w:style>
  <w:style w:type="character" w:customStyle="1" w:styleId="44">
    <w:name w:val="NormalCharacter"/>
    <w:qFormat/>
    <w:uiPriority w:val="99"/>
  </w:style>
  <w:style w:type="character" w:customStyle="1" w:styleId="45">
    <w:name w:val="Character Style 1"/>
    <w:qFormat/>
    <w:uiPriority w:val="99"/>
  </w:style>
  <w:style w:type="paragraph" w:customStyle="1" w:styleId="4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21"/>
    <w:basedOn w:val="23"/>
    <w:qFormat/>
    <w:uiPriority w:val="0"/>
    <w:rPr>
      <w:rFonts w:hint="eastAsia" w:ascii="宋体" w:hAnsi="宋体" w:eastAsia="宋体" w:cs="宋体"/>
      <w:color w:val="000000"/>
      <w:sz w:val="24"/>
      <w:szCs w:val="24"/>
      <w:u w:val="none"/>
    </w:rPr>
  </w:style>
  <w:style w:type="character" w:customStyle="1" w:styleId="48">
    <w:name w:val="font51"/>
    <w:basedOn w:val="23"/>
    <w:qFormat/>
    <w:uiPriority w:val="0"/>
    <w:rPr>
      <w:rFonts w:hint="default" w:ascii="Times New Roman" w:hAnsi="Times New Roman" w:cs="Times New Roman"/>
      <w:color w:val="000000"/>
      <w:sz w:val="24"/>
      <w:szCs w:val="24"/>
      <w:u w:val="none"/>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font41"/>
    <w:basedOn w:val="23"/>
    <w:qFormat/>
    <w:uiPriority w:val="0"/>
    <w:rPr>
      <w:rFonts w:hint="default" w:ascii="Times New Roman" w:hAnsi="Times New Roman" w:cs="Times New Roman"/>
      <w:color w:val="000000"/>
      <w:sz w:val="24"/>
      <w:szCs w:val="24"/>
      <w:u w:val="none"/>
    </w:rPr>
  </w:style>
  <w:style w:type="paragraph" w:customStyle="1" w:styleId="51">
    <w:name w:val="_Style 2"/>
    <w:basedOn w:val="1"/>
    <w:qFormat/>
    <w:uiPriority w:val="0"/>
    <w:pPr>
      <w:spacing w:line="240" w:lineRule="auto"/>
      <w:ind w:firstLine="0" w:firstLineChars="0"/>
    </w:pPr>
    <w:rPr>
      <w:rFonts w:ascii="Times New Roman" w:hAnsi="Times New Roman" w:eastAsia="宋体" w:cs="Times New Roman"/>
      <w:sz w:val="21"/>
      <w:szCs w:val="20"/>
    </w:rPr>
  </w:style>
  <w:style w:type="paragraph" w:customStyle="1" w:styleId="52">
    <w:name w:val="Char"/>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character" w:customStyle="1" w:styleId="53">
    <w:name w:val="font101"/>
    <w:qFormat/>
    <w:uiPriority w:val="0"/>
    <w:rPr>
      <w:rFonts w:hint="default" w:ascii="Times New Roman" w:hAnsi="Times New Roman" w:cs="Times New Roman" w:eastAsiaTheme="minorEastAsia"/>
      <w:color w:val="000000"/>
      <w:sz w:val="32"/>
      <w:szCs w:val="32"/>
      <w:u w:val="none"/>
    </w:rPr>
  </w:style>
  <w:style w:type="character" w:customStyle="1" w:styleId="54">
    <w:name w:val="font71"/>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2022-01-05T16:38:00Z</dcterms:created>
  <dc:creator>Administrator</dc:creator>
  <cp:lastModifiedBy>user</cp:lastModifiedBy>
  <cp:lastPrinted>2022-06-07T10:43:00Z</cp:lastPrinted>
  <dcterms:modified xsi:type="dcterms:W3CDTF">2024-07-18T10:28:04Z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SaveFontToCloudKey">
    <vt:lpwstr>0_btnclosed</vt:lpwstr>
  </property>
  <property fmtid="{D5CDD505-2E9C-101B-9397-08002B2CF9AE}" pid="4" name="ICV">
    <vt:lpwstr>8605814F88D54660B5ADE569C3C41E60</vt:lpwstr>
  </property>
  <property fmtid="{D5CDD505-2E9C-101B-9397-08002B2CF9AE}" pid="5" name="docranid">
    <vt:lpwstr>9AF0966689354065AA92DA44583866A2</vt:lpwstr>
  </property>
</Properties>
</file>