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附件1-8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关于易门工业园区管理委员会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2017年部门预算编制的说明</w:t>
      </w:r>
    </w:p>
    <w:p>
      <w:pPr>
        <w:pStyle w:val="184"/>
        <w:spacing w:before="0" w:line="600" w:lineRule="exact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 xml:space="preserve">    </w:t>
      </w:r>
    </w:p>
    <w:p>
      <w:pPr>
        <w:pStyle w:val="184"/>
        <w:spacing w:line="600" w:lineRule="exact"/>
        <w:ind w:firstLine="600"/>
        <w:rPr>
          <w:rFonts w:hint="eastAsia"/>
          <w:szCs w:val="30"/>
        </w:rPr>
      </w:pPr>
      <w:r>
        <w:rPr>
          <w:rFonts w:hint="eastAsia"/>
          <w:szCs w:val="30"/>
        </w:rPr>
        <w:t>按照预算管理的相关规定，目前部门预算的编制实行全口径预算管理，即收入和支出全部纳入预算管理，全部收入和支出都反映在预算中。</w:t>
      </w:r>
    </w:p>
    <w:p>
      <w:pPr>
        <w:spacing w:line="600" w:lineRule="exact"/>
        <w:ind w:firstLine="602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一、基本职能及主要工作</w:t>
      </w:r>
    </w:p>
    <w:p>
      <w:pPr>
        <w:ind w:firstLine="9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1、贯彻执行国家法律、法规和政策，执行省、市、县人民政府有关命令、决定，制定和实施园区有关管理规定。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2、依据省、市、县经济社会发展计划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以及城乡、土地利用、环境保护、林业保护利用等规划，编制园区经济社会发展计划、产业发展规划和城乡、土地利用、环境保护、林业保护利用等规划，经批准后组织实施。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3、负责园区工业投资项目的审批（含核准、备案）工作。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4、负责土地的征收、出让、开发、建设和土地收支核算工作。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5、负责园区的规划、财政、建设、安全、环保、统计和国有资产、园区的各类公共基础设施和市政及园林绿化等工作。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6、负责园区社会事业发展和社会事务管理工作。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7、负责园区经济运行监测和分析。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8、负责园区招商引资、人才引进和对外经济合作工作。</w:t>
      </w:r>
    </w:p>
    <w:p>
      <w:pPr>
        <w:ind w:firstLine="75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9、负责园区企事业组织的管理、协调和服务。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10、监督、检查、协调有关部门设在园区的派出机构或分支机构工作。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11、认真执行《中华人民共和国公司法》的有关规定，负责工业投资公司按公司章程依法从事经营活动，有效吸纳金融和社会资金参与园区建设。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12、完成省、市、县党委、政府交办的其他工作。</w:t>
      </w:r>
    </w:p>
    <w:p>
      <w:pPr>
        <w:spacing w:line="600" w:lineRule="exact"/>
        <w:ind w:firstLine="602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二、部门预算编制情况</w:t>
      </w:r>
    </w:p>
    <w:p>
      <w:pPr>
        <w:pStyle w:val="184"/>
        <w:spacing w:line="600" w:lineRule="exact"/>
        <w:ind w:firstLine="600"/>
        <w:rPr>
          <w:rFonts w:hint="eastAsia" w:ascii="黑体" w:hAnsi="黑体" w:eastAsia="黑体"/>
          <w:b/>
        </w:rPr>
      </w:pPr>
      <w:r>
        <w:rPr>
          <w:rFonts w:hint="eastAsia"/>
          <w:szCs w:val="30"/>
        </w:rPr>
        <w:t>易门工业区管理委员会</w:t>
      </w:r>
      <w:r>
        <w:rPr>
          <w:rFonts w:hint="eastAsia"/>
        </w:rPr>
        <w:t>2017年部门预算的编制，严格按照财政部门规定的指导思想、基本原则、编制方法、总体思路来编制。</w:t>
      </w:r>
    </w:p>
    <w:p>
      <w:pPr>
        <w:spacing w:line="600" w:lineRule="exact"/>
        <w:ind w:firstLine="602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三、部门基本情况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易门工业区管理委员会于2012年8月批准成立，为市委、市政府的派出机构，委托县委、县政府管理。机构规格为副县级，单位性质为行政单位，核定参公事业编制15名，其中副县级领导2名，正科级4名，副科级5名，其他4名。下设易门工业园区管理服务中心和安全生产监督管理站，单位性质为全额拨款的事业单位，机构规格为股所级，园区管理服务中心核定事业编制10名，安全生产监督管理站核定参公事业编制3人。园区管委会共有人员编制合计28人，车辆编制2辆。 </w:t>
      </w:r>
    </w:p>
    <w:p>
      <w:pPr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因园区管理服务中心和安监站未单独设立账套，纳入2017年部门预算编报的单位只有工业区管委会，属于财政全供给单位，2017年工业区管委会（含园区管理服务中心、安监站）年初实际人数21人，其中管委会11人，园区中心10人。按人员性质分：副县级1人，正科级4人，副科级5人（含事业聘用领导职务2人），行政工勤人员（高级工）2人，事业工勤人员1人（高级工），事业管理人员9人（含事业聘用领导职务2人），政府购买性岗位编制人数8人，实有人数8人，实有车辆2辆。</w:t>
      </w:r>
    </w:p>
    <w:p>
      <w:pPr>
        <w:spacing w:line="600" w:lineRule="exact"/>
        <w:ind w:firstLine="602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四、2017年部门预算收支情况</w:t>
      </w:r>
    </w:p>
    <w:p>
      <w:pPr>
        <w:spacing w:line="60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2017年易门工业园区管理委员会总收入328.6万元，其中：一般公共预算328.6万元，政府性基金收入0万元，国有资本经营收益0万元，事业收入0万元，事业单位经营收入0万元，其他收入0万元。</w:t>
      </w:r>
    </w:p>
    <w:p>
      <w:pPr>
        <w:spacing w:line="600" w:lineRule="exact"/>
        <w:ind w:firstLine="6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年部门财政拨款收入328.6万元，其中，本年收入328.6万元，上年结转收入0万元。本年收入中，一般公共预算财政拨款328.6万元（本级财力328.6万元，专项收入0万元，执法办案补助0万元，收费成本补偿0万元，财政专户管理的收入0万元，国有资源（资产）有偿使用收入0万元），政府性基金财政拨款0万元，国有资本经营收益财政拨款0万元。</w:t>
      </w:r>
    </w:p>
    <w:p>
      <w:pPr>
        <w:widowControl/>
        <w:spacing w:before="100" w:after="100" w:line="600" w:lineRule="exact"/>
        <w:ind w:firstLine="538"/>
        <w:jc w:val="left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</w:t>
      </w:r>
      <w:r>
        <w:rPr>
          <w:rFonts w:hint="eastAsia" w:ascii="仿宋_GB2312" w:hAnsi="宋体" w:eastAsia="仿宋_GB2312" w:cs="Arial"/>
          <w:sz w:val="30"/>
          <w:szCs w:val="30"/>
        </w:rPr>
        <w:t>年部门预算总支出</w:t>
      </w:r>
      <w:r>
        <w:rPr>
          <w:rFonts w:hint="eastAsia" w:ascii="仿宋_GB2312" w:eastAsia="仿宋_GB2312"/>
          <w:sz w:val="30"/>
          <w:szCs w:val="30"/>
        </w:rPr>
        <w:t>328.6万元，其中：</w:t>
      </w:r>
      <w:r>
        <w:rPr>
          <w:rFonts w:hint="eastAsia" w:ascii="仿宋_GB2312" w:hAnsi="宋体" w:eastAsia="仿宋_GB2312" w:cs="Arial"/>
          <w:sz w:val="30"/>
          <w:szCs w:val="30"/>
        </w:rPr>
        <w:t>基本支出</w:t>
      </w:r>
      <w:r>
        <w:rPr>
          <w:rFonts w:hint="eastAsia" w:ascii="仿宋_GB2312" w:eastAsia="仿宋_GB2312"/>
          <w:sz w:val="30"/>
          <w:szCs w:val="30"/>
        </w:rPr>
        <w:t>328.6</w:t>
      </w:r>
      <w:r>
        <w:rPr>
          <w:rFonts w:hint="eastAsia" w:ascii="仿宋_GB2312" w:hAnsi="宋体" w:eastAsia="仿宋_GB2312" w:cs="Arial"/>
          <w:sz w:val="30"/>
          <w:szCs w:val="30"/>
        </w:rPr>
        <w:t>万元，占总支出的</w:t>
      </w:r>
      <w:r>
        <w:rPr>
          <w:rFonts w:hint="eastAsia" w:ascii="仿宋_GB2312" w:eastAsia="仿宋_GB2312"/>
          <w:sz w:val="30"/>
          <w:szCs w:val="30"/>
        </w:rPr>
        <w:t>100</w:t>
      </w:r>
      <w:r>
        <w:rPr>
          <w:rFonts w:hint="eastAsia" w:ascii="仿宋_GB2312" w:hAnsi="宋体" w:eastAsia="仿宋_GB2312" w:cs="Arial"/>
          <w:sz w:val="30"/>
          <w:szCs w:val="30"/>
        </w:rPr>
        <w:t>％，项目支出</w:t>
      </w:r>
      <w:r>
        <w:rPr>
          <w:rFonts w:hint="eastAsia" w:ascii="仿宋_GB2312" w:eastAsia="仿宋_GB2312"/>
          <w:sz w:val="30"/>
          <w:szCs w:val="30"/>
        </w:rPr>
        <w:t>0</w:t>
      </w:r>
      <w:r>
        <w:rPr>
          <w:rFonts w:hint="eastAsia" w:ascii="仿宋_GB2312" w:hAnsi="宋体" w:eastAsia="仿宋_GB2312" w:cs="Arial"/>
          <w:sz w:val="30"/>
          <w:szCs w:val="30"/>
        </w:rPr>
        <w:t>万元，占总支出的</w:t>
      </w:r>
      <w:r>
        <w:rPr>
          <w:rFonts w:hint="eastAsia" w:ascii="仿宋_GB2312" w:eastAsia="仿宋_GB2312"/>
          <w:sz w:val="30"/>
          <w:szCs w:val="30"/>
        </w:rPr>
        <w:t>0</w:t>
      </w:r>
      <w:r>
        <w:rPr>
          <w:rFonts w:hint="eastAsia" w:ascii="仿宋_GB2312" w:hAnsi="宋体" w:eastAsia="仿宋_GB2312" w:cs="Arial"/>
          <w:sz w:val="30"/>
          <w:szCs w:val="30"/>
        </w:rPr>
        <w:t>％。按支出功能科目分类，支出分别列“</w:t>
      </w:r>
      <w:r>
        <w:rPr>
          <w:rFonts w:hint="eastAsia" w:ascii="仿宋_GB2312" w:eastAsia="仿宋_GB2312"/>
          <w:sz w:val="30"/>
          <w:szCs w:val="30"/>
        </w:rPr>
        <w:t>一般公共服务支出</w:t>
      </w:r>
      <w:r>
        <w:rPr>
          <w:rFonts w:hint="eastAsia" w:ascii="仿宋_GB2312" w:hAnsi="宋体" w:eastAsia="仿宋_GB2312" w:cs="Arial"/>
          <w:sz w:val="30"/>
          <w:szCs w:val="30"/>
        </w:rPr>
        <w:t>－</w:t>
      </w:r>
      <w:r>
        <w:rPr>
          <w:rFonts w:hint="eastAsia" w:ascii="仿宋_GB2312" w:eastAsia="仿宋_GB2312"/>
          <w:sz w:val="30"/>
          <w:szCs w:val="30"/>
        </w:rPr>
        <w:t>政府办公厅(室)及相关机构事务</w:t>
      </w:r>
      <w:r>
        <w:rPr>
          <w:rFonts w:hint="eastAsia" w:ascii="仿宋_GB2312" w:hAnsi="宋体" w:eastAsia="仿宋_GB2312" w:cs="Arial"/>
          <w:sz w:val="30"/>
          <w:szCs w:val="30"/>
        </w:rPr>
        <w:t>”支出，主要反映单位行政和机关运行方面的支出、“</w:t>
      </w:r>
      <w:r>
        <w:rPr>
          <w:rFonts w:hint="eastAsia" w:ascii="仿宋_GB2312" w:eastAsia="仿宋_GB2312"/>
          <w:sz w:val="30"/>
          <w:szCs w:val="30"/>
        </w:rPr>
        <w:t>社会保障和就业支出</w:t>
      </w:r>
      <w:r>
        <w:rPr>
          <w:rFonts w:hint="eastAsia" w:ascii="仿宋_GB2312" w:hAnsi="宋体" w:eastAsia="仿宋_GB2312" w:cs="Arial"/>
          <w:sz w:val="30"/>
          <w:szCs w:val="30"/>
        </w:rPr>
        <w:t>－</w:t>
      </w:r>
      <w:r>
        <w:rPr>
          <w:rFonts w:hint="eastAsia" w:ascii="仿宋_GB2312" w:eastAsia="仿宋_GB2312"/>
          <w:sz w:val="30"/>
          <w:szCs w:val="30"/>
        </w:rPr>
        <w:t>财政对其他社会保险基金的补助</w:t>
      </w:r>
      <w:r>
        <w:rPr>
          <w:rFonts w:hint="eastAsia" w:ascii="仿宋_GB2312" w:hAnsi="宋体" w:eastAsia="仿宋_GB2312" w:cs="Arial"/>
          <w:sz w:val="30"/>
          <w:szCs w:val="30"/>
        </w:rPr>
        <w:t>”支出，主要反映</w:t>
      </w:r>
      <w:r>
        <w:rPr>
          <w:rFonts w:hint="eastAsia" w:ascii="仿宋_GB2312" w:eastAsia="仿宋_GB2312"/>
          <w:sz w:val="30"/>
          <w:szCs w:val="30"/>
        </w:rPr>
        <w:t>为职工缴纳的养老保险、工伤保险、生育保险</w:t>
      </w:r>
      <w:r>
        <w:rPr>
          <w:rFonts w:hint="eastAsia" w:ascii="仿宋_GB2312" w:hAnsi="宋体" w:eastAsia="仿宋_GB2312" w:cs="Arial"/>
          <w:sz w:val="30"/>
          <w:szCs w:val="30"/>
        </w:rPr>
        <w:t>的支出、“</w:t>
      </w:r>
      <w:r>
        <w:rPr>
          <w:rFonts w:hint="eastAsia" w:ascii="仿宋_GB2312" w:eastAsia="仿宋_GB2312"/>
          <w:sz w:val="30"/>
          <w:szCs w:val="30"/>
        </w:rPr>
        <w:t>医疗卫生与计划生育支出</w:t>
      </w:r>
      <w:r>
        <w:rPr>
          <w:rFonts w:hint="eastAsia" w:ascii="仿宋_GB2312" w:hAnsi="宋体" w:eastAsia="仿宋_GB2312" w:cs="Arial"/>
          <w:sz w:val="30"/>
          <w:szCs w:val="30"/>
        </w:rPr>
        <w:t>－</w:t>
      </w:r>
      <w:r>
        <w:rPr>
          <w:rFonts w:hint="eastAsia" w:ascii="仿宋_GB2312" w:eastAsia="仿宋_GB2312"/>
          <w:sz w:val="30"/>
          <w:szCs w:val="30"/>
        </w:rPr>
        <w:t>行政事业单位医疗</w:t>
      </w:r>
      <w:r>
        <w:rPr>
          <w:rFonts w:hint="eastAsia" w:ascii="仿宋_GB2312" w:hAnsi="宋体" w:eastAsia="仿宋_GB2312" w:cs="Arial"/>
          <w:sz w:val="30"/>
          <w:szCs w:val="30"/>
        </w:rPr>
        <w:t>”支出，主要反映</w:t>
      </w:r>
      <w:r>
        <w:rPr>
          <w:rFonts w:hint="eastAsia" w:ascii="仿宋_GB2312" w:eastAsia="仿宋_GB2312"/>
          <w:sz w:val="30"/>
          <w:szCs w:val="30"/>
        </w:rPr>
        <w:t>为职缴纳的医疗保险</w:t>
      </w:r>
      <w:r>
        <w:rPr>
          <w:rFonts w:hint="eastAsia" w:ascii="仿宋_GB2312" w:hAnsi="宋体" w:eastAsia="仿宋_GB2312" w:cs="Arial"/>
          <w:sz w:val="30"/>
          <w:szCs w:val="30"/>
        </w:rPr>
        <w:t>支出、“</w:t>
      </w:r>
      <w:r>
        <w:rPr>
          <w:rFonts w:hint="eastAsia" w:ascii="仿宋_GB2312" w:eastAsia="仿宋_GB2312"/>
          <w:sz w:val="30"/>
          <w:szCs w:val="30"/>
        </w:rPr>
        <w:t>住房保障支出</w:t>
      </w:r>
      <w:r>
        <w:rPr>
          <w:rFonts w:hint="eastAsia" w:ascii="仿宋_GB2312" w:hAnsi="宋体" w:eastAsia="仿宋_GB2312" w:cs="Arial"/>
          <w:sz w:val="30"/>
          <w:szCs w:val="30"/>
        </w:rPr>
        <w:t>－</w:t>
      </w:r>
      <w:r>
        <w:rPr>
          <w:rFonts w:hint="eastAsia" w:ascii="仿宋_GB2312" w:eastAsia="仿宋_GB2312"/>
          <w:sz w:val="30"/>
          <w:szCs w:val="30"/>
        </w:rPr>
        <w:t>住房改革支出</w:t>
      </w:r>
      <w:r>
        <w:rPr>
          <w:rFonts w:hint="eastAsia" w:ascii="仿宋_GB2312" w:hAnsi="宋体" w:eastAsia="仿宋_GB2312" w:cs="Arial"/>
          <w:sz w:val="30"/>
          <w:szCs w:val="30"/>
        </w:rPr>
        <w:t>”支出，主要反映</w:t>
      </w:r>
      <w:r>
        <w:rPr>
          <w:rFonts w:hint="eastAsia" w:ascii="仿宋_GB2312" w:eastAsia="仿宋_GB2312"/>
          <w:sz w:val="30"/>
          <w:szCs w:val="30"/>
        </w:rPr>
        <w:t>职工的住房公积金和购房补贴</w:t>
      </w:r>
      <w:r>
        <w:rPr>
          <w:rFonts w:hint="eastAsia" w:ascii="仿宋_GB2312" w:hAnsi="宋体" w:eastAsia="仿宋_GB2312" w:cs="Arial"/>
          <w:sz w:val="30"/>
          <w:szCs w:val="30"/>
        </w:rPr>
        <w:t>。</w:t>
      </w:r>
    </w:p>
    <w:p>
      <w:pPr>
        <w:widowControl/>
        <w:numPr>
          <w:ilvl w:val="0"/>
          <w:numId w:val="1"/>
        </w:numPr>
        <w:spacing w:before="100" w:after="100" w:line="600" w:lineRule="exact"/>
        <w:jc w:val="left"/>
        <w:rPr>
          <w:rFonts w:hint="eastAsia" w:ascii="楷体_GB2312" w:hAnsi="宋体" w:eastAsia="楷体_GB2312" w:cs="Arial"/>
          <w:b/>
          <w:bCs/>
          <w:sz w:val="30"/>
          <w:szCs w:val="30"/>
        </w:rPr>
      </w:pPr>
      <w:r>
        <w:rPr>
          <w:rFonts w:hint="eastAsia" w:ascii="楷体_GB2312" w:hAnsi="宋体" w:eastAsia="楷体_GB2312" w:cs="Arial"/>
          <w:b/>
          <w:bCs/>
          <w:sz w:val="30"/>
          <w:szCs w:val="30"/>
        </w:rPr>
        <w:t>基本支出情况</w:t>
      </w: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</w:t>
      </w:r>
      <w:r>
        <w:rPr>
          <w:rFonts w:hint="eastAsia" w:ascii="仿宋_GB2312" w:hAnsi="宋体" w:eastAsia="仿宋_GB2312" w:cs="Arial"/>
          <w:sz w:val="30"/>
          <w:szCs w:val="30"/>
        </w:rPr>
        <w:t>年用于保障</w:t>
      </w:r>
      <w:r>
        <w:rPr>
          <w:rFonts w:hint="eastAsia" w:ascii="仿宋_GB2312" w:eastAsia="仿宋_GB2312"/>
          <w:sz w:val="30"/>
          <w:szCs w:val="30"/>
        </w:rPr>
        <w:t>易门工业园区管理委员会</w:t>
      </w:r>
      <w:r>
        <w:rPr>
          <w:rFonts w:hint="eastAsia" w:ascii="仿宋_GB2312" w:hAnsi="宋体" w:eastAsia="仿宋_GB2312" w:cs="Arial"/>
          <w:sz w:val="30"/>
          <w:szCs w:val="30"/>
        </w:rPr>
        <w:t>机关、下属事业单位等机构正常运转的日常支出</w:t>
      </w:r>
      <w:r>
        <w:rPr>
          <w:rFonts w:hint="eastAsia" w:ascii="仿宋_GB2312" w:eastAsia="仿宋_GB2312"/>
          <w:sz w:val="30"/>
          <w:szCs w:val="30"/>
        </w:rPr>
        <w:t>328.6</w:t>
      </w:r>
      <w:r>
        <w:rPr>
          <w:rFonts w:hint="eastAsia" w:ascii="仿宋_GB2312" w:hAnsi="宋体" w:eastAsia="仿宋_GB2312" w:cs="Arial"/>
          <w:sz w:val="30"/>
          <w:szCs w:val="30"/>
        </w:rPr>
        <w:t>万元，人均15.65万元，比上年同期增加133.95万元，增长68.8%，增长的原因是今年比上年增加2人，今年增资较大。基本支出主要包括基本工资，津贴补贴等工资福利支出270.65万元，占基本支出的</w:t>
      </w:r>
      <w:r>
        <w:rPr>
          <w:rFonts w:hint="eastAsia" w:ascii="仿宋_GB2312" w:eastAsia="仿宋_GB2312"/>
          <w:sz w:val="30"/>
          <w:szCs w:val="30"/>
        </w:rPr>
        <w:t>82</w:t>
      </w:r>
      <w:r>
        <w:rPr>
          <w:rFonts w:hint="eastAsia" w:ascii="仿宋_GB2312" w:hAnsi="宋体" w:eastAsia="仿宋_GB2312" w:cs="Arial"/>
          <w:sz w:val="30"/>
          <w:szCs w:val="30"/>
        </w:rPr>
        <w:t>％；办公经费、印刷费、水电费、汽燃费、办公设备购置等日常公用经费（商品和服务支出）33.57万元，占基本支出的</w:t>
      </w:r>
      <w:r>
        <w:rPr>
          <w:rFonts w:hint="eastAsia" w:ascii="仿宋_GB2312" w:eastAsia="仿宋_GB2312"/>
          <w:sz w:val="30"/>
          <w:szCs w:val="30"/>
        </w:rPr>
        <w:t>10</w:t>
      </w:r>
      <w:r>
        <w:rPr>
          <w:rFonts w:hint="eastAsia" w:ascii="仿宋_GB2312" w:hAnsi="宋体" w:eastAsia="仿宋_GB2312" w:cs="Arial"/>
          <w:sz w:val="30"/>
          <w:szCs w:val="30"/>
        </w:rPr>
        <w:t>％；住房公积金、购房补贴（对个人和家庭的补助）支出24.38万元，占基本支出的</w:t>
      </w:r>
      <w:r>
        <w:rPr>
          <w:rFonts w:hint="eastAsia" w:ascii="仿宋_GB2312" w:eastAsia="仿宋_GB2312"/>
          <w:sz w:val="30"/>
          <w:szCs w:val="30"/>
        </w:rPr>
        <w:t>8</w:t>
      </w:r>
      <w:r>
        <w:rPr>
          <w:rFonts w:hint="eastAsia" w:ascii="仿宋_GB2312" w:hAnsi="宋体" w:eastAsia="仿宋_GB2312" w:cs="Arial"/>
          <w:sz w:val="30"/>
          <w:szCs w:val="30"/>
        </w:rPr>
        <w:t>％。</w:t>
      </w:r>
    </w:p>
    <w:p>
      <w:pPr>
        <w:widowControl/>
        <w:numPr>
          <w:ilvl w:val="0"/>
          <w:numId w:val="1"/>
        </w:numPr>
        <w:spacing w:before="100" w:after="100" w:line="600" w:lineRule="exact"/>
        <w:jc w:val="left"/>
        <w:rPr>
          <w:rFonts w:hint="eastAsia" w:ascii="楷体_GB2312" w:hAnsi="宋体" w:eastAsia="楷体_GB2312" w:cs="Arial"/>
          <w:b/>
          <w:sz w:val="30"/>
          <w:szCs w:val="30"/>
        </w:rPr>
      </w:pPr>
      <w:r>
        <w:rPr>
          <w:rFonts w:hint="eastAsia" w:ascii="楷体_GB2312" w:hAnsi="宋体" w:eastAsia="楷体_GB2312" w:cs="Arial"/>
          <w:b/>
          <w:sz w:val="30"/>
          <w:szCs w:val="30"/>
        </w:rPr>
        <w:t>项目支出情况</w:t>
      </w: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2017</w:t>
      </w:r>
      <w:r>
        <w:rPr>
          <w:rFonts w:hint="eastAsia" w:ascii="仿宋_GB2312" w:hAnsi="宋体" w:eastAsia="仿宋_GB2312" w:cs="Arial"/>
          <w:sz w:val="30"/>
          <w:szCs w:val="30"/>
        </w:rPr>
        <w:t>年用于保障</w:t>
      </w:r>
      <w:r>
        <w:rPr>
          <w:rFonts w:hint="eastAsia" w:ascii="仿宋_GB2312" w:eastAsia="仿宋_GB2312"/>
          <w:sz w:val="30"/>
          <w:szCs w:val="30"/>
        </w:rPr>
        <w:t>易门工业园区管理委员会</w:t>
      </w:r>
      <w:r>
        <w:rPr>
          <w:rFonts w:hint="eastAsia" w:ascii="仿宋_GB2312" w:hAnsi="宋体" w:eastAsia="仿宋_GB2312" w:cs="Arial"/>
          <w:sz w:val="30"/>
          <w:szCs w:val="30"/>
        </w:rPr>
        <w:t>机构、下属事业单位等机构为完成特定的行政工作任务或事业发展目标，用于专项业务工作的经费支出</w:t>
      </w:r>
      <w:r>
        <w:rPr>
          <w:rFonts w:hint="eastAsia" w:ascii="仿宋_GB2312" w:eastAsia="仿宋_GB2312"/>
          <w:sz w:val="30"/>
          <w:szCs w:val="30"/>
        </w:rPr>
        <w:t>0</w:t>
      </w:r>
      <w:r>
        <w:rPr>
          <w:rFonts w:hint="eastAsia" w:ascii="仿宋_GB2312" w:hAnsi="宋体" w:eastAsia="仿宋_GB2312" w:cs="Arial"/>
          <w:sz w:val="30"/>
          <w:szCs w:val="30"/>
        </w:rPr>
        <w:t>万元，与上年相同。</w:t>
      </w:r>
    </w:p>
    <w:p>
      <w:pPr>
        <w:spacing w:line="600" w:lineRule="exact"/>
        <w:ind w:firstLine="602"/>
        <w:rPr>
          <w:rFonts w:hint="eastAsia"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五、2017年“三公经费”预算情况</w:t>
      </w: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易门工业园区管理委员会</w:t>
      </w:r>
      <w:r>
        <w:rPr>
          <w:rFonts w:hint="eastAsia" w:ascii="仿宋_GB2312" w:hAnsi="宋体" w:eastAsia="仿宋_GB2312" w:cs="Arial"/>
          <w:sz w:val="30"/>
          <w:szCs w:val="30"/>
        </w:rPr>
        <w:t>2017年预算“三公经费”46300元，比上年45700元增加600元，增长1.3%，原因是我单位2016年调出1人，调入3人，累计增加2人，所以增加公务接待费600元。</w:t>
      </w: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 xml:space="preserve">                        易门工业园区管理委员会</w:t>
      </w:r>
    </w:p>
    <w:p>
      <w:pPr>
        <w:widowControl/>
        <w:spacing w:before="100" w:after="100" w:line="600" w:lineRule="exact"/>
        <w:ind w:firstLine="594"/>
        <w:jc w:val="left"/>
        <w:rPr>
          <w:rFonts w:hint="eastAsia" w:ascii="仿宋_GB2312" w:hAnsi="宋体" w:eastAsia="仿宋_GB2312" w:cs="Arial"/>
          <w:sz w:val="30"/>
          <w:szCs w:val="30"/>
        </w:rPr>
      </w:pPr>
      <w:r>
        <w:rPr>
          <w:rFonts w:hint="eastAsia" w:ascii="仿宋_GB2312" w:hAnsi="宋体" w:eastAsia="仿宋_GB2312" w:cs="Arial"/>
          <w:sz w:val="30"/>
          <w:szCs w:val="30"/>
        </w:rPr>
        <w:t xml:space="preserve">                           2017年2月15日</w:t>
      </w:r>
    </w:p>
    <w:sectPr>
      <w:headerReference r:id="rId3" w:type="default"/>
      <w:footerReference r:id="rId4" w:type="default"/>
      <w:footerReference r:id="rId5" w:type="even"/>
      <w:pgSz w:w="11906" w:h="16838" w:orient="landscape"/>
      <w:pgMar w:top="2098" w:right="1418" w:bottom="1588" w:left="1644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君黑-35简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Arial">
    <w:altName w:val="Times New Roman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黑体">
    <w:altName w:val="方正黑体_GBK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方正楷体_GBK"/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君黑-35简">
    <w:panose1 w:val="020B0604020202020204"/>
    <w:charset w:val="86"/>
    <w:family w:val="auto"/>
    <w:pitch w:val="default"/>
    <w:sig w:usb0="A00002BF" w:usb1="0ACF7CFA" w:usb2="00000016" w:usb3="00000000" w:csb0="2004000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  <w:framePr w:wrap="around" w:vAnchor="text" w:hAnchor="margin" w:xAlign="center" w:y="1"/>
      <w:rPr>
        <w:rStyle w:val="187"/>
      </w:rPr>
    </w:pPr>
    <w:r>
      <w:rPr>
        <w:rStyle w:val="187"/>
      </w:rPr>
      <w:fldChar w:fldCharType="begin"/>
    </w:r>
    <w:r>
      <w:rPr>
        <w:rStyle w:val="187"/>
      </w:rPr>
      <w:instrText xml:space="preserve">PAGE  </w:instrText>
    </w:r>
    <w:r>
      <w:rPr>
        <w:rStyle w:val="187"/>
      </w:rPr>
      <w:fldChar w:fldCharType="separate"/>
    </w:r>
    <w:r>
      <w:rPr>
        <w:rStyle w:val="187"/>
      </w:rPr>
      <w:t>1</w:t>
    </w:r>
    <w:r>
      <w:rPr>
        <w:rStyle w:val="187"/>
      </w:rPr>
      <w:fldChar w:fldCharType="end"/>
    </w:r>
  </w:p>
  <w:p>
    <w:pPr>
      <w:pStyle w:val="18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6"/>
      <w:framePr w:wrap="around" w:vAnchor="text" w:hAnchor="margin" w:xAlign="center" w:y="1"/>
      <w:rPr>
        <w:rStyle w:val="187"/>
      </w:rPr>
    </w:pPr>
    <w:r>
      <w:rPr>
        <w:rStyle w:val="187"/>
      </w:rPr>
      <w:fldChar w:fldCharType="begin"/>
    </w:r>
    <w:r>
      <w:rPr>
        <w:rStyle w:val="187"/>
      </w:rPr>
      <w:instrText xml:space="preserve">PAGE  </w:instrText>
    </w:r>
    <w:r>
      <w:rPr>
        <w:rStyle w:val="187"/>
      </w:rPr>
      <w:fldChar w:fldCharType="end"/>
    </w:r>
  </w:p>
  <w:p>
    <w:pPr>
      <w:pStyle w:val="18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8"/>
      <w:pBdr>
        <w:bottom w:val="none" w:color="000000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BE5431"/>
    <w:multiLevelType w:val="multilevel"/>
    <w:tmpl w:val="66BE5431"/>
    <w:lvl w:ilvl="0" w:tentative="0">
      <w:start w:val="1"/>
      <w:numFmt w:val="japaneseCounting"/>
      <w:suff w:val="space"/>
      <w:lvlText w:val="（%1）"/>
      <w:lvlJc w:val="left"/>
      <w:pPr>
        <w:tabs>
          <w:tab w:val="left" w:pos="1618"/>
        </w:tabs>
        <w:ind w:left="1618" w:hanging="1080"/>
      </w:pPr>
    </w:lvl>
    <w:lvl w:ilvl="1" w:tentative="0">
      <w:start w:val="1"/>
      <w:numFmt w:val="lowerLetter"/>
      <w:suff w:val="space"/>
      <w:lvlText w:val="%2)"/>
      <w:lvlJc w:val="left"/>
      <w:pPr>
        <w:tabs>
          <w:tab w:val="left" w:pos="1378"/>
        </w:tabs>
        <w:ind w:left="1378" w:hanging="420"/>
      </w:pPr>
    </w:lvl>
    <w:lvl w:ilvl="2" w:tentative="0">
      <w:start w:val="1"/>
      <w:numFmt w:val="lowerRoman"/>
      <w:suff w:val="space"/>
      <w:lvlText w:val="%3."/>
      <w:lvlJc w:val="right"/>
      <w:pPr>
        <w:tabs>
          <w:tab w:val="left" w:pos="1798"/>
        </w:tabs>
        <w:ind w:left="1798" w:hanging="420"/>
      </w:pPr>
    </w:lvl>
    <w:lvl w:ilvl="3" w:tentative="0">
      <w:start w:val="1"/>
      <w:numFmt w:val="decimal"/>
      <w:suff w:val="space"/>
      <w:lvlText w:val="%4."/>
      <w:lvlJc w:val="left"/>
      <w:pPr>
        <w:tabs>
          <w:tab w:val="left" w:pos="2218"/>
        </w:tabs>
        <w:ind w:left="2218" w:hanging="420"/>
      </w:pPr>
    </w:lvl>
    <w:lvl w:ilvl="4" w:tentative="0">
      <w:start w:val="1"/>
      <w:numFmt w:val="lowerLetter"/>
      <w:suff w:val="space"/>
      <w:lvlText w:val="%5)"/>
      <w:lvlJc w:val="left"/>
      <w:pPr>
        <w:tabs>
          <w:tab w:val="left" w:pos="2638"/>
        </w:tabs>
        <w:ind w:left="2638" w:hanging="420"/>
      </w:pPr>
    </w:lvl>
    <w:lvl w:ilvl="5" w:tentative="0">
      <w:start w:val="1"/>
      <w:numFmt w:val="lowerRoman"/>
      <w:suff w:val="space"/>
      <w:lvlText w:val="%6."/>
      <w:lvlJc w:val="right"/>
      <w:pPr>
        <w:tabs>
          <w:tab w:val="left" w:pos="3058"/>
        </w:tabs>
        <w:ind w:left="3058" w:hanging="420"/>
      </w:pPr>
    </w:lvl>
    <w:lvl w:ilvl="6" w:tentative="0">
      <w:start w:val="1"/>
      <w:numFmt w:val="decimal"/>
      <w:suff w:val="space"/>
      <w:lvlText w:val="%7."/>
      <w:lvlJc w:val="left"/>
      <w:pPr>
        <w:tabs>
          <w:tab w:val="left" w:pos="3478"/>
        </w:tabs>
        <w:ind w:left="3478" w:hanging="420"/>
      </w:pPr>
    </w:lvl>
    <w:lvl w:ilvl="7" w:tentative="0">
      <w:start w:val="1"/>
      <w:numFmt w:val="lowerLetter"/>
      <w:suff w:val="space"/>
      <w:lvlText w:val="%8)"/>
      <w:lvlJc w:val="left"/>
      <w:pPr>
        <w:tabs>
          <w:tab w:val="left" w:pos="3898"/>
        </w:tabs>
        <w:ind w:left="3898" w:hanging="420"/>
      </w:pPr>
    </w:lvl>
    <w:lvl w:ilvl="8" w:tentative="0">
      <w:start w:val="1"/>
      <w:numFmt w:val="lowerRoman"/>
      <w:suff w:val="space"/>
      <w:lvlText w:val="%9."/>
      <w:lvlJc w:val="right"/>
      <w:pPr>
        <w:tabs>
          <w:tab w:val="left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doNotExpandShiftReturn/>
    <w:useFELayout/>
    <w:splitPgBreakAndParaMark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ED771A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87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styleId="11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13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3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1"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styleId="31">
    <w:name w:val="endnote reference"/>
    <w:semiHidden/>
    <w:unhideWhenUsed/>
    <w:qFormat/>
    <w:uiPriority w:val="99"/>
    <w:rPr>
      <w:vertAlign w:val="superscript"/>
    </w:rPr>
  </w:style>
  <w:style w:type="character" w:styleId="32">
    <w:name w:val="Hyperlink"/>
    <w:unhideWhenUsed/>
    <w:qFormat/>
    <w:uiPriority w:val="99"/>
    <w:rPr>
      <w:color w:val="0000FF" w:themeColor="hyperlink"/>
      <w:u w:val="single"/>
    </w:rPr>
  </w:style>
  <w:style w:type="character" w:styleId="33">
    <w:name w:val="footnote reference"/>
    <w:unhideWhenUsed/>
    <w:qFormat/>
    <w:uiPriority w:val="99"/>
    <w:rPr>
      <w:vertAlign w:val="superscript"/>
    </w:rPr>
  </w:style>
  <w:style w:type="character" w:customStyle="1" w:styleId="34">
    <w:name w:val="Heading 1 Char"/>
    <w:link w:val="2"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link w:val="3"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link w:val="4"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link w:val="5"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link w:val="6"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link w:val="7"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link w:val="8"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link w:val="9"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link w:val="10"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Times New Roman" w:hAnsi="Times New Roman" w:eastAsia="宋体" w:cs="Times New Roman"/>
    </w:rPr>
  </w:style>
  <w:style w:type="character" w:customStyle="1" w:styleId="45">
    <w:name w:val="Title Char"/>
    <w:link w:val="27"/>
    <w:qFormat/>
    <w:uiPriority w:val="10"/>
    <w:rPr>
      <w:sz w:val="48"/>
      <w:szCs w:val="48"/>
    </w:rPr>
  </w:style>
  <w:style w:type="character" w:customStyle="1" w:styleId="46">
    <w:name w:val="Subtitle Char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qFormat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link w:val="18"/>
    <w:qFormat/>
    <w:uiPriority w:val="99"/>
  </w:style>
  <w:style w:type="character" w:customStyle="1" w:styleId="52">
    <w:name w:val="Footer Char"/>
    <w:link w:val="17"/>
    <w:qFormat/>
    <w:uiPriority w:val="99"/>
  </w:style>
  <w:style w:type="character" w:customStyle="1" w:styleId="53">
    <w:name w:val="Caption Char"/>
    <w:link w:val="17"/>
    <w:qFormat/>
    <w:uiPriority w:val="99"/>
  </w:style>
  <w:style w:type="table" w:customStyle="1" w:styleId="54">
    <w:name w:val="Table Grid Light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5">
    <w:name w:val="Plain Table 1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6">
    <w:name w:val="Plain Table 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blPr/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7">
    <w:name w:val="Plain Table 3"/>
    <w:qFormat/>
    <w:uiPriority w:val="99"/>
    <w:pPr>
      <w:spacing w:after="0" w:line="240" w:lineRule="auto"/>
    </w:pPr>
    <w:tblPr/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  <w:tblPr/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8">
    <w:name w:val="Plain Table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59">
    <w:name w:val="Plain Table 5"/>
    <w:qFormat/>
    <w:uiPriority w:val="99"/>
    <w:pPr>
      <w:spacing w:after="0" w:line="240" w:lineRule="auto"/>
    </w:pPr>
    <w:tblPr/>
    <w:tblStylePr w:type="firstRow">
      <w:rPr>
        <w:i/>
        <w:color w:val="404040"/>
      </w:rPr>
      <w:tblPr/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0">
    <w:name w:val="Grid Table 1 Light"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1">
    <w:name w:val="Grid Table 1 Light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2">
    <w:name w:val="Grid Table 1 Light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3">
    <w:name w:val="Grid Table 1 Light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4">
    <w:name w:val="Grid Table 1 Light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5">
    <w:name w:val="Grid Table 1 Light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6">
    <w:name w:val="Grid Table 1 Light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blPr/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7">
    <w:name w:val="Grid Table 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8">
    <w:name w:val="Grid Table 2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69">
    <w:name w:val="Grid Table 2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0">
    <w:name w:val="Grid Table 2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1">
    <w:name w:val="Grid Table 2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2">
    <w:name w:val="Grid Table 2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3">
    <w:name w:val="Grid Table 2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4">
    <w:name w:val="Grid Table 3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5">
    <w:name w:val="Grid Table 3 - Accent 1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6">
    <w:name w:val="Grid Table 3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7">
    <w:name w:val="Grid Table 3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8">
    <w:name w:val="Grid Table 3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79">
    <w:name w:val="Grid Table 3 - Accent 5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0">
    <w:name w:val="Grid Table 3 - Accent 6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1">
    <w:name w:val="Grid Table 4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2">
    <w:name w:val="Grid Table 4 - Accent 1"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3">
    <w:name w:val="Grid Table 4 - Accent 2"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4">
    <w:name w:val="Grid Table 4 - Accent 3"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5">
    <w:name w:val="Grid Table 4 - Accent 4"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6">
    <w:name w:val="Grid Table 4 - Accent 5"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7">
    <w:name w:val="Grid Table 4 - Accent 6"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8">
    <w:name w:val="Grid Table 5 Dark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98989" w:themeColor="text1" w:themeTint="75" w:fill="898989" w:themeFill="text1" w:themeFillTint="75"/>
      </w:tcPr>
    </w:tblStylePr>
    <w:tblStylePr w:type="band2Vert">
      <w:tblPr/>
    </w:tblStylePr>
    <w:tblStylePr w:type="band1Horz">
      <w:tblPr/>
      <w:tcPr>
        <w:shd w:val="clear" w:color="898989" w:themeColor="text1" w:themeTint="75" w:fill="898989" w:themeFill="tex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89">
    <w:name w:val="Grid Table 5 Dark- Accent 1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5E0" w:themeColor="accent1" w:themeTint="75" w:fill="AEC5E0" w:themeFill="accent1" w:themeFillTint="75"/>
      </w:tcPr>
    </w:tblStylePr>
    <w:tblStylePr w:type="band2Vert">
      <w:tblPr/>
    </w:tblStylePr>
    <w:tblStylePr w:type="band1Horz">
      <w:tblPr/>
      <w:tcPr>
        <w:shd w:val="clear" w:color="AEC5E0" w:themeColor="accent1" w:themeTint="75" w:fill="AEC5E0" w:themeFill="accent1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0">
    <w:name w:val="Grid Table 5 Dark - Accent 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2Vert">
      <w:tblPr/>
    </w:tblStylePr>
    <w:tblStylePr w:type="band1Horz">
      <w:tblPr/>
      <w:tcPr>
        <w:shd w:val="clear" w:color="E2AEAD" w:themeColor="accent2" w:themeTint="75" w:fill="E2AEAD" w:themeFill="accent2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1">
    <w:name w:val="Grid Table 5 Dark - Accent 3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1DFB2" w:themeColor="accent3" w:themeTint="75" w:fill="D1DFB2" w:themeFill="accent3" w:themeFillTint="75"/>
      </w:tcPr>
    </w:tblStylePr>
    <w:tblStylePr w:type="band2Vert">
      <w:tblPr/>
    </w:tblStylePr>
    <w:tblStylePr w:type="band1Horz">
      <w:tblPr/>
      <w:tcPr>
        <w:shd w:val="clear" w:color="D1DFB2" w:themeColor="accent3" w:themeTint="75" w:fill="D1DFB2" w:themeFill="accent3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2">
    <w:name w:val="Grid Table 5 Dark- Accent 4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2Vert">
      <w:tblPr/>
    </w:tblStylePr>
    <w:tblStylePr w:type="band1Horz">
      <w:tblPr/>
      <w:tcPr>
        <w:shd w:val="clear" w:color="C4B7D4" w:themeColor="accent4" w:themeTint="75" w:fill="C4B7D4" w:themeFill="accent4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3">
    <w:name w:val="Grid Table 5 Dark - Accent 5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2Vert">
      <w:tblPr/>
    </w:tblStylePr>
    <w:tblStylePr w:type="band1Horz">
      <w:tblPr/>
      <w:tcPr>
        <w:shd w:val="clear" w:color="ACD8E4" w:themeColor="accent5" w:themeTint="75" w:fill="ACD8E4" w:themeFill="accent5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4">
    <w:name w:val="Grid Table 5 Dark - Accent 6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2Vert">
      <w:tblPr/>
    </w:tblStylePr>
    <w:tblStylePr w:type="band1Horz">
      <w:tblPr/>
      <w:tcPr>
        <w:shd w:val="clear" w:color="FBCEAA" w:themeColor="accent6" w:themeTint="75" w:fill="FBCEAA" w:themeFill="accent6" w:themeFillTint="75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5">
    <w:name w:val="Grid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7E7E7E" w:themeColor="text1" w:themeShade="95" w:themeTint="80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7E7E7E" w:themeColor="text1" w:themeShade="95" w:themeTint="80"/>
      </w:rPr>
      <w:tblPr/>
    </w:tblStylePr>
    <w:tblStylePr w:type="firstCol">
      <w:rPr>
        <w:b/>
        <w:color w:val="7E7E7E" w:themeColor="text1" w:themeShade="95" w:themeTint="80"/>
      </w:rPr>
      <w:tblPr/>
    </w:tblStylePr>
    <w:tblStylePr w:type="lastCol">
      <w:rPr>
        <w:b/>
        <w:color w:val="7E7E7E" w:themeColor="text1" w:themeShade="95" w:themeTint="80"/>
      </w:rPr>
      <w:tblPr/>
    </w:tblStylePr>
    <w:tblStylePr w:type="band1Vert">
      <w:tblPr/>
      <w:tcPr>
        <w:shd w:val="clear" w:color="CACACA" w:themeColor="text1" w:themeTint="34" w:fill="CACACA" w:themeFill="text1" w:themeFillTint="34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6">
    <w:name w:val="Grid Table 6 Colorful - Accent 1"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6BFDD" w:themeColor="accent1" w:themeShade="95" w:themeTint="80"/>
      </w:rPr>
      <w:tblPr/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Shade="95" w:themeTint="80"/>
      </w:rPr>
      <w:tblPr/>
    </w:tblStylePr>
    <w:tblStylePr w:type="firstCol">
      <w:rPr>
        <w:b/>
        <w:color w:val="A6BFDD" w:themeColor="accent1" w:themeShade="95" w:themeTint="80"/>
      </w:rPr>
      <w:tblPr/>
    </w:tblStylePr>
    <w:tblStylePr w:type="lastCol">
      <w:rPr>
        <w:b/>
        <w:color w:val="A6BFDD" w:themeColor="accent1" w:themeShade="95" w:themeTint="80"/>
      </w:rPr>
      <w:tblPr/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7">
    <w:name w:val="Grid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99795" w:themeColor="accent2" w:themeShade="95" w:themeTint="97"/>
      </w:rPr>
      <w:tblPr/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8">
    <w:name w:val="Grid Table 6 Colorful - Accent 3"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Shade="95" w:themeTint="FE"/>
      </w:rPr>
      <w:tblPr/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Shade="95" w:themeTint="FE"/>
      </w:rPr>
      <w:tblPr/>
    </w:tblStylePr>
    <w:tblStylePr w:type="firstCol">
      <w:rPr>
        <w:b/>
        <w:color w:val="9BBB59" w:themeColor="accent3" w:themeShade="95" w:themeTint="FE"/>
      </w:rPr>
      <w:tblPr/>
    </w:tblStylePr>
    <w:tblStylePr w:type="lastCol">
      <w:rPr>
        <w:b/>
        <w:color w:val="9BBB59" w:themeColor="accent3" w:themeShade="95" w:themeTint="FE"/>
      </w:rPr>
      <w:tblPr/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99">
    <w:name w:val="Grid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Shade="95" w:themeTint="9A"/>
      </w:rPr>
      <w:tblPr/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0">
    <w:name w:val="Grid Table 6 Colorful - Accent 5"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1">
    <w:name w:val="Grid Table 6 Colorful - Accent 6"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  <w:tblPr/>
    </w:tblStylePr>
    <w:tblStylePr w:type="firstCol">
      <w:rPr>
        <w:b/>
        <w:color w:val="266779" w:themeColor="accent5" w:themeShade="95"/>
      </w:rPr>
      <w:tblPr/>
    </w:tblStylePr>
    <w:tblStylePr w:type="lastCol">
      <w:rPr>
        <w:b/>
        <w:color w:val="266779" w:themeColor="accent5" w:themeShade="95"/>
      </w:rPr>
      <w:tblPr/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2">
    <w:name w:val="Grid Table 7 Colorful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1F1F1" w:themeColor="text1" w:themeTint="0D" w:fill="F1F1F1" w:themeFill="text1" w:themeFillTint="0D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3">
    <w:name w:val="Grid Table 7 Colorful - Accent 1"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Shade="95" w:themeTint="80"/>
        <w:sz w:val="22"/>
      </w:rPr>
      <w:tblPr/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Shade="95" w:themeTint="80"/>
        <w:sz w:val="22"/>
      </w:rPr>
      <w:tblPr/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BE5F1" w:themeColor="accent1" w:themeTint="34" w:fill="DBE5F1" w:themeFill="accent1" w:themeFillTint="34"/>
      </w:tcPr>
    </w:tblStylePr>
    <w:tblStylePr w:type="band2Vert">
      <w:tblPr/>
    </w:tblStylePr>
    <w:tblStylePr w:type="band1Horz">
      <w:rPr>
        <w:rFonts w:ascii="Arial" w:hAnsi="Arial"/>
        <w:color w:val="A6BFDD" w:themeColor="accent1" w:themeShade="95" w:themeTint="80"/>
        <w:sz w:val="22"/>
      </w:rPr>
      <w:tblPr/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6BFDD" w:themeColor="accen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4">
    <w:name w:val="Grid Table 7 Colorful - Accent 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5">
    <w:name w:val="Grid Table 7 Colorful - Accent 3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Shade="95" w:themeTint="FE"/>
        <w:sz w:val="22"/>
      </w:rPr>
      <w:tblPr/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Shade="95" w:themeTint="FE"/>
        <w:sz w:val="22"/>
      </w:rPr>
      <w:tblPr/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AF1DD" w:themeColor="accent3" w:themeTint="34" w:fill="EAF1DD" w:themeFill="accent3" w:themeFillTint="34"/>
      </w:tcPr>
    </w:tblStylePr>
    <w:tblStylePr w:type="band2Vert">
      <w:tblPr/>
    </w:tblStylePr>
    <w:tblStylePr w:type="band1Horz">
      <w:rPr>
        <w:rFonts w:ascii="Arial" w:hAnsi="Arial"/>
        <w:color w:val="9BBB59" w:themeColor="accent3" w:themeShade="95" w:themeTint="FE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Shade="95" w:themeTint="FE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6">
    <w:name w:val="Grid Table 7 Colorful - Accent 4"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7">
    <w:name w:val="Grid Table 7 Colorful - Accent 5"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2Vert">
      <w:tblPr/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8">
    <w:name w:val="Grid Table 7 Colorful - Accent 6"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DE9D9" w:themeColor="accent6" w:themeTint="34" w:fill="FDE9D9" w:themeFill="accent6" w:themeFillTint="34"/>
      </w:tcPr>
    </w:tblStylePr>
    <w:tblStylePr w:type="band2Vert">
      <w:tblPr/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09">
    <w:name w:val="List Table 1 Light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0">
    <w:name w:val="List Table 1 Light - Accent 1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1">
    <w:name w:val="List Table 1 Light - Accent 2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2">
    <w:name w:val="List Table 1 Light - Accent 3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3">
    <w:name w:val="List Table 1 Light - Accent 4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4">
    <w:name w:val="List Table 1 Light - Accent 5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5">
    <w:name w:val="List Table 1 Light - Accent 6"/>
    <w:qFormat/>
    <w:uiPriority w:val="99"/>
    <w:pPr>
      <w:spacing w:after="0" w:line="240" w:lineRule="auto"/>
    </w:pPr>
    <w:tblPr/>
    <w:tblStylePr w:type="firstRow">
      <w:rPr>
        <w:b/>
        <w:color w:val="404040"/>
      </w:rPr>
      <w:tblPr/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6">
    <w:name w:val="List Table 2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7">
    <w:name w:val="List Table 2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8">
    <w:name w:val="List Table 2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19">
    <w:name w:val="List Table 2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0">
    <w:name w:val="List Table 2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1">
    <w:name w:val="List Table 2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2">
    <w:name w:val="List Table 2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  <w:tblPr/>
    </w:tblStylePr>
    <w:tblStylePr w:type="lastCol">
      <w:rPr>
        <w:rFonts w:ascii="Arial" w:hAnsi="Arial"/>
        <w:b/>
        <w:color w:val="404040"/>
        <w:sz w:val="22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3">
    <w:name w:val="List Table 3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4">
    <w:name w:val="List Table 3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5">
    <w:name w:val="List Table 3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6">
    <w:name w:val="List Table 3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7">
    <w:name w:val="List Table 3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8">
    <w:name w:val="List Table 3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29">
    <w:name w:val="List Table 3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0">
    <w:name w:val="List Table 4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1">
    <w:name w:val="List Table 4 - Accent 1"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2">
    <w:name w:val="List Table 4 - Accent 2"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3">
    <w:name w:val="List Table 4 - Accent 3"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4">
    <w:name w:val="List Table 4 - Accent 4"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5">
    <w:name w:val="List Table 4 - Accent 5"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6">
    <w:name w:val="List Table 4 - Accent 6"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</w:tblStylePr>
    <w:tblStylePr w:type="firstCol">
      <w:rPr>
        <w:b/>
        <w:color w:val="404040"/>
      </w:rPr>
      <w:tblPr/>
    </w:tblStylePr>
    <w:tblStylePr w:type="lastCol">
      <w:rPr>
        <w:b/>
        <w:color w:val="404040"/>
      </w:rPr>
      <w:tblPr/>
    </w:tblStylePr>
    <w:tblStylePr w:type="band1Vert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7">
    <w:name w:val="List Table 5 Dark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8">
    <w:name w:val="List Table 5 Dark - Accent 1"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39">
    <w:name w:val="List Table 5 Dark - Accent 2"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0">
    <w:name w:val="List Table 5 Dark - Accent 3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1">
    <w:name w:val="List Table 5 Dark - Accent 4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2">
    <w:name w:val="List Table 5 Dark - Accent 5"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3">
    <w:name w:val="List Table 5 Dark - Accent 6"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  <w:tblPr/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blPr/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4">
    <w:name w:val="List Table 6 Colorful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</w:rPr>
      <w:tblPr/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</w:rPr>
      <w:tblPr/>
    </w:tblStylePr>
    <w:tblStylePr w:type="lastCol">
      <w:rPr>
        <w:b/>
        <w:color w:val="000000" w:themeColor="text1"/>
      </w:rPr>
      <w:tblPr/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5">
    <w:name w:val="List Table 6 Colorful - Accent 1"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5"/>
      </w:rPr>
      <w:tblPr/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5"/>
      </w:rPr>
      <w:tblPr/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5"/>
      </w:rPr>
      <w:tblPr/>
    </w:tblStylePr>
    <w:tblStylePr w:type="lastCol">
      <w:rPr>
        <w:b/>
        <w:color w:val="2A4B71" w:themeColor="accent1" w:themeShade="95"/>
      </w:rPr>
      <w:tblPr/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6">
    <w:name w:val="List Table 6 Colorful - Accent 2"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99795" w:themeColor="accent2" w:themeShade="95" w:themeTint="97"/>
      </w:rPr>
      <w:tblPr/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99795" w:themeColor="accent2" w:themeShade="95" w:themeTint="97"/>
      </w:rPr>
      <w:tblPr/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99795" w:themeColor="accent2" w:themeShade="95" w:themeTint="97"/>
      </w:rPr>
      <w:tblPr/>
    </w:tblStylePr>
    <w:tblStylePr w:type="lastCol">
      <w:rPr>
        <w:b/>
        <w:color w:val="D99795" w:themeColor="accent2" w:themeShade="95" w:themeTint="97"/>
      </w:rPr>
      <w:tblPr/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7">
    <w:name w:val="List Table 6 Colorful - Accent 3"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C" w:themeColor="accent3" w:themeShade="95" w:themeTint="98"/>
      </w:rPr>
      <w:tblPr/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C" w:themeColor="accent3" w:themeShade="95" w:themeTint="98"/>
      </w:rPr>
      <w:tblPr/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C" w:themeColor="accent3" w:themeShade="95" w:themeTint="98"/>
      </w:rPr>
      <w:tblPr/>
    </w:tblStylePr>
    <w:tblStylePr w:type="lastCol">
      <w:rPr>
        <w:b/>
        <w:color w:val="C3D69C" w:themeColor="accent3" w:themeShade="95" w:themeTint="98"/>
      </w:rPr>
      <w:tblPr/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8">
    <w:name w:val="List Table 6 Colorful - Accent 4"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2A1C6" w:themeColor="accent4" w:themeShade="95" w:themeTint="9A"/>
      </w:rPr>
      <w:tblPr/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Shade="95" w:themeTint="9A"/>
      </w:rPr>
      <w:tblPr/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Shade="95" w:themeTint="9A"/>
      </w:rPr>
      <w:tblPr/>
    </w:tblStylePr>
    <w:tblStylePr w:type="lastCol">
      <w:rPr>
        <w:b/>
        <w:color w:val="B2A1C6" w:themeColor="accent4" w:themeShade="95" w:themeTint="9A"/>
      </w:rPr>
      <w:tblPr/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49">
    <w:name w:val="List Table 6 Colorful - Accent 5"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2CCDC" w:themeColor="accent5" w:themeShade="95" w:themeTint="9A"/>
      </w:rPr>
      <w:tblPr/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Shade="95" w:themeTint="9A"/>
      </w:rPr>
      <w:tblPr/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Shade="95" w:themeTint="9A"/>
      </w:rPr>
      <w:tblPr/>
    </w:tblStylePr>
    <w:tblStylePr w:type="lastCol">
      <w:rPr>
        <w:b/>
        <w:color w:val="92CCDC" w:themeColor="accent5" w:themeShade="95" w:themeTint="9A"/>
      </w:rPr>
      <w:tblPr/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0">
    <w:name w:val="List Table 6 Colorful - Accent 6"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Shade="95" w:themeTint="98"/>
      </w:rPr>
      <w:tblPr/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Shade="95" w:themeTint="98"/>
      </w:rPr>
      <w:tblPr/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Shade="95" w:themeTint="98"/>
      </w:rPr>
      <w:tblPr/>
    </w:tblStylePr>
    <w:tblStylePr w:type="lastCol">
      <w:rPr>
        <w:b/>
        <w:color w:val="FAC090" w:themeColor="accent6" w:themeShade="95" w:themeTint="98"/>
      </w:rPr>
      <w:tblPr/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1">
    <w:name w:val="List Table 7 Colorful"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E7E7E" w:themeColor="text1" w:themeShade="95" w:themeTint="80"/>
        <w:sz w:val="22"/>
      </w:rPr>
      <w:tblPr/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EBEBE" w:themeColor="text1" w:themeTint="40" w:fill="BEBEBE" w:themeFill="text1" w:themeFillTint="40"/>
      </w:tcPr>
    </w:tblStylePr>
    <w:tblStylePr w:type="band2Vert">
      <w:tblPr/>
    </w:tblStylePr>
    <w:tblStylePr w:type="band1Horz">
      <w:rPr>
        <w:rFonts w:ascii="Arial" w:hAnsi="Arial"/>
        <w:color w:val="7E7E7E" w:themeColor="text1" w:themeShade="95" w:themeTint="80"/>
        <w:sz w:val="22"/>
      </w:rPr>
      <w:tblPr/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7E7E7E" w:themeColor="text1" w:themeShade="95" w:themeTint="80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2">
    <w:name w:val="List Table 7 Colorful - Accent 1"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2Vert">
      <w:tblPr/>
    </w:tblStyle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3">
    <w:name w:val="List Table 7 Colorful - Accent 2"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795" w:themeColor="accent2" w:themeShade="95" w:themeTint="97"/>
        <w:sz w:val="22"/>
      </w:rPr>
      <w:tblPr/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FD3D2" w:themeColor="accent2" w:themeTint="40" w:fill="EFD3D2" w:themeFill="accent2" w:themeFillTint="40"/>
      </w:tcPr>
    </w:tblStylePr>
    <w:tblStylePr w:type="band2Vert">
      <w:tblPr/>
    </w:tblStylePr>
    <w:tblStylePr w:type="band1Horz">
      <w:rPr>
        <w:rFonts w:ascii="Arial" w:hAnsi="Arial"/>
        <w:color w:val="D99795" w:themeColor="accent2" w:themeShade="95" w:themeTint="97"/>
        <w:sz w:val="22"/>
      </w:rPr>
      <w:tblPr/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99795" w:themeColor="accent2" w:themeShade="95" w:themeTint="97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4">
    <w:name w:val="List Table 7 Colorful - Accent 3"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C" w:themeColor="accent3" w:themeShade="95" w:themeTint="98"/>
        <w:sz w:val="22"/>
      </w:rPr>
      <w:tblPr/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5EDD5" w:themeColor="accent3" w:themeTint="40" w:fill="E5EDD5" w:themeFill="accent3" w:themeFillTint="40"/>
      </w:tcPr>
    </w:tblStylePr>
    <w:tblStylePr w:type="band2Vert">
      <w:tblPr/>
    </w:tblStylePr>
    <w:tblStylePr w:type="band1Horz">
      <w:rPr>
        <w:rFonts w:ascii="Arial" w:hAnsi="Arial"/>
        <w:color w:val="C3D69C" w:themeColor="accent3" w:themeShade="95" w:themeTint="98"/>
        <w:sz w:val="22"/>
      </w:rPr>
      <w:tblPr/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C" w:themeColor="accent3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5">
    <w:name w:val="List Table 7 Colorful - Accent 4"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Shade="95" w:themeTint="9A"/>
        <w:sz w:val="22"/>
      </w:rPr>
      <w:tblPr/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2Vert">
      <w:tblPr/>
    </w:tblStylePr>
    <w:tblStylePr w:type="band1Horz">
      <w:rPr>
        <w:rFonts w:ascii="Arial" w:hAnsi="Arial"/>
        <w:color w:val="B2A1C6" w:themeColor="accent4" w:themeShade="95" w:themeTint="9A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6">
    <w:name w:val="List Table 7 Colorful - Accent 5"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Shade="95" w:themeTint="9A"/>
        <w:sz w:val="22"/>
      </w:rPr>
      <w:tblPr/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2Vert">
      <w:tblPr/>
    </w:tblStylePr>
    <w:tblStylePr w:type="band1Horz">
      <w:rPr>
        <w:rFonts w:ascii="Arial" w:hAnsi="Arial"/>
        <w:color w:val="92CCDC" w:themeColor="accent5" w:themeShade="95" w:themeTint="9A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Shade="95" w:themeTint="9A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7">
    <w:name w:val="List Table 7 Colorful - Accent 6"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Shade="95" w:themeTint="98"/>
        <w:sz w:val="22"/>
      </w:rPr>
      <w:tblPr/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CE4D0" w:themeColor="accent6" w:themeTint="40" w:fill="FCE4D0" w:themeFill="accent6" w:themeFillTint="40"/>
      </w:tcPr>
    </w:tblStylePr>
    <w:tblStylePr w:type="band2Vert">
      <w:tblPr/>
    </w:tblStylePr>
    <w:tblStylePr w:type="band1Horz">
      <w:rPr>
        <w:rFonts w:ascii="Arial" w:hAnsi="Arial"/>
        <w:color w:val="FAC090" w:themeColor="accent6" w:themeShade="95" w:themeTint="98"/>
        <w:sz w:val="22"/>
      </w:rPr>
      <w:tblPr/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Shade="95" w:themeTint="98"/>
        <w:sz w:val="22"/>
      </w:rPr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8">
    <w:name w:val="Lined - Accent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59">
    <w:name w:val="Lined - Accent 1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0">
    <w:name w:val="Lined - Accent 2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1">
    <w:name w:val="Lined - Accent 3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2">
    <w:name w:val="Lined - Accent 4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3">
    <w:name w:val="Lined - Accent 5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4">
    <w:name w:val="Lined - Accent 6"/>
    <w:qFormat/>
    <w:uiPriority w:val="99"/>
    <w:pPr>
      <w:spacing w:after="0" w:line="240" w:lineRule="auto"/>
    </w:pPr>
    <w:rPr>
      <w:color w:val="404040"/>
    </w:rPr>
    <w:tblPr/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5">
    <w:name w:val="Bordered &amp; Lined - Accent"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1F1F1" w:themeColor="text1" w:themeTint="0D" w:fill="F1F1F1" w:themeFill="text1" w:themeFillTint="0D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6">
    <w:name w:val="Bordered &amp; Lined - Accent 1"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7">
    <w:name w:val="Bordered &amp; Lined - Accent 2"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8">
    <w:name w:val="Bordered &amp; Lined - Accent 3"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AF1DD" w:themeColor="accent3" w:themeTint="34" w:fill="EAF1DD" w:themeFill="accent3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69">
    <w:name w:val="Bordered &amp; Lined - Accent 4"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0">
    <w:name w:val="Bordered &amp; Lined - Accent 5"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1">
    <w:name w:val="Bordered &amp; Lined - Accent 6"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  <w:tblPr/>
    </w:tblStylePr>
    <w:tblStylePr w:type="band2Vert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</w:tblStylePr>
    <w:tblStylePr w:type="band2Horz">
      <w:rPr>
        <w:rFonts w:ascii="Arial" w:hAnsi="Arial"/>
        <w:color w:val="404040"/>
        <w:sz w:val="22"/>
      </w:rPr>
      <w:tblPr/>
      <w:tcPr>
        <w:shd w:val="clear" w:color="FDE9D9" w:themeColor="accent6" w:themeTint="34" w:fill="FDE9D9" w:themeFill="accent6" w:themeFillTint="34"/>
      </w:tcPr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2">
    <w:name w:val="Bordered"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7E7E7E" w:themeColor="text1" w:themeTint="80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3">
    <w:name w:val="Bordered - Accent 1"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4F81BD" w:themeColor="accent1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4">
    <w:name w:val="Bordered - Accent 2"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D99795" w:themeColor="accent2" w:themeTint="97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5">
    <w:name w:val="Bordered - Accent 3"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C3D69C" w:themeColor="accent3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6">
    <w:name w:val="Bordered - Accent 4"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B2A1C6" w:themeColor="accent4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7">
    <w:name w:val="Bordered - Accent 5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92CCDC" w:themeColor="accent5" w:themeTint="9A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table" w:customStyle="1" w:styleId="178">
    <w:name w:val="Bordered - Accent 6"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  <w:tblPr/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color="FAC090" w:themeColor="accent6" w:themeTint="98" w:sz="12" w:space="0"/>
        </w:tcBorders>
      </w:tcPr>
    </w:tblStylePr>
    <w:tblStylePr w:type="band1Vert">
      <w:tblPr/>
    </w:tblStylePr>
    <w:tblStylePr w:type="band2Vert">
      <w:tblPr/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character" w:customStyle="1" w:styleId="179">
    <w:name w:val="Footnote Text Char"/>
    <w:link w:val="22"/>
    <w:qFormat/>
    <w:uiPriority w:val="99"/>
    <w:rPr>
      <w:sz w:val="18"/>
    </w:rPr>
  </w:style>
  <w:style w:type="character" w:customStyle="1" w:styleId="180">
    <w:name w:val="Endnote Text Char"/>
    <w:link w:val="16"/>
    <w:qFormat/>
    <w:uiPriority w:val="99"/>
    <w:rPr>
      <w:sz w:val="20"/>
    </w:rPr>
  </w:style>
  <w:style w:type="paragraph" w:customStyle="1" w:styleId="181">
    <w:name w:val="TOC Heading"/>
    <w:unhideWhenUsed/>
    <w:qFormat/>
    <w:uiPriority w:val="39"/>
    <w:rPr>
      <w:rFonts w:hint="default" w:ascii="Times New Roman" w:hAnsi="Times New Roman" w:eastAsia="宋体" w:cs="Times New Roman"/>
    </w:rPr>
  </w:style>
  <w:style w:type="character" w:customStyle="1" w:styleId="182">
    <w:name w:val="默认段落字体1"/>
    <w:link w:val="1"/>
    <w:semiHidden/>
    <w:qFormat/>
    <w:uiPriority w:val="0"/>
  </w:style>
  <w:style w:type="table" w:customStyle="1" w:styleId="183">
    <w:name w:val="普通表格1"/>
    <w:semiHidden/>
    <w:qFormat/>
    <w:uiPriority w:val="0"/>
    <w:tblPr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  <w:style w:type="paragraph" w:customStyle="1" w:styleId="184">
    <w:name w:val="正文文本1"/>
    <w:basedOn w:val="1"/>
    <w:qFormat/>
    <w:uiPriority w:val="0"/>
    <w:pPr>
      <w:spacing w:before="93"/>
    </w:pPr>
    <w:rPr>
      <w:rFonts w:ascii="仿宋_GB2312" w:eastAsia="仿宋_GB2312"/>
      <w:sz w:val="30"/>
    </w:rPr>
  </w:style>
  <w:style w:type="paragraph" w:customStyle="1" w:styleId="185">
    <w:name w:val="批注框文本1"/>
    <w:basedOn w:val="1"/>
    <w:semiHidden/>
    <w:qFormat/>
    <w:uiPriority w:val="0"/>
    <w:rPr>
      <w:sz w:val="18"/>
      <w:szCs w:val="18"/>
    </w:rPr>
  </w:style>
  <w:style w:type="paragraph" w:customStyle="1" w:styleId="186">
    <w:name w:val="页脚1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187">
    <w:name w:val="页码1"/>
    <w:basedOn w:val="182"/>
    <w:link w:val="1"/>
    <w:qFormat/>
    <w:uiPriority w:val="0"/>
  </w:style>
  <w:style w:type="paragraph" w:customStyle="1" w:styleId="188">
    <w:name w:val="页眉1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微软中国</Company>
  <TotalTime>0</TotalTime>
  <ScaleCrop>false</ScaleCrop>
  <LinksUpToDate>false</LinksUpToDate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2013-05-09T17:41:00Z</dcterms:created>
  <dc:creator>赵树子</dc:creator>
  <cp:lastModifiedBy>user</cp:lastModifiedBy>
  <dcterms:modified xsi:type="dcterms:W3CDTF">2024-07-23T16:09:02Z</dcterms:modified>
  <dc:title>四川省财政厅2011年部门预算编制说明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