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9"/>
        <w:pBdr/>
        <w:spacing w:line="240" w:lineRule="atLeast"/>
        <w:ind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特困人员办事指南</w: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受理范围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firstLine="8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本服务事项适用于玉溪市易门县</w:t>
      </w:r>
      <w:r>
        <w:rPr>
          <w:rFonts w:hint="eastAsia"/>
          <w:sz w:val="28"/>
          <w:szCs w:val="28"/>
          <w:lang w:eastAsia="zh-CN"/>
        </w:rPr>
        <w:t xml:space="preserve">小街乡</w:t>
      </w:r>
      <w:r>
        <w:rPr>
          <w:rFonts w:hint="eastAsia"/>
          <w:sz w:val="28"/>
          <w:szCs w:val="28"/>
        </w:rPr>
        <w:t xml:space="preserve">区域内特困人员供养证审查办理。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办事条件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widowControl w:val="true"/>
        <w:pBdr/>
        <w:shd w:val="clear" w:color="auto" w:fill="ffffff"/>
        <w:spacing w:line="240" w:lineRule="atLeast"/>
        <w:ind/>
        <w:jc w:val="left"/>
        <w:rPr>
          <w:rFonts w:hint="eastAsia" w:ascii="Arial" w:hAnsi="Arial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30"/>
          <w:szCs w:val="30"/>
        </w:rPr>
        <w:t xml:space="preserve"> </w:t>
      </w:r>
      <w:r>
        <w:rPr>
          <w:rFonts w:ascii="Arial" w:hAnsi="Arial" w:cs="Arial"/>
          <w:color w:val="000000"/>
          <w:sz w:val="28"/>
          <w:szCs w:val="28"/>
        </w:rPr>
        <w:t xml:space="preserve">根据《社会救助暂行办法》（国务院令第649号）、《国务院关于进一步健全特困人员救助供养制度的意见》（国发〔2016〕14号）及国家相关规定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，可以申请人员供养的自然人。</w:t>
      </w:r>
      <w:r>
        <w:rPr>
          <w:rFonts w:hint="eastAsia" w:ascii="Arial" w:hAnsi="Arial" w:cs="Arial"/>
          <w:color w:val="000000"/>
          <w:sz w:val="28"/>
          <w:szCs w:val="28"/>
        </w:rPr>
      </w:r>
      <w:r>
        <w:rPr>
          <w:rFonts w:hint="eastAsia" w:ascii="Arial" w:hAnsi="Arial" w:cs="Arial"/>
          <w:color w:val="000000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受理地点和办事窗口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受理地点：玉溪市易门县</w:t>
      </w:r>
      <w:r>
        <w:rPr>
          <w:rFonts w:hint="eastAsia"/>
          <w:sz w:val="28"/>
          <w:szCs w:val="28"/>
          <w:lang w:eastAsia="zh-CN"/>
        </w:rPr>
        <w:t xml:space="preserve">小街乡社会保障服务中心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办事窗口：</w:t>
      </w:r>
      <w:r>
        <w:rPr>
          <w:rFonts w:hint="eastAsia"/>
          <w:sz w:val="28"/>
          <w:szCs w:val="28"/>
          <w:lang w:eastAsia="zh-CN"/>
        </w:rPr>
        <w:t xml:space="preserve">小街乡社会保障服务中心民政窗口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办公时间：周一至周五（除法定节假日）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98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8:30-12:00 ，14:00-18:00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申请材料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1、有效身份证复印件；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2、户口册复印件；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hanging="420" w:left="5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3、书面申请（包括</w:t>
      </w:r>
      <w:r>
        <w:rPr>
          <w:rFonts w:ascii="Arial" w:hAnsi="Arial" w:cs="Arial"/>
          <w:color w:val="000000"/>
          <w:sz w:val="30"/>
          <w:szCs w:val="30"/>
        </w:rPr>
        <w:t xml:space="preserve">劳动能力、生活来源、财产状况以及赡养、抚养、扶养情况</w:t>
      </w:r>
      <w:r>
        <w:rPr>
          <w:rFonts w:hint="eastAsia" w:ascii="Arial" w:hAnsi="Arial" w:cs="Arial"/>
          <w:color w:val="000000"/>
          <w:sz w:val="30"/>
          <w:szCs w:val="30"/>
        </w:rPr>
        <w:t xml:space="preserve">等</w:t>
      </w:r>
      <w:r>
        <w:rPr>
          <w:rFonts w:hint="eastAsia"/>
          <w:sz w:val="28"/>
          <w:szCs w:val="28"/>
        </w:rPr>
        <w:t xml:space="preserve">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140"/>
        <w:rPr>
          <w:rFonts w:hint="eastAsia" w:ascii="Arial" w:hAnsi="Arial" w:cs="Arial"/>
          <w:color w:val="000000"/>
          <w:sz w:val="30"/>
          <w:szCs w:val="30"/>
        </w:rPr>
      </w:pPr>
      <w:r>
        <w:rPr>
          <w:rFonts w:hint="eastAsia"/>
          <w:sz w:val="28"/>
          <w:szCs w:val="28"/>
        </w:rPr>
        <w:t xml:space="preserve">4、</w:t>
      </w:r>
      <w:r>
        <w:rPr>
          <w:rFonts w:ascii="Arial" w:hAnsi="Arial" w:cs="Arial"/>
          <w:color w:val="000000"/>
          <w:sz w:val="30"/>
          <w:szCs w:val="30"/>
        </w:rPr>
        <w:t xml:space="preserve">完整的承诺书</w:t>
      </w:r>
      <w:r>
        <w:rPr>
          <w:rFonts w:hint="eastAsia" w:ascii="Arial" w:hAnsi="Arial" w:cs="Arial"/>
          <w:color w:val="000000"/>
          <w:sz w:val="30"/>
          <w:szCs w:val="30"/>
        </w:rPr>
        <w:t xml:space="preserve">；</w:t>
      </w:r>
      <w:r>
        <w:rPr>
          <w:rFonts w:hint="eastAsia" w:ascii="Arial" w:hAnsi="Arial" w:cs="Arial"/>
          <w:color w:val="000000"/>
          <w:sz w:val="30"/>
          <w:szCs w:val="30"/>
        </w:rPr>
      </w:r>
      <w:r>
        <w:rPr>
          <w:rFonts w:hint="eastAsia" w:ascii="Arial" w:hAnsi="Arial" w:cs="Arial"/>
          <w:color w:val="000000"/>
          <w:sz w:val="30"/>
          <w:szCs w:val="30"/>
        </w:rPr>
      </w:r>
    </w:p>
    <w:p>
      <w:pPr>
        <w:pStyle w:val="619"/>
        <w:pBdr/>
        <w:spacing w:line="240" w:lineRule="atLeast"/>
        <w:ind w:firstLine="150"/>
        <w:rPr>
          <w:rFonts w:hint="eastAsia"/>
          <w:b/>
          <w:sz w:val="32"/>
          <w:szCs w:val="32"/>
        </w:rPr>
      </w:pPr>
      <w:r>
        <w:rPr>
          <w:rFonts w:hint="eastAsia" w:ascii="Arial" w:hAnsi="Arial" w:cs="Arial"/>
          <w:color w:val="000000"/>
          <w:sz w:val="30"/>
          <w:szCs w:val="30"/>
        </w:rPr>
        <w:t xml:space="preserve">5、</w:t>
      </w:r>
      <w:r>
        <w:rPr>
          <w:rFonts w:ascii="Arial" w:hAnsi="Arial" w:cs="Arial"/>
          <w:color w:val="000000"/>
          <w:sz w:val="30"/>
          <w:szCs w:val="30"/>
        </w:rPr>
        <w:t xml:space="preserve">残疾人还应当提供第二代《中华人民共和国残疾证》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办事时限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法定时限：15个工作日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承诺时限：急办件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本事项不收费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办事结果和送达方式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办事结果：特困人员救助供养证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送达方式：直接领取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领取地址：</w:t>
      </w:r>
      <w:r>
        <w:rPr>
          <w:rFonts w:hint="eastAsia"/>
          <w:sz w:val="28"/>
          <w:szCs w:val="28"/>
          <w:lang w:eastAsia="zh-CN"/>
        </w:rPr>
        <w:t xml:space="preserve">小街乡为民服务大厅一楼民政窗口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咨询及监督渠道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咨询电话：0877-</w:t>
      </w:r>
      <w:r>
        <w:rPr>
          <w:rFonts w:hint="eastAsia"/>
          <w:sz w:val="28"/>
          <w:szCs w:val="28"/>
          <w:lang w:val="en-US" w:eastAsia="zh-CN"/>
        </w:rPr>
        <w:t xml:space="preserve">4611099</w:t>
      </w:r>
      <w:r>
        <w:rPr>
          <w:rFonts w:hint="eastAsia"/>
          <w:sz w:val="28"/>
          <w:szCs w:val="28"/>
          <w:lang w:val="en-US" w:eastAsia="zh-CN"/>
        </w:rPr>
      </w:r>
      <w:r>
        <w:rPr>
          <w:rFonts w:hint="eastAsia"/>
          <w:sz w:val="28"/>
          <w:szCs w:val="28"/>
          <w:lang w:val="en-US" w:eastAsia="zh-CN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监督电话：0877-</w:t>
      </w:r>
      <w:r>
        <w:rPr>
          <w:rFonts w:hint="eastAsia"/>
          <w:sz w:val="28"/>
          <w:szCs w:val="28"/>
          <w:lang w:val="en-US" w:eastAsia="zh-CN"/>
        </w:rPr>
        <w:t xml:space="preserve">4611017</w:t>
      </w:r>
      <w:r>
        <w:rPr>
          <w:rFonts w:hint="eastAsia"/>
          <w:sz w:val="28"/>
          <w:szCs w:val="28"/>
          <w:lang w:val="en-US"/>
        </w:rPr>
      </w:r>
      <w:r>
        <w:rPr>
          <w:rFonts w:hint="eastAsia"/>
          <w:sz w:val="28"/>
          <w:szCs w:val="28"/>
          <w:lang w:val="en-US"/>
        </w:rPr>
      </w:r>
    </w:p>
    <w:p>
      <w:pPr>
        <w:pStyle w:val="619"/>
        <w:pBdr/>
        <w:spacing w:line="240" w:lineRule="atLeast"/>
        <w:ind w:hanging="2240" w:left="29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咨询及投诉地址：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</w:t>
      </w:r>
      <w:r>
        <w:rPr>
          <w:rFonts w:hint="eastAsia"/>
          <w:sz w:val="28"/>
          <w:szCs w:val="28"/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table" w:styleId="6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 w:default="1">
    <w:name w:val="Normal"/>
    <w:next w:val="619"/>
    <w:link w:val="619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20">
    <w:name w:val="默认段落字体"/>
    <w:next w:val="620"/>
    <w:link w:val="619"/>
    <w:semiHidden/>
    <w:pPr>
      <w:pBdr/>
      <w:spacing/>
      <w:ind/>
    </w:p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numbering" w:styleId="79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</dc:title>
  <dc:creator>X</dc:creator>
  <cp:lastModifiedBy>匿名</cp:lastModifiedBy>
  <cp:revision>2</cp:revision>
  <dcterms:created xsi:type="dcterms:W3CDTF">2017-11-20T02:45:00Z</dcterms:created>
  <dcterms:modified xsi:type="dcterms:W3CDTF">2024-11-22T07:45:16Z</dcterms:modified>
</cp:coreProperties>
</file>