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6802B">
      <w:pPr>
        <w:bidi w:val="0"/>
        <w:jc w:val="center"/>
        <w:rPr>
          <w:rFonts w:hint="eastAsia" w:asciiTheme="minorEastAsia" w:hAnsiTheme="minorEastAsia" w:eastAsiaTheme="minorEastAsia" w:cstheme="minorEastAsia"/>
          <w:color w:val="auto"/>
          <w:sz w:val="44"/>
          <w:szCs w:val="44"/>
          <w:lang w:val="en-US" w:eastAsia="zh-CN"/>
        </w:rPr>
      </w:pPr>
    </w:p>
    <w:p w14:paraId="6CA1B508">
      <w:pPr>
        <w:pStyle w:val="2"/>
        <w:rPr>
          <w:rFonts w:hint="eastAsia"/>
          <w:lang w:val="en-US" w:eastAsia="zh-CN"/>
        </w:rPr>
      </w:pPr>
    </w:p>
    <w:p w14:paraId="6351CE9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ajorEastAsia" w:hAnsiTheme="majorEastAsia" w:eastAsiaTheme="majorEastAsia" w:cstheme="majorEastAsia"/>
          <w:b/>
          <w:bCs/>
          <w:i w:val="0"/>
          <w:caps w:val="0"/>
          <w:color w:val="auto"/>
          <w:spacing w:val="0"/>
          <w:sz w:val="44"/>
          <w:szCs w:val="44"/>
          <w:shd w:val="clear" w:fill="FFFFFF"/>
          <w:lang w:val="en-US" w:eastAsia="zh-CN"/>
        </w:rPr>
      </w:pPr>
      <w:r>
        <w:rPr>
          <w:rFonts w:hint="eastAsia" w:asciiTheme="majorEastAsia" w:hAnsiTheme="majorEastAsia" w:eastAsiaTheme="majorEastAsia" w:cstheme="majorEastAsia"/>
          <w:b/>
          <w:bCs/>
          <w:i w:val="0"/>
          <w:caps w:val="0"/>
          <w:color w:val="auto"/>
          <w:spacing w:val="0"/>
          <w:sz w:val="44"/>
          <w:szCs w:val="44"/>
          <w:shd w:val="clear" w:fill="FFFFFF"/>
          <w:lang w:val="en-US" w:eastAsia="zh-CN"/>
        </w:rPr>
        <w:t>云南省市场监督管理局关于印发</w:t>
      </w:r>
    </w:p>
    <w:p w14:paraId="3D442E4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ajorEastAsia" w:hAnsiTheme="majorEastAsia" w:eastAsiaTheme="majorEastAsia" w:cstheme="majorEastAsia"/>
          <w:b/>
          <w:bCs/>
          <w:i w:val="0"/>
          <w:caps w:val="0"/>
          <w:color w:val="auto"/>
          <w:spacing w:val="0"/>
          <w:sz w:val="44"/>
          <w:szCs w:val="44"/>
          <w:shd w:val="clear" w:fill="FFFFFF"/>
          <w:lang w:val="en-US" w:eastAsia="zh-CN"/>
        </w:rPr>
      </w:pPr>
      <w:r>
        <w:rPr>
          <w:rFonts w:hint="eastAsia" w:asciiTheme="majorEastAsia" w:hAnsiTheme="majorEastAsia" w:eastAsiaTheme="majorEastAsia" w:cstheme="majorEastAsia"/>
          <w:b/>
          <w:bCs/>
          <w:i w:val="0"/>
          <w:caps w:val="0"/>
          <w:color w:val="auto"/>
          <w:spacing w:val="0"/>
          <w:sz w:val="44"/>
          <w:szCs w:val="44"/>
          <w:shd w:val="clear" w:fill="FFFFFF"/>
          <w:lang w:val="en-US" w:eastAsia="zh-CN"/>
        </w:rPr>
        <w:t>《云南省乙类特种设备检验机构</w:t>
      </w:r>
    </w:p>
    <w:p w14:paraId="054EF1A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Theme="majorEastAsia" w:hAnsiTheme="majorEastAsia" w:eastAsiaTheme="majorEastAsia" w:cstheme="majorEastAsia"/>
          <w:b/>
          <w:bCs/>
          <w:i w:val="0"/>
          <w:caps w:val="0"/>
          <w:color w:val="auto"/>
          <w:spacing w:val="0"/>
          <w:sz w:val="44"/>
          <w:szCs w:val="44"/>
          <w:shd w:val="clear" w:fill="FFFFFF"/>
          <w:lang w:val="en-US" w:eastAsia="zh-CN"/>
        </w:rPr>
        <w:t>核准细则（试行）》的通知</w:t>
      </w:r>
    </w:p>
    <w:p w14:paraId="47AEB83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14:paraId="5BB0BB5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各州、市市场监督管理局，省局机关各处室、所属事业单位，各乙类特种设备检验机构：</w:t>
      </w:r>
    </w:p>
    <w:p w14:paraId="45607C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根据《特种设备检验机构核准规则》（TSG Z7001—2021）规定，《云南省乙类特种设备检验机构核准细则（试行）》已经省市场监管局2024年第9次局务会议审议通过，现印发你们，请结合实际认真贯彻执行。</w:t>
      </w:r>
    </w:p>
    <w:p w14:paraId="4250A5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14:paraId="702DC2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 xml:space="preserve">                   云南省市场监督管理局</w:t>
      </w:r>
    </w:p>
    <w:p w14:paraId="6D8455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 xml:space="preserve">                    2025年1月20日</w:t>
      </w:r>
    </w:p>
    <w:p w14:paraId="6B5DCF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（此件公开发布）</w:t>
      </w:r>
    </w:p>
    <w:p w14:paraId="42076E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14:paraId="2C71E617">
      <w:pPr>
        <w:pStyle w:val="8"/>
        <w:rPr>
          <w:rFonts w:hint="eastAsia"/>
          <w:lang w:val="en-US" w:eastAsia="zh-CN"/>
        </w:rPr>
      </w:pPr>
    </w:p>
    <w:p w14:paraId="6683DCED">
      <w:pPr>
        <w:rPr>
          <w:rFonts w:hint="eastAsia"/>
          <w:lang w:val="en-US" w:eastAsia="zh-CN"/>
        </w:rPr>
      </w:pPr>
    </w:p>
    <w:p w14:paraId="5A5770F3">
      <w:pPr>
        <w:pStyle w:val="2"/>
        <w:rPr>
          <w:rFonts w:hint="eastAsia"/>
          <w:lang w:val="en-US" w:eastAsia="zh-CN"/>
        </w:rPr>
      </w:pPr>
    </w:p>
    <w:p w14:paraId="0E380C84">
      <w:pPr>
        <w:pStyle w:val="2"/>
        <w:rPr>
          <w:rFonts w:hint="eastAsia"/>
          <w:lang w:val="en-US" w:eastAsia="zh-CN"/>
        </w:rPr>
      </w:pPr>
    </w:p>
    <w:p w14:paraId="448FDEEF">
      <w:pPr>
        <w:pStyle w:val="2"/>
        <w:rPr>
          <w:rFonts w:hint="eastAsia"/>
          <w:lang w:val="en-US" w:eastAsia="zh-CN"/>
        </w:rPr>
      </w:pPr>
    </w:p>
    <w:p w14:paraId="05D463A0">
      <w:pPr>
        <w:pStyle w:val="2"/>
        <w:jc w:val="right"/>
        <w:rPr>
          <w:rFonts w:hint="eastAsia"/>
          <w:lang w:val="en-US" w:eastAsia="zh-CN"/>
        </w:rPr>
      </w:pPr>
    </w:p>
    <w:p w14:paraId="34B1228F">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ajorEastAsia" w:hAnsiTheme="majorEastAsia" w:eastAsiaTheme="majorEastAsia" w:cstheme="majorEastAsia"/>
          <w:b/>
          <w:bCs/>
          <w:i w:val="0"/>
          <w:caps w:val="0"/>
          <w:color w:val="auto"/>
          <w:spacing w:val="0"/>
          <w:sz w:val="44"/>
          <w:szCs w:val="44"/>
          <w:shd w:val="clear" w:fill="FFFFFF"/>
          <w:lang w:val="en-US" w:eastAsia="zh-CN"/>
        </w:rPr>
      </w:pPr>
    </w:p>
    <w:p w14:paraId="3F6C5EC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ajorEastAsia" w:hAnsiTheme="majorEastAsia" w:eastAsiaTheme="majorEastAsia" w:cstheme="majorEastAsia"/>
          <w:b/>
          <w:bCs/>
          <w:i w:val="0"/>
          <w:caps w:val="0"/>
          <w:color w:val="auto"/>
          <w:spacing w:val="0"/>
          <w:sz w:val="44"/>
          <w:szCs w:val="44"/>
          <w:shd w:val="clear" w:fill="FFFFFF"/>
          <w:lang w:val="en-US" w:eastAsia="zh-CN"/>
        </w:rPr>
      </w:pPr>
    </w:p>
    <w:p w14:paraId="28457B22">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方正黑体_GBK" w:cs="方正黑体_GBK"/>
          <w:sz w:val="32"/>
          <w:szCs w:val="32"/>
        </w:rPr>
      </w:pPr>
      <w:bookmarkStart w:id="0" w:name="_GoBack"/>
      <w:r>
        <w:rPr>
          <w:rFonts w:hint="eastAsia" w:asciiTheme="majorEastAsia" w:hAnsiTheme="majorEastAsia" w:eastAsiaTheme="majorEastAsia" w:cstheme="majorEastAsia"/>
          <w:b/>
          <w:bCs/>
          <w:i w:val="0"/>
          <w:caps w:val="0"/>
          <w:color w:val="auto"/>
          <w:spacing w:val="0"/>
          <w:sz w:val="44"/>
          <w:szCs w:val="44"/>
          <w:shd w:val="clear" w:fill="FFFFFF"/>
          <w:lang w:val="en-US" w:eastAsia="zh-CN"/>
        </w:rPr>
        <w:t>云南省乙类特种设备检验机构核准细则（试行）</w:t>
      </w:r>
    </w:p>
    <w:bookmarkEnd w:id="0"/>
    <w:p w14:paraId="62D0408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黑体" w:hAnsi="黑体" w:eastAsia="黑体" w:cs="黑体"/>
          <w:sz w:val="32"/>
          <w:szCs w:val="32"/>
        </w:rPr>
      </w:pPr>
    </w:p>
    <w:p w14:paraId="16DFB8AC">
      <w:pPr>
        <w:pStyle w:val="2"/>
        <w:ind w:left="0" w:leftChars="0" w:firstLine="0" w:firstLineChars="0"/>
        <w:jc w:val="center"/>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总则</w:t>
      </w:r>
    </w:p>
    <w:p w14:paraId="0C0B3A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为规范我省乙类特种设备检验机构</w:t>
      </w:r>
      <w:r>
        <w:rPr>
          <w:rFonts w:hint="eastAsia" w:ascii="仿宋_GB2312" w:hAnsi="仿宋_GB2312" w:eastAsia="仿宋_GB2312" w:cs="仿宋_GB2312"/>
          <w:b w:val="0"/>
          <w:bCs w:val="0"/>
          <w:color w:val="auto"/>
          <w:sz w:val="32"/>
          <w:szCs w:val="32"/>
          <w:lang w:eastAsia="zh-CN"/>
        </w:rPr>
        <w:t>（以下简称乙类检验机构）</w:t>
      </w:r>
      <w:r>
        <w:rPr>
          <w:rFonts w:hint="eastAsia" w:ascii="仿宋_GB2312" w:hAnsi="仿宋_GB2312" w:eastAsia="仿宋_GB2312" w:cs="仿宋_GB2312"/>
          <w:b w:val="0"/>
          <w:bCs w:val="0"/>
          <w:color w:val="auto"/>
          <w:sz w:val="32"/>
          <w:szCs w:val="32"/>
        </w:rPr>
        <w:t>核准工作，根据《特种设备检验机构核准规则》</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TSG Z7001—2021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（以下简称《核准规则》）以及《市场监管总局办公厅关于特种设备检验机构核准有关事项的通知》（市监特设发〔2022〕13号），结合我省实际，制定本细则。</w:t>
      </w:r>
    </w:p>
    <w:p w14:paraId="6FEDFB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本细则适用于</w:t>
      </w:r>
      <w:r>
        <w:rPr>
          <w:rFonts w:hint="eastAsia" w:ascii="仿宋_GB2312" w:hAnsi="仿宋_GB2312" w:eastAsia="仿宋_GB2312" w:cs="仿宋_GB2312"/>
          <w:b w:val="0"/>
          <w:bCs w:val="0"/>
          <w:color w:val="auto"/>
          <w:sz w:val="32"/>
          <w:szCs w:val="32"/>
          <w:lang w:eastAsia="zh-CN"/>
        </w:rPr>
        <w:t>云南省区域内</w:t>
      </w:r>
      <w:r>
        <w:rPr>
          <w:rFonts w:hint="eastAsia" w:ascii="仿宋_GB2312" w:hAnsi="仿宋_GB2312" w:eastAsia="仿宋_GB2312" w:cs="仿宋_GB2312"/>
          <w:b w:val="0"/>
          <w:bCs w:val="0"/>
          <w:color w:val="auto"/>
          <w:sz w:val="32"/>
          <w:szCs w:val="32"/>
        </w:rPr>
        <w:t>从事特种设备监督检验和定期检验的乙类检验机构的核准工作。</w:t>
      </w:r>
    </w:p>
    <w:p w14:paraId="070B68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乙类检验机构具有公益性事业单位法人资格，</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rPr>
        <w:t>地方人民政府设立的负有特种设备安全保障职责的特种设备检验机构，承担特种设备监督检验和定期检验工作，为</w:t>
      </w:r>
      <w:r>
        <w:rPr>
          <w:rFonts w:hint="eastAsia" w:ascii="仿宋_GB2312" w:hAnsi="仿宋_GB2312" w:eastAsia="仿宋_GB2312" w:cs="仿宋_GB2312"/>
          <w:b w:val="0"/>
          <w:bCs w:val="0"/>
          <w:color w:val="auto"/>
          <w:sz w:val="32"/>
          <w:szCs w:val="32"/>
          <w:lang w:eastAsia="zh-CN"/>
        </w:rPr>
        <w:t>云南省内</w:t>
      </w:r>
      <w:r>
        <w:rPr>
          <w:rFonts w:hint="eastAsia" w:ascii="仿宋_GB2312" w:hAnsi="仿宋_GB2312" w:eastAsia="仿宋_GB2312" w:cs="仿宋_GB2312"/>
          <w:b w:val="0"/>
          <w:bCs w:val="0"/>
          <w:color w:val="auto"/>
          <w:sz w:val="32"/>
          <w:szCs w:val="32"/>
        </w:rPr>
        <w:t>负责特种设备安全监督管理的部门提供</w:t>
      </w:r>
      <w:r>
        <w:rPr>
          <w:rFonts w:hint="eastAsia" w:ascii="仿宋_GB2312" w:hAnsi="仿宋_GB2312" w:eastAsia="仿宋_GB2312" w:cs="仿宋_GB2312"/>
          <w:b w:val="0"/>
          <w:bCs w:val="0"/>
          <w:color w:val="auto"/>
          <w:sz w:val="32"/>
          <w:szCs w:val="32"/>
          <w:lang w:val="en-US" w:eastAsia="zh-CN"/>
        </w:rPr>
        <w:t>支持</w:t>
      </w:r>
      <w:r>
        <w:rPr>
          <w:rFonts w:hint="eastAsia" w:ascii="仿宋_GB2312" w:hAnsi="仿宋_GB2312" w:eastAsia="仿宋_GB2312" w:cs="仿宋_GB2312"/>
          <w:b w:val="0"/>
          <w:bCs w:val="0"/>
          <w:color w:val="auto"/>
          <w:sz w:val="32"/>
          <w:szCs w:val="32"/>
        </w:rPr>
        <w:t>保障和技术支撑。</w:t>
      </w:r>
    </w:p>
    <w:p w14:paraId="0B3B76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云南省</w:t>
      </w:r>
      <w:r>
        <w:rPr>
          <w:rFonts w:hint="eastAsia" w:ascii="仿宋_GB2312" w:hAnsi="仿宋_GB2312" w:eastAsia="仿宋_GB2312" w:cs="仿宋_GB2312"/>
          <w:b w:val="0"/>
          <w:bCs w:val="0"/>
          <w:color w:val="auto"/>
          <w:sz w:val="32"/>
          <w:szCs w:val="32"/>
        </w:rPr>
        <w:t>市场监督管理局负责全省范围内乙类检验机构的核准</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w:t>
      </w:r>
    </w:p>
    <w:p w14:paraId="0092A3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乙类检验机构经过核准，取得《中华人民共和国特种设备检验检测机构核准证》后，方可在核准范围（见附件 1）内从事特种设备检验工作。核准证</w:t>
      </w:r>
      <w:r>
        <w:rPr>
          <w:rFonts w:hint="eastAsia" w:ascii="仿宋_GB2312" w:hAnsi="仿宋_GB2312" w:eastAsia="仿宋_GB2312" w:cs="仿宋_GB2312"/>
          <w:b w:val="0"/>
          <w:bCs w:val="0"/>
          <w:color w:val="auto"/>
          <w:sz w:val="32"/>
          <w:szCs w:val="32"/>
          <w:lang w:eastAsia="zh-CN"/>
        </w:rPr>
        <w:t>书</w:t>
      </w:r>
      <w:r>
        <w:rPr>
          <w:rFonts w:hint="eastAsia" w:ascii="仿宋_GB2312" w:hAnsi="仿宋_GB2312" w:eastAsia="仿宋_GB2312" w:cs="仿宋_GB2312"/>
          <w:b w:val="0"/>
          <w:bCs w:val="0"/>
          <w:color w:val="auto"/>
          <w:sz w:val="32"/>
          <w:szCs w:val="32"/>
        </w:rPr>
        <w:t>有效期</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w:t>
      </w:r>
    </w:p>
    <w:p w14:paraId="35FA27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第四条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乙类检验机构应当具有在核准范围内开展检验工作的能力，并按照有关法律、法规、规章、安全技术规范及相关标准的要求开展检验工作。</w:t>
      </w:r>
    </w:p>
    <w:p w14:paraId="0E10A9A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核准条件</w:t>
      </w:r>
    </w:p>
    <w:p w14:paraId="7E4E0E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第五条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申请单位应当具有公益类事业单位法人资格，独立、规范、公正地开展检验工作，</w:t>
      </w:r>
      <w:r>
        <w:rPr>
          <w:rFonts w:hint="eastAsia" w:ascii="仿宋_GB2312" w:hAnsi="仿宋_GB2312" w:eastAsia="仿宋_GB2312" w:cs="仿宋_GB2312"/>
          <w:b w:val="0"/>
          <w:bCs w:val="0"/>
          <w:color w:val="auto"/>
          <w:sz w:val="32"/>
          <w:szCs w:val="32"/>
          <w:lang w:eastAsia="zh-CN"/>
        </w:rPr>
        <w:t>特种设备检验机构及其人员不得从事有关特种设备的生产、经营活动，不得推荐或者监制、监销特种设备。</w:t>
      </w:r>
    </w:p>
    <w:p w14:paraId="1ACF4C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关键岗位人员应符合以下要求：</w:t>
      </w:r>
    </w:p>
    <w:p w14:paraId="52C25D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技术负责人，熟悉特种设备的有关法律、法规、规章、安全技术规范及相关标准和检验业务，有岗位需要的业务水平和组织能力，具有相关项目的检验师资格不少于8年；</w:t>
      </w:r>
    </w:p>
    <w:p w14:paraId="76F0EC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质量负责人，熟悉质量管理工作，有岗位需要的业务水平和组织能力，具有相关项目的检验师资格不少于4年；</w:t>
      </w:r>
    </w:p>
    <w:p w14:paraId="3CAC58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责任师，熟悉特种设备的法律、法规、规章、安全技术规范、标准和检验业务，有岗位需要的业务水平和组织能力，具有相应项目的检验师资格不少于4年。</w:t>
      </w:r>
    </w:p>
    <w:p w14:paraId="24B8C1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技术负责人、质量负责人不得兼任责任师。</w:t>
      </w:r>
    </w:p>
    <w:p w14:paraId="1DE62A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第七条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检验与检测人员应符合以下要求：</w:t>
      </w:r>
    </w:p>
    <w:p w14:paraId="486D1B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满足《乙类检验机构人员及检验设备要求》（见附</w:t>
      </w:r>
      <w:r>
        <w:rPr>
          <w:rFonts w:hint="eastAsia" w:ascii="仿宋_GB2312" w:hAnsi="仿宋_GB2312" w:eastAsia="仿宋_GB2312" w:cs="仿宋_GB2312"/>
          <w:b w:val="0"/>
          <w:bCs w:val="0"/>
          <w:color w:val="auto"/>
          <w:sz w:val="32"/>
          <w:szCs w:val="32"/>
          <w:lang w:eastAsia="zh-CN"/>
        </w:rPr>
        <w:t>件</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）中申请核准项目对应的人员配备要求，这些人员应当为申请单位的事业编制人员或具有合法聘用手续的人员。</w:t>
      </w:r>
    </w:p>
    <w:p w14:paraId="3D8D67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第八条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人员管理应符合以下要求：</w:t>
      </w:r>
    </w:p>
    <w:p w14:paraId="3529AA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为聘用的检验与检测人员在“全国特种设备检验与检测人员执业公示与查询系统”办理执业公示手续，</w:t>
      </w:r>
      <w:r>
        <w:rPr>
          <w:rFonts w:hint="eastAsia" w:ascii="仿宋_GB2312" w:hAnsi="仿宋_GB2312" w:eastAsia="仿宋_GB2312" w:cs="仿宋_GB2312"/>
          <w:b w:val="0"/>
          <w:bCs w:val="0"/>
          <w:color w:val="auto"/>
          <w:sz w:val="32"/>
          <w:szCs w:val="32"/>
          <w:lang w:eastAsia="zh-CN"/>
        </w:rPr>
        <w:t>且</w:t>
      </w:r>
      <w:r>
        <w:rPr>
          <w:rFonts w:hint="eastAsia" w:ascii="仿宋_GB2312" w:hAnsi="仿宋_GB2312" w:eastAsia="仿宋_GB2312" w:cs="仿宋_GB2312"/>
          <w:b w:val="0"/>
          <w:bCs w:val="0"/>
          <w:color w:val="auto"/>
          <w:sz w:val="32"/>
          <w:szCs w:val="32"/>
        </w:rPr>
        <w:t>其执业单位为申请单位；</w:t>
      </w:r>
    </w:p>
    <w:p w14:paraId="11CC19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使用持有相应</w:t>
      </w:r>
      <w:r>
        <w:rPr>
          <w:rFonts w:hint="eastAsia" w:ascii="仿宋_GB2312" w:hAnsi="仿宋_GB2312" w:eastAsia="仿宋_GB2312" w:cs="仿宋_GB2312"/>
          <w:b w:val="0"/>
          <w:bCs w:val="0"/>
          <w:color w:val="auto"/>
          <w:sz w:val="32"/>
          <w:szCs w:val="32"/>
          <w:lang w:val="en-US" w:eastAsia="zh-CN"/>
        </w:rPr>
        <w:t>项目、级别</w:t>
      </w:r>
      <w:r>
        <w:rPr>
          <w:rFonts w:hint="eastAsia" w:ascii="仿宋_GB2312" w:hAnsi="仿宋_GB2312" w:eastAsia="仿宋_GB2312" w:cs="仿宋_GB2312"/>
          <w:b w:val="0"/>
          <w:bCs w:val="0"/>
          <w:color w:val="auto"/>
          <w:sz w:val="32"/>
          <w:szCs w:val="32"/>
        </w:rPr>
        <w:t>资格的特种设备检验与检测人员从事相应的检验与检测工作；</w:t>
      </w:r>
    </w:p>
    <w:p w14:paraId="1082DC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有计划地开展检验与检测人员的安全、诚信、技术和质量管理培训，持续保持检验与检测人员的技术能力和质量管理水平：</w:t>
      </w:r>
    </w:p>
    <w:p w14:paraId="5E3032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建立健全检验与检测人员执业和技术档案。</w:t>
      </w:r>
    </w:p>
    <w:p w14:paraId="166BF1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第九条</w:t>
      </w:r>
      <w:r>
        <w:rPr>
          <w:rFonts w:hint="eastAsia" w:ascii="仿宋_GB2312" w:hAnsi="仿宋_GB2312" w:eastAsia="仿宋_GB2312" w:cs="仿宋_GB2312"/>
          <w:b w:val="0"/>
          <w:bCs w:val="0"/>
          <w:color w:val="auto"/>
          <w:sz w:val="32"/>
          <w:szCs w:val="32"/>
          <w:lang w:val="en-US" w:eastAsia="zh-CN"/>
        </w:rPr>
        <w:t xml:space="preserve">  在核准有效期内，</w:t>
      </w:r>
      <w:r>
        <w:rPr>
          <w:rFonts w:hint="eastAsia" w:ascii="仿宋_GB2312" w:hAnsi="仿宋_GB2312" w:eastAsia="仿宋_GB2312" w:cs="仿宋_GB2312"/>
          <w:b w:val="0"/>
          <w:bCs w:val="0"/>
          <w:color w:val="auto"/>
          <w:sz w:val="32"/>
          <w:szCs w:val="32"/>
        </w:rPr>
        <w:t>检验与检测</w:t>
      </w:r>
      <w:r>
        <w:rPr>
          <w:rFonts w:hint="eastAsia" w:ascii="仿宋_GB2312" w:hAnsi="仿宋_GB2312" w:eastAsia="仿宋_GB2312" w:cs="仿宋_GB2312"/>
          <w:b w:val="0"/>
          <w:bCs w:val="0"/>
          <w:color w:val="auto"/>
          <w:sz w:val="32"/>
          <w:szCs w:val="32"/>
          <w:lang w:val="en-US" w:eastAsia="zh-CN"/>
        </w:rPr>
        <w:t>持证</w:t>
      </w:r>
      <w:r>
        <w:rPr>
          <w:rFonts w:hint="eastAsia" w:ascii="仿宋_GB2312" w:hAnsi="仿宋_GB2312" w:eastAsia="仿宋_GB2312" w:cs="仿宋_GB2312"/>
          <w:b w:val="0"/>
          <w:bCs w:val="0"/>
          <w:color w:val="auto"/>
          <w:sz w:val="32"/>
          <w:szCs w:val="32"/>
        </w:rPr>
        <w:t>人员应当接受过不少于24学时/年的技术和质量管理知识培训。其中，技术负责人、质量负责人、内部审核人员和其他从事质量管理的人员应当熟悉质量管理，接受特种设备质量管理体系知识专门培训不少于16学时/年。</w:t>
      </w:r>
    </w:p>
    <w:p w14:paraId="484CC6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具有与承担的检验工作相适应的固定办公场所，并且有满足使用和存放要求的档案室和专用仪器设备室。</w:t>
      </w:r>
    </w:p>
    <w:p w14:paraId="4B06BD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建筑面积不少于</w:t>
      </w:r>
      <w:r>
        <w:rPr>
          <w:rFonts w:hint="eastAsia" w:ascii="仿宋_GB2312" w:hAnsi="仿宋_GB2312" w:eastAsia="仿宋_GB2312" w:cs="仿宋_GB2312"/>
          <w:b w:val="0"/>
          <w:bCs w:val="0"/>
          <w:color w:val="auto"/>
          <w:sz w:val="32"/>
          <w:szCs w:val="32"/>
          <w:lang w:val="en-US" w:eastAsia="zh-CN"/>
        </w:rPr>
        <w:t>600</w:t>
      </w:r>
      <w:r>
        <w:rPr>
          <w:rFonts w:hint="eastAsia" w:ascii="仿宋_GB2312" w:hAnsi="仿宋_GB2312" w:eastAsia="仿宋_GB2312" w:cs="仿宋_GB2312"/>
          <w:b w:val="0"/>
          <w:bCs w:val="0"/>
          <w:color w:val="auto"/>
          <w:sz w:val="32"/>
          <w:szCs w:val="32"/>
        </w:rPr>
        <w:t>㎡的固定办公场所；</w:t>
      </w:r>
    </w:p>
    <w:p w14:paraId="534040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使用面积分别不少于40㎡的档案室</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图书资料室；</w:t>
      </w:r>
    </w:p>
    <w:p w14:paraId="420CEC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满足存放要求的专用仪器设备室</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使用面积</w:t>
      </w:r>
      <w:r>
        <w:rPr>
          <w:rFonts w:hint="eastAsia" w:ascii="仿宋_GB2312" w:hAnsi="仿宋_GB2312" w:eastAsia="仿宋_GB2312" w:cs="仿宋_GB2312"/>
          <w:b w:val="0"/>
          <w:bCs w:val="0"/>
          <w:color w:val="auto"/>
          <w:sz w:val="32"/>
          <w:szCs w:val="32"/>
        </w:rPr>
        <w:t>不少于</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0㎡；</w:t>
      </w:r>
    </w:p>
    <w:p w14:paraId="02F63F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检验检测人员应当每人配备1台计算机，且能满足传输检验数据的需要；</w:t>
      </w:r>
    </w:p>
    <w:p w14:paraId="47A9ED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必要的交通、通信工具及办公设施。</w:t>
      </w:r>
    </w:p>
    <w:p w14:paraId="7A20D1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申请移动式压力容器定期检验的，每个检验场地和设施（指提供能源、照明、环保、消防、预处理、后处理、吊装、运输等功能的装备，下同）均应当满足检验工作需要，检验场地面积不小于1500㎡；应当有污水处理措施；</w:t>
      </w:r>
    </w:p>
    <w:p w14:paraId="45A42F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移动式压力容器定期检验场地及其附属设施可以租赁，BD（Ⅴ）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定期检验：汽车罐车、罐式集装箱</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项目条件中列出的检验设备配置除外；同一检验场地和设施不得用于不同检验机构取得特种设备检验资质。</w:t>
      </w:r>
    </w:p>
    <w:p w14:paraId="0EBB66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移动式压力容器定期检验应当在经核准的检验场地内进行。</w:t>
      </w:r>
    </w:p>
    <w:p w14:paraId="74717E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配置与申请项目相适应的检验仪器设备，具体要求见附</w:t>
      </w:r>
      <w:r>
        <w:rPr>
          <w:rFonts w:hint="eastAsia" w:ascii="仿宋_GB2312" w:hAnsi="仿宋_GB2312" w:eastAsia="仿宋_GB2312" w:cs="仿宋_GB2312"/>
          <w:b w:val="0"/>
          <w:bCs w:val="0"/>
          <w:color w:val="auto"/>
          <w:sz w:val="32"/>
          <w:szCs w:val="32"/>
          <w:lang w:eastAsia="zh-CN"/>
        </w:rPr>
        <w:t>件</w:t>
      </w:r>
      <w:r>
        <w:rPr>
          <w:rFonts w:hint="eastAsia" w:ascii="仿宋_GB2312" w:hAnsi="仿宋_GB2312" w:eastAsia="仿宋_GB2312" w:cs="仿宋_GB2312"/>
          <w:b w:val="0"/>
          <w:bCs w:val="0"/>
          <w:color w:val="auto"/>
          <w:sz w:val="32"/>
          <w:szCs w:val="32"/>
          <w:lang w:val="en"/>
        </w:rPr>
        <w:t>2</w:t>
      </w:r>
      <w:r>
        <w:rPr>
          <w:rFonts w:hint="eastAsia" w:ascii="仿宋_GB2312" w:hAnsi="仿宋_GB2312" w:eastAsia="仿宋_GB2312" w:cs="仿宋_GB2312"/>
          <w:b w:val="0"/>
          <w:bCs w:val="0"/>
          <w:color w:val="auto"/>
          <w:sz w:val="32"/>
          <w:szCs w:val="32"/>
        </w:rPr>
        <w:t>中相应项目对应的“检验设备配置”要求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检验仪器设备应当是申请单位自有产权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应有详细清单明细表和档案资料。</w:t>
      </w:r>
    </w:p>
    <w:p w14:paraId="032E99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按照《核准规则》附件F的要求建立与申请核准项目相适应的质量管理体系，并且持续有效运行。</w:t>
      </w:r>
    </w:p>
    <w:p w14:paraId="5472CA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第十四条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配有与申请核准项目相适应的法律、法规、规章、安全技术规范及相关标准</w:t>
      </w:r>
      <w:r>
        <w:rPr>
          <w:rFonts w:hint="eastAsia" w:ascii="仿宋_GB2312" w:hAnsi="仿宋_GB2312" w:eastAsia="仿宋_GB2312" w:cs="仿宋_GB2312"/>
          <w:b w:val="0"/>
          <w:bCs w:val="0"/>
          <w:color w:val="auto"/>
          <w:sz w:val="32"/>
          <w:szCs w:val="32"/>
          <w:lang w:val="en-US" w:eastAsia="zh-CN"/>
        </w:rPr>
        <w:t>及目录明细表</w:t>
      </w:r>
      <w:r>
        <w:rPr>
          <w:rFonts w:hint="eastAsia" w:ascii="仿宋_GB2312" w:hAnsi="仿宋_GB2312" w:eastAsia="仿宋_GB2312" w:cs="仿宋_GB2312"/>
          <w:b w:val="0"/>
          <w:bCs w:val="0"/>
          <w:color w:val="auto"/>
          <w:sz w:val="32"/>
          <w:szCs w:val="32"/>
        </w:rPr>
        <w:t>，应当有</w:t>
      </w:r>
      <w:r>
        <w:rPr>
          <w:rFonts w:hint="eastAsia" w:ascii="仿宋_GB2312" w:hAnsi="仿宋_GB2312" w:eastAsia="仿宋_GB2312" w:cs="仿宋_GB2312"/>
          <w:b w:val="0"/>
          <w:bCs w:val="0"/>
          <w:color w:val="auto"/>
          <w:sz w:val="32"/>
          <w:szCs w:val="32"/>
          <w:lang w:val="en-US" w:eastAsia="zh-CN"/>
        </w:rPr>
        <w:t>纸质</w:t>
      </w:r>
      <w:r>
        <w:rPr>
          <w:rFonts w:hint="eastAsia" w:ascii="仿宋_GB2312" w:hAnsi="仿宋_GB2312" w:eastAsia="仿宋_GB2312" w:cs="仿宋_GB2312"/>
          <w:b w:val="0"/>
          <w:bCs w:val="0"/>
          <w:color w:val="auto"/>
          <w:sz w:val="32"/>
          <w:szCs w:val="32"/>
        </w:rPr>
        <w:t>正式版本。</w:t>
      </w:r>
    </w:p>
    <w:p w14:paraId="09F8C3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第十五条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信息化管理系统应满足以下要求：</w:t>
      </w:r>
    </w:p>
    <w:p w14:paraId="4C240F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建立了符合特种设备动态监督管理要求的检验信息管理系统，能够根据需要提供真实、准确的特种设备检验数据、信息；</w:t>
      </w:r>
    </w:p>
    <w:p w14:paraId="49093A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使用检验信息管理系统对质量管理和检验信息进行收集和管理时，应当确保信息收集的及时、齐全、准确、安全和可追溯性；</w:t>
      </w:r>
    </w:p>
    <w:p w14:paraId="739A6D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检验信息系统的使用人员应当得到授权并且有效控制。</w:t>
      </w:r>
    </w:p>
    <w:p w14:paraId="722316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检验能力和业绩应当满足以下要求：</w:t>
      </w:r>
    </w:p>
    <w:p w14:paraId="3D0568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申请延续核准的，在上一核准周期内，应当有相应检验项目的检验业绩；鉴定评审机构应当采取报告评价、跟踪检验过程或者采信能力验证结果等方式对申请单位相关检验能力进行审查。</w:t>
      </w:r>
    </w:p>
    <w:p w14:paraId="1E97C1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（二）首次申请</w:t>
      </w:r>
      <w:r>
        <w:rPr>
          <w:rFonts w:hint="eastAsia" w:ascii="仿宋_GB2312" w:hAnsi="仿宋_GB2312" w:eastAsia="仿宋_GB2312" w:cs="仿宋_GB2312"/>
          <w:b w:val="0"/>
          <w:bCs w:val="0"/>
          <w:color w:val="auto"/>
          <w:sz w:val="32"/>
          <w:szCs w:val="32"/>
        </w:rPr>
        <w:t>B</w:t>
      </w:r>
      <w:r>
        <w:rPr>
          <w:rFonts w:hint="eastAsia" w:ascii="仿宋_GB2312" w:hAnsi="仿宋_GB2312" w:eastAsia="仿宋_GB2312" w:cs="仿宋_GB2312"/>
          <w:b w:val="0"/>
          <w:bCs w:val="0"/>
          <w:color w:val="auto"/>
          <w:sz w:val="32"/>
          <w:szCs w:val="32"/>
          <w:lang w:val="en-US" w:eastAsia="zh-CN"/>
        </w:rPr>
        <w:t>J（</w:t>
      </w:r>
      <w:r>
        <w:rPr>
          <w:rFonts w:hint="eastAsia" w:ascii="仿宋_GB2312" w:hAnsi="仿宋_GB2312" w:eastAsia="仿宋_GB2312" w:cs="仿宋_GB2312"/>
          <w:b w:val="0"/>
          <w:bCs w:val="0"/>
          <w:color w:val="auto"/>
          <w:sz w:val="32"/>
          <w:szCs w:val="32"/>
        </w:rPr>
        <w:t>Ⅴ</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BD（Ⅲ）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BD（Ⅴ）项目</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监督检验：气瓶制造；定期检验：氧舱；定期检验：汽车罐车、罐式集装箱）</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应当在具有相应检验资质的特种设备检验机构辅导下，开展试检验工作，其负责辅导的检验机构应当出具辅导意见。</w:t>
      </w:r>
    </w:p>
    <w:p w14:paraId="1C57D4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第十七条</w:t>
      </w:r>
      <w:r>
        <w:rPr>
          <w:rFonts w:hint="eastAsia" w:ascii="仿宋_GB2312" w:hAnsi="仿宋_GB2312" w:eastAsia="仿宋_GB2312" w:cs="仿宋_GB2312"/>
          <w:b w:val="0"/>
          <w:bCs w:val="0"/>
          <w:color w:val="auto"/>
          <w:sz w:val="32"/>
          <w:szCs w:val="32"/>
          <w:lang w:val="en-US" w:eastAsia="zh-CN"/>
        </w:rPr>
        <w:t xml:space="preserve">  检验资料</w:t>
      </w:r>
      <w:r>
        <w:rPr>
          <w:rFonts w:hint="eastAsia" w:ascii="仿宋_GB2312" w:hAnsi="仿宋_GB2312" w:eastAsia="仿宋_GB2312" w:cs="仿宋_GB2312"/>
          <w:b w:val="0"/>
          <w:bCs w:val="0"/>
          <w:color w:val="auto"/>
          <w:sz w:val="32"/>
          <w:szCs w:val="32"/>
        </w:rPr>
        <w:t>应当保存检验方案、检验原始记录（信息）、检验报告等资料，保存期限符合有关安全技术规范的要求，并且不少于6年。</w:t>
      </w:r>
    </w:p>
    <w:p w14:paraId="10B5DF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第十八条</w:t>
      </w:r>
      <w:r>
        <w:rPr>
          <w:rFonts w:hint="eastAsia" w:ascii="仿宋_GB2312" w:hAnsi="仿宋_GB2312" w:eastAsia="仿宋_GB2312" w:cs="仿宋_GB2312"/>
          <w:b w:val="0"/>
          <w:bCs w:val="0"/>
          <w:color w:val="auto"/>
          <w:sz w:val="32"/>
          <w:szCs w:val="32"/>
          <w:lang w:val="en-US" w:eastAsia="zh-CN"/>
        </w:rPr>
        <w:t xml:space="preserve">  对外委托时，</w:t>
      </w:r>
      <w:r>
        <w:rPr>
          <w:rFonts w:hint="eastAsia" w:ascii="仿宋_GB2312" w:hAnsi="仿宋_GB2312" w:eastAsia="仿宋_GB2312" w:cs="仿宋_GB2312"/>
          <w:b w:val="0"/>
          <w:bCs w:val="0"/>
          <w:color w:val="auto"/>
          <w:sz w:val="32"/>
          <w:szCs w:val="32"/>
        </w:rPr>
        <w:t>除无损检测外不得将检验工作</w:t>
      </w:r>
      <w:r>
        <w:rPr>
          <w:rFonts w:hint="eastAsia" w:ascii="仿宋_GB2312" w:hAnsi="仿宋_GB2312" w:eastAsia="仿宋_GB2312" w:cs="仿宋_GB2312"/>
          <w:b w:val="0"/>
          <w:bCs w:val="0"/>
          <w:color w:val="auto"/>
          <w:sz w:val="32"/>
          <w:szCs w:val="32"/>
          <w:lang w:val="en-US" w:eastAsia="zh-CN"/>
        </w:rPr>
        <w:t>对外委托；</w:t>
      </w:r>
      <w:r>
        <w:rPr>
          <w:rFonts w:hint="eastAsia" w:ascii="仿宋_GB2312" w:hAnsi="仿宋_GB2312" w:eastAsia="仿宋_GB2312" w:cs="仿宋_GB2312"/>
          <w:b w:val="0"/>
          <w:bCs w:val="0"/>
          <w:color w:val="auto"/>
          <w:sz w:val="32"/>
          <w:szCs w:val="32"/>
        </w:rPr>
        <w:t>无损检测的受委托方应当取得相应特种设备检测资质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特种设备检验机构应当</w:t>
      </w:r>
      <w:r>
        <w:rPr>
          <w:rFonts w:hint="eastAsia" w:ascii="仿宋_GB2312" w:hAnsi="仿宋_GB2312" w:eastAsia="仿宋_GB2312" w:cs="仿宋_GB2312"/>
          <w:b w:val="0"/>
          <w:bCs w:val="0"/>
          <w:color w:val="auto"/>
          <w:sz w:val="32"/>
          <w:szCs w:val="32"/>
          <w:lang w:eastAsia="zh-CN"/>
        </w:rPr>
        <w:t>对</w:t>
      </w:r>
      <w:r>
        <w:rPr>
          <w:rFonts w:hint="eastAsia" w:ascii="仿宋_GB2312" w:hAnsi="仿宋_GB2312" w:eastAsia="仿宋_GB2312" w:cs="仿宋_GB2312"/>
          <w:b w:val="0"/>
          <w:bCs w:val="0"/>
          <w:color w:val="auto"/>
          <w:sz w:val="32"/>
          <w:szCs w:val="32"/>
          <w:lang w:val="en-US" w:eastAsia="zh-CN"/>
        </w:rPr>
        <w:t>对外委托</w:t>
      </w:r>
      <w:r>
        <w:rPr>
          <w:rFonts w:hint="eastAsia" w:ascii="仿宋_GB2312" w:hAnsi="仿宋_GB2312" w:eastAsia="仿宋_GB2312" w:cs="仿宋_GB2312"/>
          <w:b w:val="0"/>
          <w:bCs w:val="0"/>
          <w:color w:val="auto"/>
          <w:sz w:val="32"/>
          <w:szCs w:val="32"/>
        </w:rPr>
        <w:t>的检测结果负责。</w:t>
      </w:r>
    </w:p>
    <w:p w14:paraId="496594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第十九条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申请单位申请核准时，其分支机构可以共同申请核准，本细则规定的核准条件可以共享；共同申请核准的分支机构和没有法人资格的分支机构不得单独申请核准。</w:t>
      </w:r>
    </w:p>
    <w:p w14:paraId="4D21BF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第二十条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 w:eastAsia="zh-CN"/>
        </w:rPr>
        <w:t xml:space="preserve"> </w:t>
      </w:r>
      <w:r>
        <w:rPr>
          <w:rFonts w:hint="eastAsia" w:ascii="仿宋_GB2312" w:hAnsi="仿宋_GB2312" w:eastAsia="仿宋_GB2312" w:cs="仿宋_GB2312"/>
          <w:b w:val="0"/>
          <w:bCs w:val="0"/>
          <w:color w:val="auto"/>
          <w:sz w:val="32"/>
          <w:szCs w:val="32"/>
          <w:lang w:val="en-US" w:eastAsia="zh-CN"/>
        </w:rPr>
        <w:t>乙类特种设备检验机构</w:t>
      </w:r>
      <w:r>
        <w:rPr>
          <w:rFonts w:hint="eastAsia" w:ascii="仿宋_GB2312" w:hAnsi="仿宋_GB2312" w:eastAsia="仿宋_GB2312" w:cs="仿宋_GB2312"/>
          <w:b w:val="0"/>
          <w:bCs w:val="0"/>
          <w:color w:val="auto"/>
          <w:sz w:val="32"/>
          <w:szCs w:val="32"/>
        </w:rPr>
        <w:t>承担以下保障义务：</w:t>
      </w:r>
    </w:p>
    <w:p w14:paraId="5B4639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（一）在云南省内</w:t>
      </w:r>
      <w:r>
        <w:rPr>
          <w:rFonts w:hint="eastAsia" w:ascii="仿宋_GB2312" w:hAnsi="仿宋_GB2312" w:eastAsia="仿宋_GB2312" w:cs="仿宋_GB2312"/>
          <w:b w:val="0"/>
          <w:bCs w:val="0"/>
          <w:color w:val="auto"/>
          <w:sz w:val="32"/>
          <w:szCs w:val="32"/>
        </w:rPr>
        <w:t>履行特种设备保障检验职能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在首次跨州、市开展检验前，应当向当地州、市特种设备安全监督管理部门报告，开通检验检测工作账号，实现数据流转。</w:t>
      </w:r>
    </w:p>
    <w:p w14:paraId="6E66DB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（二）不得将检验业务分包、转包或者变相分包、转包给其他单位或个人。检验过程发现所检验特种设备存在重大安全隐患时，应及时报告当地特种设备监督管理部门。</w:t>
      </w:r>
    </w:p>
    <w:p w14:paraId="7B0EFB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按照特种设备安全监督管理部门</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要求，承担与特种设备安全相关的其他保障性工作</w:t>
      </w:r>
      <w:r>
        <w:rPr>
          <w:rFonts w:hint="eastAsia" w:ascii="仿宋_GB2312" w:hAnsi="仿宋_GB2312" w:eastAsia="仿宋_GB2312" w:cs="仿宋_GB2312"/>
          <w:b w:val="0"/>
          <w:bCs w:val="0"/>
          <w:color w:val="auto"/>
          <w:sz w:val="32"/>
          <w:szCs w:val="32"/>
          <w:lang w:eastAsia="zh-CN"/>
        </w:rPr>
        <w:t>。</w:t>
      </w:r>
    </w:p>
    <w:p w14:paraId="5016F9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严格执行财政、</w:t>
      </w:r>
      <w:r>
        <w:rPr>
          <w:rFonts w:hint="eastAsia" w:ascii="仿宋_GB2312" w:hAnsi="仿宋_GB2312" w:eastAsia="仿宋_GB2312" w:cs="仿宋_GB2312"/>
          <w:b w:val="0"/>
          <w:bCs w:val="0"/>
          <w:color w:val="auto"/>
          <w:sz w:val="32"/>
          <w:szCs w:val="32"/>
          <w:lang w:eastAsia="zh-CN"/>
        </w:rPr>
        <w:t>价格主管</w:t>
      </w:r>
      <w:r>
        <w:rPr>
          <w:rFonts w:hint="eastAsia" w:ascii="仿宋_GB2312" w:hAnsi="仿宋_GB2312" w:eastAsia="仿宋_GB2312" w:cs="仿宋_GB2312"/>
          <w:b w:val="0"/>
          <w:bCs w:val="0"/>
          <w:color w:val="auto"/>
          <w:sz w:val="32"/>
          <w:szCs w:val="32"/>
        </w:rPr>
        <w:t>部门规定的特种设备检验收费政策要求。</w:t>
      </w:r>
    </w:p>
    <w:p w14:paraId="64D7511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核准程序和要求</w:t>
      </w:r>
    </w:p>
    <w:p w14:paraId="47B1C5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第二十一条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核准分为首次核准、延续核准、增项核准、变更核准。</w:t>
      </w:r>
    </w:p>
    <w:p w14:paraId="56CDF4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核准程序包括申请、受理、鉴定评审、审查和发证，具体按照《核准规则》执行。</w:t>
      </w:r>
      <w:r>
        <w:rPr>
          <w:rFonts w:hint="eastAsia" w:ascii="仿宋_GB2312" w:hAnsi="仿宋_GB2312" w:eastAsia="仿宋_GB2312" w:cs="仿宋_GB2312"/>
          <w:b w:val="0"/>
          <w:bCs w:val="0"/>
          <w:color w:val="auto"/>
          <w:sz w:val="32"/>
          <w:szCs w:val="32"/>
          <w:lang w:eastAsia="zh-CN"/>
        </w:rPr>
        <w:t>核准程序须</w:t>
      </w:r>
      <w:r>
        <w:rPr>
          <w:rFonts w:hint="eastAsia" w:ascii="仿宋_GB2312" w:hAnsi="仿宋_GB2312" w:eastAsia="仿宋_GB2312" w:cs="仿宋_GB2312"/>
          <w:b w:val="0"/>
          <w:bCs w:val="0"/>
          <w:color w:val="auto"/>
          <w:sz w:val="32"/>
          <w:szCs w:val="32"/>
        </w:rPr>
        <w:t>在全国特种设备行政许可审批系统</w:t>
      </w:r>
      <w:r>
        <w:rPr>
          <w:rFonts w:hint="eastAsia" w:ascii="仿宋_GB2312" w:hAnsi="仿宋_GB2312" w:eastAsia="仿宋_GB2312" w:cs="仿宋_GB2312"/>
          <w:b w:val="0"/>
          <w:bCs w:val="0"/>
          <w:color w:val="auto"/>
          <w:sz w:val="32"/>
          <w:szCs w:val="32"/>
          <w:lang w:eastAsia="zh-CN"/>
        </w:rPr>
        <w:t>运行</w:t>
      </w:r>
      <w:r>
        <w:rPr>
          <w:rFonts w:hint="eastAsia" w:ascii="仿宋_GB2312" w:hAnsi="仿宋_GB2312" w:eastAsia="仿宋_GB2312" w:cs="仿宋_GB2312"/>
          <w:b w:val="0"/>
          <w:bCs w:val="0"/>
          <w:color w:val="auto"/>
          <w:sz w:val="32"/>
          <w:szCs w:val="32"/>
        </w:rPr>
        <w:t>。</w:t>
      </w:r>
    </w:p>
    <w:p w14:paraId="34CE51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第二十三条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鉴定评审</w:t>
      </w:r>
      <w:r>
        <w:rPr>
          <w:rFonts w:hint="eastAsia" w:ascii="仿宋_GB2312" w:hAnsi="仿宋_GB2312" w:eastAsia="仿宋_GB2312" w:cs="仿宋_GB2312"/>
          <w:b w:val="0"/>
          <w:bCs w:val="0"/>
          <w:color w:val="auto"/>
          <w:sz w:val="32"/>
          <w:szCs w:val="32"/>
          <w:lang w:val="en-US" w:eastAsia="zh-CN"/>
        </w:rPr>
        <w:t>工作由省</w:t>
      </w:r>
      <w:r>
        <w:rPr>
          <w:rFonts w:hint="eastAsia" w:ascii="仿宋_GB2312" w:hAnsi="仿宋_GB2312" w:eastAsia="仿宋_GB2312" w:cs="仿宋_GB2312"/>
          <w:b w:val="0"/>
          <w:bCs w:val="0"/>
          <w:color w:val="auto"/>
          <w:sz w:val="32"/>
          <w:szCs w:val="32"/>
        </w:rPr>
        <w:t>市场监督管理局</w:t>
      </w:r>
      <w:r>
        <w:rPr>
          <w:rFonts w:hint="eastAsia" w:ascii="仿宋_GB2312" w:hAnsi="仿宋_GB2312" w:eastAsia="仿宋_GB2312" w:cs="仿宋_GB2312"/>
          <w:b w:val="0"/>
          <w:bCs w:val="0"/>
          <w:color w:val="auto"/>
          <w:sz w:val="32"/>
          <w:szCs w:val="32"/>
          <w:lang w:val="en-US" w:eastAsia="zh-CN"/>
        </w:rPr>
        <w:t>采取政府采购方式委托</w:t>
      </w:r>
      <w:r>
        <w:rPr>
          <w:rFonts w:hint="eastAsia" w:ascii="仿宋_GB2312" w:hAnsi="仿宋_GB2312" w:eastAsia="仿宋_GB2312" w:cs="仿宋_GB2312"/>
          <w:b w:val="0"/>
          <w:bCs w:val="0"/>
          <w:color w:val="auto"/>
          <w:sz w:val="32"/>
          <w:szCs w:val="32"/>
        </w:rPr>
        <w:t>鉴定评审机构</w:t>
      </w:r>
      <w:r>
        <w:rPr>
          <w:rFonts w:hint="eastAsia" w:ascii="仿宋_GB2312" w:hAnsi="仿宋_GB2312" w:eastAsia="仿宋_GB2312" w:cs="仿宋_GB2312"/>
          <w:b w:val="0"/>
          <w:bCs w:val="0"/>
          <w:color w:val="auto"/>
          <w:sz w:val="32"/>
          <w:szCs w:val="32"/>
          <w:lang w:val="en-US" w:eastAsia="zh-CN"/>
        </w:rPr>
        <w:t>进行。</w:t>
      </w:r>
    </w:p>
    <w:p w14:paraId="47E964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核准机关在收到鉴定评审机构上报的鉴定评审报告和相关资料后，应对鉴定评审报告和相关资料进行审查，符合发证条件的，向申请单位颁发核准证；不符合发证条件的，向申请单位发出《特种设备不予行政许可决定书》。</w:t>
      </w:r>
    </w:p>
    <w:p w14:paraId="06B0236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第四章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附则</w:t>
      </w:r>
    </w:p>
    <w:p w14:paraId="016B3C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本细则</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val="en-US" w:eastAsia="zh-CN"/>
        </w:rPr>
        <w:t>云南</w:t>
      </w:r>
      <w:r>
        <w:rPr>
          <w:rFonts w:hint="eastAsia" w:ascii="仿宋_GB2312" w:hAnsi="仿宋_GB2312" w:eastAsia="仿宋_GB2312" w:cs="仿宋_GB2312"/>
          <w:b w:val="0"/>
          <w:bCs w:val="0"/>
          <w:color w:val="auto"/>
          <w:sz w:val="32"/>
          <w:szCs w:val="32"/>
        </w:rPr>
        <w:t>省市场监督管理局负责解释。</w:t>
      </w:r>
    </w:p>
    <w:p w14:paraId="70AD9A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本细则自20</w:t>
      </w:r>
      <w:r>
        <w:rPr>
          <w:rFonts w:hint="eastAsia" w:ascii="仿宋_GB2312" w:hAnsi="仿宋_GB2312" w:eastAsia="仿宋_GB2312" w:cs="仿宋_GB2312"/>
          <w:b w:val="0"/>
          <w:bCs w:val="0"/>
          <w:color w:val="auto"/>
          <w:sz w:val="32"/>
          <w:szCs w:val="32"/>
          <w:lang w:val="en-US" w:eastAsia="zh-CN"/>
        </w:rPr>
        <w:t>25</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color w:val="auto"/>
          <w:sz w:val="32"/>
          <w:szCs w:val="32"/>
        </w:rPr>
        <w:t>日起施行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有效期</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w:t>
      </w:r>
    </w:p>
    <w:p w14:paraId="623F240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val="0"/>
          <w:bCs w:val="0"/>
          <w:color w:val="auto"/>
          <w:sz w:val="32"/>
          <w:szCs w:val="32"/>
        </w:rPr>
      </w:pPr>
    </w:p>
    <w:p w14:paraId="3DBA546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b w:val="0"/>
          <w:bCs w:val="0"/>
          <w:color w:val="auto"/>
          <w:sz w:val="32"/>
          <w:szCs w:val="32"/>
        </w:rPr>
        <w:t>乙类检验机构核准项目</w:t>
      </w:r>
    </w:p>
    <w:p w14:paraId="36BDFBA3">
      <w:pPr>
        <w:keepNext w:val="0"/>
        <w:keepLines w:val="0"/>
        <w:pageBreakBefore w:val="0"/>
        <w:widowControl w:val="0"/>
        <w:kinsoku/>
        <w:wordWrap/>
        <w:overflowPunct/>
        <w:topLinePunct w:val="0"/>
        <w:autoSpaceDE/>
        <w:autoSpaceDN/>
        <w:bidi w:val="0"/>
        <w:adjustRightInd/>
        <w:snapToGrid/>
        <w:spacing w:line="590" w:lineRule="exact"/>
        <w:ind w:firstLine="1600" w:firstLineChars="500"/>
        <w:jc w:val="left"/>
        <w:textAlignment w:val="auto"/>
        <w:rPr>
          <w:rFonts w:hint="default" w:ascii="宋体" w:hAnsi="宋体" w:eastAsia="方正仿宋_GBK"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乙类检验机构人员及检验设备要求</w:t>
      </w:r>
    </w:p>
    <w:p w14:paraId="336BB69D">
      <w:pPr>
        <w:ind w:firstLine="640"/>
        <w:rPr>
          <w:rFonts w:hint="default" w:ascii="Times New Roman" w:hAnsi="Times New Roman" w:eastAsia="仿宋_GB2312" w:cs="Times New Roman"/>
          <w:b w:val="0"/>
          <w:bCs w:val="0"/>
          <w:color w:val="auto"/>
          <w:sz w:val="32"/>
          <w:szCs w:val="32"/>
          <w:lang w:val="en-US" w:eastAsia="zh-CN"/>
        </w:rPr>
      </w:pPr>
    </w:p>
    <w:p w14:paraId="43E9F146">
      <w:pPr>
        <w:rPr>
          <w:rFonts w:hint="default" w:ascii="Times New Roman" w:hAnsi="Times New Roman" w:eastAsia="仿宋_GB2312" w:cs="Times New Roman"/>
          <w:b w:val="0"/>
          <w:bCs w:val="0"/>
          <w:color w:val="auto"/>
          <w:sz w:val="32"/>
          <w:szCs w:val="32"/>
        </w:rPr>
      </w:pPr>
    </w:p>
    <w:p w14:paraId="4CE3F9D8">
      <w:pPr>
        <w:pStyle w:val="5"/>
        <w:rPr>
          <w:rFonts w:hint="default" w:ascii="Times New Roman" w:hAnsi="Times New Roman" w:eastAsia="仿宋_GB2312" w:cs="Times New Roman"/>
          <w:b w:val="0"/>
          <w:bCs w:val="0"/>
          <w:color w:val="auto"/>
          <w:sz w:val="32"/>
          <w:szCs w:val="32"/>
        </w:rPr>
      </w:pPr>
    </w:p>
    <w:p w14:paraId="67DFBC47">
      <w:pPr>
        <w:pStyle w:val="5"/>
        <w:rPr>
          <w:rFonts w:hint="default" w:ascii="Times New Roman" w:hAnsi="Times New Roman" w:eastAsia="仿宋_GB2312" w:cs="Times New Roman"/>
          <w:b w:val="0"/>
          <w:bCs w:val="0"/>
          <w:color w:val="auto"/>
          <w:sz w:val="32"/>
          <w:szCs w:val="32"/>
        </w:rPr>
      </w:pPr>
    </w:p>
    <w:p w14:paraId="47C99248">
      <w:pPr>
        <w:pStyle w:val="5"/>
        <w:rPr>
          <w:rFonts w:hint="default" w:ascii="Times New Roman" w:hAnsi="Times New Roman" w:eastAsia="仿宋_GB2312" w:cs="Times New Roman"/>
          <w:b w:val="0"/>
          <w:bCs w:val="0"/>
          <w:color w:val="auto"/>
          <w:sz w:val="32"/>
          <w:szCs w:val="32"/>
        </w:rPr>
      </w:pPr>
    </w:p>
    <w:p w14:paraId="5E30E35F">
      <w:pPr>
        <w:pStyle w:val="5"/>
        <w:rPr>
          <w:rFonts w:hint="default" w:ascii="Times New Roman" w:hAnsi="Times New Roman" w:eastAsia="仿宋_GB2312" w:cs="Times New Roman"/>
          <w:b w:val="0"/>
          <w:bCs w:val="0"/>
          <w:color w:val="auto"/>
          <w:sz w:val="32"/>
          <w:szCs w:val="32"/>
        </w:rPr>
      </w:pPr>
    </w:p>
    <w:p w14:paraId="3EEB30AD">
      <w:pPr>
        <w:pStyle w:val="5"/>
        <w:rPr>
          <w:rFonts w:hint="default" w:ascii="Times New Roman" w:hAnsi="Times New Roman" w:eastAsia="仿宋_GB2312" w:cs="Times New Roman"/>
          <w:b w:val="0"/>
          <w:bCs w:val="0"/>
          <w:color w:val="auto"/>
          <w:sz w:val="32"/>
          <w:szCs w:val="32"/>
        </w:rPr>
      </w:pPr>
    </w:p>
    <w:p w14:paraId="557CB20A">
      <w:pPr>
        <w:pStyle w:val="5"/>
        <w:rPr>
          <w:rFonts w:hint="default" w:ascii="Times New Roman" w:hAnsi="Times New Roman" w:eastAsia="仿宋_GB2312" w:cs="Times New Roman"/>
          <w:b w:val="0"/>
          <w:bCs w:val="0"/>
          <w:color w:val="auto"/>
          <w:sz w:val="32"/>
          <w:szCs w:val="32"/>
        </w:rPr>
      </w:pPr>
    </w:p>
    <w:p w14:paraId="1910E25F">
      <w:pPr>
        <w:pStyle w:val="5"/>
        <w:rPr>
          <w:rFonts w:hint="default" w:ascii="Times New Roman" w:hAnsi="Times New Roman" w:eastAsia="仿宋_GB2312" w:cs="Times New Roman"/>
          <w:b w:val="0"/>
          <w:bCs w:val="0"/>
          <w:color w:val="auto"/>
          <w:sz w:val="32"/>
          <w:szCs w:val="32"/>
        </w:rPr>
      </w:pPr>
    </w:p>
    <w:p w14:paraId="4B8ECBF7">
      <w:pPr>
        <w:pStyle w:val="5"/>
        <w:rPr>
          <w:rFonts w:hint="default" w:ascii="Times New Roman" w:hAnsi="Times New Roman" w:eastAsia="仿宋_GB2312" w:cs="Times New Roman"/>
          <w:b w:val="0"/>
          <w:bCs w:val="0"/>
          <w:color w:val="auto"/>
          <w:sz w:val="32"/>
          <w:szCs w:val="32"/>
        </w:rPr>
      </w:pPr>
    </w:p>
    <w:p w14:paraId="61F9C1A9">
      <w:pPr>
        <w:ind w:firstLine="0" w:firstLineChars="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1</w:t>
      </w:r>
    </w:p>
    <w:p w14:paraId="75B432DC">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乙类检验机构核准项目</w:t>
      </w:r>
    </w:p>
    <w:tbl>
      <w:tblPr>
        <w:tblStyle w:val="11"/>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92"/>
        <w:gridCol w:w="823"/>
        <w:gridCol w:w="930"/>
        <w:gridCol w:w="6195"/>
      </w:tblGrid>
      <w:tr w14:paraId="1D13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5" w:hRule="atLeast"/>
          <w:jc w:val="center"/>
        </w:trPr>
        <w:tc>
          <w:tcPr>
            <w:tcW w:w="992" w:type="dxa"/>
            <w:tcBorders>
              <w:top w:val="single" w:color="auto" w:sz="6" w:space="0"/>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1DCD32B8">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序号</w:t>
            </w:r>
          </w:p>
        </w:tc>
        <w:tc>
          <w:tcPr>
            <w:tcW w:w="1753" w:type="dxa"/>
            <w:gridSpan w:val="2"/>
            <w:tcBorders>
              <w:top w:val="single" w:color="auto" w:sz="6" w:space="0"/>
              <w:left w:val="nil"/>
              <w:bottom w:val="single" w:color="auto" w:sz="6" w:space="0"/>
              <w:right w:val="single" w:color="auto" w:sz="6" w:space="0"/>
            </w:tcBorders>
            <w:shd w:val="clear" w:color="auto" w:fill="FFFFFF"/>
            <w:noWrap w:val="0"/>
            <w:tcMar>
              <w:left w:w="30" w:type="dxa"/>
              <w:right w:w="30" w:type="dxa"/>
            </w:tcMar>
            <w:vAlign w:val="center"/>
          </w:tcPr>
          <w:p w14:paraId="2AC33CC7">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核准项目代码</w:t>
            </w:r>
          </w:p>
        </w:tc>
        <w:tc>
          <w:tcPr>
            <w:tcW w:w="6195" w:type="dxa"/>
            <w:tcBorders>
              <w:top w:val="single" w:color="auto" w:sz="6" w:space="0"/>
              <w:left w:val="nil"/>
              <w:bottom w:val="single" w:color="auto" w:sz="6" w:space="0"/>
              <w:right w:val="single" w:color="auto" w:sz="6" w:space="0"/>
            </w:tcBorders>
            <w:shd w:val="clear" w:color="auto" w:fill="FFFFFF"/>
            <w:noWrap w:val="0"/>
            <w:tcMar>
              <w:left w:w="30" w:type="dxa"/>
              <w:right w:w="30" w:type="dxa"/>
            </w:tcMar>
            <w:vAlign w:val="center"/>
          </w:tcPr>
          <w:p w14:paraId="09147034">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核准项目</w:t>
            </w:r>
          </w:p>
        </w:tc>
      </w:tr>
      <w:tr w14:paraId="6CE7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92" w:type="dxa"/>
            <w:vMerge w:val="restart"/>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1DDCE771">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w:t>
            </w:r>
          </w:p>
        </w:tc>
        <w:tc>
          <w:tcPr>
            <w:tcW w:w="823" w:type="dxa"/>
            <w:vMerge w:val="restart"/>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4E14A23">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BJ</w:t>
            </w: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AE09A40">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Ⅰ</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8235494">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监督检验:热水锅炉、有机热载体锅炉及额定工作压力小于或者等于9.8MPa的蒸汽锅炉制造、安装（含重大修理、改造）和化学清洗</w:t>
            </w:r>
          </w:p>
        </w:tc>
      </w:tr>
      <w:tr w14:paraId="2313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4D846882">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25DDF0A">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8D5BD47">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Ⅱ</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9B7C098">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监督检验：热水锅炉、有机热载体锅炉及额定工作压力小于或者等于2.5MPa的蒸汽锅炉制造、安装（含重大修理、改造）和化学清洗</w:t>
            </w:r>
          </w:p>
        </w:tc>
      </w:tr>
      <w:tr w14:paraId="09F1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358D2668">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20DC88C">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7610588">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Ⅲ</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8707807">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监督检验：除超高压容器、大型高压容器之外的固定式压力容器制造</w:t>
            </w:r>
          </w:p>
        </w:tc>
      </w:tr>
      <w:tr w14:paraId="1102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68AA0114">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02064D2">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6198C2D">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Ⅳ</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CE5AFED">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监督检验：压力容器安装、重大修理、改造</w:t>
            </w:r>
          </w:p>
        </w:tc>
      </w:tr>
      <w:tr w14:paraId="2D99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4AF917CF">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0367184">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3577333">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Ⅴ</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F947652">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监督检验：气瓶制造</w:t>
            </w:r>
          </w:p>
        </w:tc>
      </w:tr>
      <w:tr w14:paraId="36EF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44CAF9F5">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CC9D567">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143067F">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Ⅵ</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7CE9857">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监督检验：压力管道元件制造</w:t>
            </w:r>
          </w:p>
        </w:tc>
      </w:tr>
      <w:tr w14:paraId="134B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C64B76D">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A788F86">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741BA07">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Ⅶ</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926EE2D">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监督检验：公用管道、工业管道安装（含重大修理、改造）</w:t>
            </w:r>
          </w:p>
        </w:tc>
      </w:tr>
      <w:tr w14:paraId="1B2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0AB9DD74">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AA7CE3D">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E0BD02E">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Ⅷ</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6053337">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监督检验：电梯安装（含重大修理、改造）</w:t>
            </w:r>
          </w:p>
        </w:tc>
      </w:tr>
      <w:tr w14:paraId="710D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3AA36E20">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32B9E2C">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E0BA3F0">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Ⅸ</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DB986E2">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监督检验：起重机械安装（含重大修理、改造）</w:t>
            </w:r>
          </w:p>
        </w:tc>
      </w:tr>
      <w:tr w14:paraId="6E5B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992" w:type="dxa"/>
            <w:vMerge w:val="restart"/>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446BBDC9">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w:t>
            </w:r>
          </w:p>
        </w:tc>
        <w:tc>
          <w:tcPr>
            <w:tcW w:w="823" w:type="dxa"/>
            <w:vMerge w:val="restart"/>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0DBBFC8">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BD</w:t>
            </w: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7DCECC4">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Ⅰ</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9940323">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定期检验及相应水（介）质检验：热水锅炉、有机热载体锅炉及额定工作压力小于或者等于9.8MPa的蒸汽锅炉</w:t>
            </w:r>
          </w:p>
        </w:tc>
      </w:tr>
      <w:tr w14:paraId="3D4F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25DBB1A9">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8A6431C">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8372A08">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Ⅱ</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4704024">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定期检验及相应水（介）质检验：热水锅炉、有机热载体锅炉及额定工作压力小于或者等于2.5MPa的蒸汽锅炉</w:t>
            </w:r>
          </w:p>
        </w:tc>
      </w:tr>
      <w:tr w14:paraId="5BF8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7CAA12F">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A06EFCA">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4E8007B">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Ⅲ</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E3D2309">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定期检验：第一、二、三类固定式压力容器（不含超高压容器、大型高压容器、球形储罐）、氧舱</w:t>
            </w:r>
          </w:p>
        </w:tc>
      </w:tr>
      <w:tr w14:paraId="0294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4D5B3595">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9648070">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CA1641A">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Ⅳ</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77517BB">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定期检验：第一、二类固定式压力容器（不含球形储罐）</w:t>
            </w:r>
          </w:p>
        </w:tc>
      </w:tr>
      <w:tr w14:paraId="7088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6B3386C">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EEF3CE9">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D2727CD">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Ⅴ</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CF02C38">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定期检验：汽车罐车、罐式集装箱</w:t>
            </w:r>
          </w:p>
        </w:tc>
      </w:tr>
      <w:tr w14:paraId="2FE5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6482C2D0">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627E097">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A280B84">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Ⅵ</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FD12398">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定期检验：工业管道</w:t>
            </w:r>
          </w:p>
        </w:tc>
      </w:tr>
      <w:tr w14:paraId="135C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2DFB4D88">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0D647C0">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86C8165">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Ⅶ</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8764C49">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定期检验：电梯</w:t>
            </w:r>
          </w:p>
        </w:tc>
      </w:tr>
      <w:tr w14:paraId="6D55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6E497684">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F20328C">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50F1576">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Ⅷ</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5E618CB">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定期检验：起重机械</w:t>
            </w:r>
          </w:p>
        </w:tc>
      </w:tr>
      <w:tr w14:paraId="0B9A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92"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5B6AE8E9">
            <w:pPr>
              <w:jc w:val="center"/>
              <w:rPr>
                <w:rFonts w:hint="eastAsia" w:ascii="仿宋_GB2312" w:hAnsi="仿宋_GB2312" w:eastAsia="仿宋_GB2312" w:cs="仿宋_GB2312"/>
                <w:b w:val="0"/>
                <w:bCs w:val="0"/>
                <w:color w:val="auto"/>
                <w:sz w:val="21"/>
                <w:szCs w:val="21"/>
              </w:rPr>
            </w:pPr>
          </w:p>
        </w:tc>
        <w:tc>
          <w:tcPr>
            <w:tcW w:w="823"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8FFAB2E">
            <w:pPr>
              <w:jc w:val="center"/>
              <w:rPr>
                <w:rFonts w:hint="eastAsia" w:ascii="仿宋_GB2312" w:hAnsi="仿宋_GB2312" w:eastAsia="仿宋_GB2312" w:cs="仿宋_GB2312"/>
                <w:b w:val="0"/>
                <w:bCs w:val="0"/>
                <w:color w:val="auto"/>
                <w:sz w:val="21"/>
                <w:szCs w:val="21"/>
              </w:rPr>
            </w:pPr>
          </w:p>
        </w:tc>
        <w:tc>
          <w:tcPr>
            <w:tcW w:w="930"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373871E">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Ⅸ</w:t>
            </w:r>
          </w:p>
        </w:tc>
        <w:tc>
          <w:tcPr>
            <w:tcW w:w="619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F38F0D7">
            <w:pPr>
              <w:ind w:firstLine="420" w:firstLineChars="2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定期检验：场（厂）内专用机动车辆</w:t>
            </w:r>
          </w:p>
        </w:tc>
      </w:tr>
    </w:tbl>
    <w:p w14:paraId="197D598C">
      <w:pPr>
        <w:rPr>
          <w:rFonts w:hint="default" w:ascii="Times New Roman" w:hAnsi="Times New Roman" w:eastAsia="仿宋_GB2312" w:cs="Times New Roman"/>
          <w:b w:val="0"/>
          <w:bCs w:val="0"/>
          <w:color w:val="auto"/>
          <w:sz w:val="32"/>
          <w:szCs w:val="32"/>
        </w:rPr>
        <w:sectPr>
          <w:headerReference r:id="rId3" w:type="default"/>
          <w:footerReference r:id="rId4" w:type="default"/>
          <w:pgSz w:w="11906" w:h="16838"/>
          <w:pgMar w:top="1962" w:right="1474" w:bottom="1848" w:left="1587" w:header="851" w:footer="709" w:gutter="0"/>
          <w:pgNumType w:fmt="decimal"/>
          <w:cols w:space="0" w:num="1"/>
          <w:rtlGutter w:val="0"/>
          <w:docGrid w:type="lines" w:linePitch="318" w:charSpace="0"/>
        </w:sectPr>
      </w:pPr>
    </w:p>
    <w:p w14:paraId="331DF61F">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2</w:t>
      </w:r>
    </w:p>
    <w:p w14:paraId="7B68F2E1">
      <w:pPr>
        <w:jc w:val="center"/>
        <w:rPr>
          <w:rFonts w:hint="eastAsia" w:ascii="方正小标宋_GBK" w:hAnsi="方正小标宋_GBK" w:eastAsia="方正小标宋_GBK" w:cs="方正小标宋_GBK"/>
          <w:b w:val="0"/>
          <w:bCs w:val="0"/>
          <w:color w:val="auto"/>
          <w:sz w:val="44"/>
          <w:szCs w:val="44"/>
        </w:rPr>
      </w:pPr>
      <w:r>
        <w:rPr>
          <w:rFonts w:hint="eastAsia" w:ascii="宋体" w:hAnsi="宋体" w:eastAsia="宋体" w:cs="宋体"/>
          <w:b/>
          <w:bCs/>
          <w:color w:val="auto"/>
          <w:sz w:val="44"/>
          <w:szCs w:val="44"/>
        </w:rPr>
        <w:t>乙类检验机构人员及检验设备要求</w:t>
      </w:r>
    </w:p>
    <w:tbl>
      <w:tblPr>
        <w:tblStyle w:val="11"/>
        <w:tblW w:w="97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38"/>
        <w:gridCol w:w="388"/>
        <w:gridCol w:w="427"/>
        <w:gridCol w:w="4955"/>
        <w:gridCol w:w="3621"/>
      </w:tblGrid>
      <w:tr w14:paraId="6586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1" w:hRule="atLeast"/>
          <w:tblHeader/>
          <w:jc w:val="center"/>
        </w:trPr>
        <w:tc>
          <w:tcPr>
            <w:tcW w:w="338" w:type="dxa"/>
            <w:tcBorders>
              <w:top w:val="single" w:color="auto" w:sz="6" w:space="0"/>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0C03D68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序号</w:t>
            </w:r>
          </w:p>
        </w:tc>
        <w:tc>
          <w:tcPr>
            <w:tcW w:w="815" w:type="dxa"/>
            <w:gridSpan w:val="2"/>
            <w:tcBorders>
              <w:top w:val="single" w:color="auto" w:sz="6" w:space="0"/>
              <w:left w:val="nil"/>
              <w:bottom w:val="single" w:color="auto" w:sz="6" w:space="0"/>
              <w:right w:val="single" w:color="auto" w:sz="6" w:space="0"/>
            </w:tcBorders>
            <w:shd w:val="clear" w:color="auto" w:fill="FFFFFF"/>
            <w:noWrap w:val="0"/>
            <w:tcMar>
              <w:left w:w="30" w:type="dxa"/>
              <w:right w:w="30" w:type="dxa"/>
            </w:tcMar>
            <w:vAlign w:val="center"/>
          </w:tcPr>
          <w:p w14:paraId="5D0D0C4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核准项目代码</w:t>
            </w:r>
          </w:p>
        </w:tc>
        <w:tc>
          <w:tcPr>
            <w:tcW w:w="4955" w:type="dxa"/>
            <w:tcBorders>
              <w:top w:val="single" w:color="auto" w:sz="6" w:space="0"/>
              <w:left w:val="nil"/>
              <w:bottom w:val="single" w:color="auto" w:sz="6" w:space="0"/>
              <w:right w:val="single" w:color="auto" w:sz="6" w:space="0"/>
            </w:tcBorders>
            <w:shd w:val="clear" w:color="auto" w:fill="FFFFFF"/>
            <w:noWrap w:val="0"/>
            <w:tcMar>
              <w:left w:w="30" w:type="dxa"/>
              <w:right w:w="30" w:type="dxa"/>
            </w:tcMar>
            <w:vAlign w:val="center"/>
          </w:tcPr>
          <w:p w14:paraId="7E1D27A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人员配备</w:t>
            </w:r>
          </w:p>
        </w:tc>
        <w:tc>
          <w:tcPr>
            <w:tcW w:w="3621" w:type="dxa"/>
            <w:tcBorders>
              <w:top w:val="single" w:color="auto" w:sz="6" w:space="0"/>
              <w:left w:val="nil"/>
              <w:bottom w:val="single" w:color="auto" w:sz="6" w:space="0"/>
              <w:right w:val="single" w:color="auto" w:sz="6" w:space="0"/>
            </w:tcBorders>
            <w:shd w:val="clear" w:color="auto" w:fill="FFFFFF"/>
            <w:noWrap w:val="0"/>
            <w:tcMar>
              <w:left w:w="30" w:type="dxa"/>
              <w:right w:w="30" w:type="dxa"/>
            </w:tcMar>
            <w:vAlign w:val="center"/>
          </w:tcPr>
          <w:p w14:paraId="73C936B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检验设备配置</w:t>
            </w:r>
          </w:p>
        </w:tc>
      </w:tr>
      <w:tr w14:paraId="1B04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jc w:val="center"/>
        </w:trPr>
        <w:tc>
          <w:tcPr>
            <w:tcW w:w="338" w:type="dxa"/>
            <w:vMerge w:val="restart"/>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5D08132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1</w:t>
            </w:r>
          </w:p>
        </w:tc>
        <w:tc>
          <w:tcPr>
            <w:tcW w:w="388" w:type="dxa"/>
            <w:vMerge w:val="restart"/>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8164F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BJ</w:t>
            </w: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A5CEAF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Ⅰ</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662100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1.锅炉检验师不少于6名；</w:t>
            </w:r>
          </w:p>
          <w:p w14:paraId="0BFFA63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2.锅炉检验员不少于7名；</w:t>
            </w:r>
          </w:p>
          <w:p w14:paraId="457133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3.Ⅲ级RT或者UT、MT或者PT无损检测人员各1人项，Ⅱ级RT、UT、MT、PT无损检测人员不少于各2人项；</w:t>
            </w:r>
          </w:p>
          <w:p w14:paraId="18D9F3E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4.锅炉水（介）质检验师不少于1名，锅炉水（介）质检验员不少于1名；</w:t>
            </w:r>
          </w:p>
          <w:p w14:paraId="263B3D5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5.材料类、能源动力类大专以上专业技术人员不少于1名。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FAFCBE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eastAsia="zh-CN"/>
              </w:rPr>
            </w:pPr>
            <w:r>
              <w:rPr>
                <w:rFonts w:hint="eastAsia" w:ascii="仿宋_GB2312" w:hAnsi="仿宋_GB2312" w:eastAsia="仿宋_GB2312" w:cs="仿宋_GB2312"/>
                <w:b w:val="0"/>
                <w:bCs w:val="0"/>
                <w:color w:val="auto"/>
                <w:kern w:val="21"/>
                <w:sz w:val="21"/>
                <w:szCs w:val="21"/>
              </w:rPr>
              <w:t>承压类基本配置（设备见注1，下同）</w:t>
            </w:r>
            <w:r>
              <w:rPr>
                <w:rFonts w:hint="eastAsia" w:ascii="仿宋_GB2312" w:hAnsi="仿宋_GB2312" w:eastAsia="仿宋_GB2312" w:cs="仿宋_GB2312"/>
                <w:b w:val="0"/>
                <w:bCs w:val="0"/>
                <w:color w:val="auto"/>
                <w:kern w:val="21"/>
                <w:sz w:val="21"/>
                <w:szCs w:val="21"/>
                <w:lang w:eastAsia="zh-CN"/>
              </w:rPr>
              <w:t>。</w:t>
            </w:r>
          </w:p>
          <w:p w14:paraId="1F167F8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若国家新颁布实施的检验检测安全技术规范关于检验检测人员、检验检测设备等有新规定的，从其新规定（下同）。</w:t>
            </w:r>
          </w:p>
        </w:tc>
      </w:tr>
      <w:tr w14:paraId="3177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8"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325E8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3AA09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533D8F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Ⅱ</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CDB7FE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1.锅炉检验师不少于2名；</w:t>
            </w:r>
          </w:p>
          <w:p w14:paraId="6CC1CD6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2.锅炉检验员不少于4名；</w:t>
            </w:r>
          </w:p>
          <w:p w14:paraId="0647E1F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3.Ⅱ级RT、UT、MT、PT无损检测人员不少于各1人项；</w:t>
            </w:r>
          </w:p>
          <w:p w14:paraId="6AB2C74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4.锅炉水（介）质检验员不少于2名；</w:t>
            </w:r>
          </w:p>
          <w:p w14:paraId="096B178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eastAsia="zh-CN"/>
              </w:rPr>
            </w:pPr>
            <w:r>
              <w:rPr>
                <w:rFonts w:hint="eastAsia" w:ascii="仿宋_GB2312" w:hAnsi="仿宋_GB2312" w:eastAsia="仿宋_GB2312" w:cs="仿宋_GB2312"/>
                <w:b w:val="0"/>
                <w:bCs w:val="0"/>
                <w:color w:val="auto"/>
                <w:kern w:val="21"/>
                <w:sz w:val="21"/>
                <w:szCs w:val="21"/>
                <w:lang w:val="en-US" w:eastAsia="zh-CN"/>
              </w:rPr>
              <w:t>5.材料类、能源动力类大专以上专业技术人员不少于1名。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60BD83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承压类基本配置</w:t>
            </w:r>
          </w:p>
        </w:tc>
      </w:tr>
      <w:tr w14:paraId="35A1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CD0D1C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01D932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1EBC0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Ⅲ</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6B3360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1.压力容器检验师不少于6名；</w:t>
            </w:r>
          </w:p>
          <w:p w14:paraId="52B7967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2.压力容器检验员不少于7名；</w:t>
            </w:r>
          </w:p>
          <w:p w14:paraId="576698C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3.Ⅲ级RT或者UT、MT或者PT无损检测人员各1人项，Ⅱ级RT、UT、MT、PT无损检测人员不少于各2人项；</w:t>
            </w:r>
          </w:p>
          <w:p w14:paraId="57D64513">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eastAsia="zh-CN"/>
              </w:rPr>
            </w:pPr>
            <w:r>
              <w:rPr>
                <w:rFonts w:hint="eastAsia" w:ascii="仿宋_GB2312" w:hAnsi="仿宋_GB2312" w:eastAsia="仿宋_GB2312" w:cs="仿宋_GB2312"/>
                <w:b w:val="0"/>
                <w:bCs w:val="0"/>
                <w:color w:val="auto"/>
                <w:kern w:val="21"/>
                <w:sz w:val="21"/>
                <w:szCs w:val="21"/>
                <w:lang w:val="en-US" w:eastAsia="zh-CN"/>
              </w:rPr>
              <w:t>4.材料类、机械类大专以上专业技术人员不少于1名。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AFB460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承压类基本配置</w:t>
            </w:r>
          </w:p>
        </w:tc>
      </w:tr>
      <w:tr w14:paraId="2C26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1EB5E5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2BB75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2CF3F2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Ⅳ</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8BB89E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1.压力容器检验师不少于2名；</w:t>
            </w:r>
          </w:p>
          <w:p w14:paraId="383E09D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2.压力容器检验员不少于6名；</w:t>
            </w:r>
          </w:p>
          <w:p w14:paraId="300AA07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3.Ⅱ级RT、UT、MT、PT无损检测人员不少于各2人项；</w:t>
            </w:r>
          </w:p>
          <w:p w14:paraId="2E43D29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eastAsia="zh-CN"/>
              </w:rPr>
            </w:pPr>
            <w:r>
              <w:rPr>
                <w:rFonts w:hint="eastAsia" w:ascii="仿宋_GB2312" w:hAnsi="仿宋_GB2312" w:eastAsia="仿宋_GB2312" w:cs="仿宋_GB2312"/>
                <w:b w:val="0"/>
                <w:bCs w:val="0"/>
                <w:color w:val="auto"/>
                <w:kern w:val="21"/>
                <w:sz w:val="21"/>
                <w:szCs w:val="21"/>
                <w:lang w:val="en-US" w:eastAsia="zh-CN"/>
              </w:rPr>
              <w:t>4.材料类、机械类大专以上专业技术人员不少于1名。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D10CF0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承压类基本配置</w:t>
            </w:r>
          </w:p>
        </w:tc>
      </w:tr>
      <w:tr w14:paraId="5C5B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5424F8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6D07D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84605C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Ⅴ</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CF6DCF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1.压力容器检验师不少于4名；</w:t>
            </w:r>
          </w:p>
          <w:p w14:paraId="3EACF08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2.气瓶检验员不少于6名；</w:t>
            </w:r>
          </w:p>
          <w:p w14:paraId="7D6E3D9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3.Ⅲ级RT或者UT、MT或者PT无损检测人员各1人项，Ⅱ级RT、UT、MT、PT无损检测人员不少于各2人项；</w:t>
            </w:r>
          </w:p>
          <w:p w14:paraId="4ECF02D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eastAsia="zh-CN"/>
              </w:rPr>
            </w:pPr>
            <w:r>
              <w:rPr>
                <w:rFonts w:hint="eastAsia" w:ascii="仿宋_GB2312" w:hAnsi="仿宋_GB2312" w:eastAsia="仿宋_GB2312" w:cs="仿宋_GB2312"/>
                <w:b w:val="0"/>
                <w:bCs w:val="0"/>
                <w:color w:val="auto"/>
                <w:kern w:val="21"/>
                <w:sz w:val="21"/>
                <w:szCs w:val="21"/>
                <w:lang w:val="en-US" w:eastAsia="zh-CN"/>
              </w:rPr>
              <w:t>4.材料类、机械类大专以上专业技术人员不少于1名。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D901EE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承压类基本配置</w:t>
            </w:r>
          </w:p>
        </w:tc>
      </w:tr>
      <w:tr w14:paraId="62B2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4"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57FA65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D0B134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24D90B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Ⅵ</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0A6CCA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1.压力管道检验师不少于3名；</w:t>
            </w:r>
          </w:p>
          <w:p w14:paraId="6240958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2.压力管道检验员不少于6名；</w:t>
            </w:r>
          </w:p>
          <w:p w14:paraId="17C6340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3.Ⅱ级RT、UT、MT、PT无损检测人员不少于各2人项；</w:t>
            </w:r>
          </w:p>
          <w:p w14:paraId="6091F4F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eastAsia="zh-CN"/>
              </w:rPr>
            </w:pPr>
            <w:r>
              <w:rPr>
                <w:rFonts w:hint="eastAsia" w:ascii="仿宋_GB2312" w:hAnsi="仿宋_GB2312" w:eastAsia="仿宋_GB2312" w:cs="仿宋_GB2312"/>
                <w:b w:val="0"/>
                <w:bCs w:val="0"/>
                <w:color w:val="auto"/>
                <w:kern w:val="21"/>
                <w:sz w:val="21"/>
                <w:szCs w:val="21"/>
                <w:lang w:val="en-US" w:eastAsia="zh-CN"/>
              </w:rPr>
              <w:t>4.材料类、机械类大专以上专业技术人员不少于1名。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0B2CDA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承压类基本配置</w:t>
            </w:r>
          </w:p>
        </w:tc>
      </w:tr>
      <w:tr w14:paraId="6AB8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1"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379F59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95D257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977058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Ⅶ</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825DD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1.压力管道检验师不少于3名；</w:t>
            </w:r>
          </w:p>
          <w:p w14:paraId="7F4EB8D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2.压力管道检验员不少于5名；</w:t>
            </w:r>
          </w:p>
          <w:p w14:paraId="465B682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3.Ⅱ级RT、UT、MT、PT无损检测人员不少于各2人项；</w:t>
            </w:r>
          </w:p>
          <w:p w14:paraId="56EFBA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eastAsia="zh-CN"/>
              </w:rPr>
            </w:pPr>
            <w:r>
              <w:rPr>
                <w:rFonts w:hint="eastAsia" w:ascii="仿宋_GB2312" w:hAnsi="仿宋_GB2312" w:eastAsia="仿宋_GB2312" w:cs="仿宋_GB2312"/>
                <w:b w:val="0"/>
                <w:bCs w:val="0"/>
                <w:color w:val="auto"/>
                <w:kern w:val="21"/>
                <w:sz w:val="21"/>
                <w:szCs w:val="21"/>
                <w:lang w:val="en-US" w:eastAsia="zh-CN"/>
              </w:rPr>
              <w:t>4.材料类、焊接类大专以上专业技术人员不少于1名。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5761B1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承压类基本配置</w:t>
            </w:r>
          </w:p>
        </w:tc>
      </w:tr>
      <w:tr w14:paraId="36B4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1B7C718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5F1D6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5D4EA4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Ⅷ</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78390F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1.电梯检验师不少于2名；</w:t>
            </w:r>
          </w:p>
          <w:p w14:paraId="1A27D60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2.电梯检验员不少于6名；</w:t>
            </w:r>
          </w:p>
          <w:p w14:paraId="7E21BBC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3.机械类、电气类大专以上专业技术人员不少于1名。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A907C9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除机电类基本配置</w:t>
            </w:r>
            <w:r>
              <w:rPr>
                <w:rFonts w:hint="eastAsia" w:ascii="仿宋_GB2312" w:hAnsi="仿宋_GB2312" w:eastAsia="仿宋_GB2312" w:cs="仿宋_GB2312"/>
                <w:b w:val="0"/>
                <w:bCs w:val="0"/>
                <w:color w:val="auto"/>
                <w:kern w:val="21"/>
                <w:sz w:val="21"/>
                <w:szCs w:val="21"/>
                <w:lang w:eastAsia="zh-CN"/>
              </w:rPr>
              <w:t>（设备见注</w:t>
            </w:r>
            <w:r>
              <w:rPr>
                <w:rFonts w:hint="eastAsia" w:ascii="仿宋_GB2312" w:hAnsi="仿宋_GB2312" w:eastAsia="仿宋_GB2312" w:cs="仿宋_GB2312"/>
                <w:b w:val="0"/>
                <w:bCs w:val="0"/>
                <w:color w:val="auto"/>
                <w:kern w:val="21"/>
                <w:sz w:val="21"/>
                <w:szCs w:val="21"/>
                <w:lang w:val="en-US" w:eastAsia="zh-CN"/>
              </w:rPr>
              <w:t>2、下同</w:t>
            </w:r>
            <w:r>
              <w:rPr>
                <w:rFonts w:hint="eastAsia" w:ascii="仿宋_GB2312" w:hAnsi="仿宋_GB2312" w:eastAsia="仿宋_GB2312" w:cs="仿宋_GB2312"/>
                <w:b w:val="0"/>
                <w:bCs w:val="0"/>
                <w:color w:val="auto"/>
                <w:kern w:val="21"/>
                <w:sz w:val="21"/>
                <w:szCs w:val="21"/>
                <w:lang w:eastAsia="zh-CN"/>
              </w:rPr>
              <w:t>）</w:t>
            </w:r>
            <w:r>
              <w:rPr>
                <w:rFonts w:hint="eastAsia" w:ascii="仿宋_GB2312" w:hAnsi="仿宋_GB2312" w:eastAsia="仿宋_GB2312" w:cs="仿宋_GB2312"/>
                <w:b w:val="0"/>
                <w:bCs w:val="0"/>
                <w:color w:val="auto"/>
                <w:kern w:val="21"/>
                <w:sz w:val="21"/>
                <w:szCs w:val="21"/>
              </w:rPr>
              <w:t>，还应当配置：照度计5台；温湿度计5台；限速器动作速度测试设备</w:t>
            </w:r>
            <w:r>
              <w:rPr>
                <w:rFonts w:hint="eastAsia" w:ascii="仿宋_GB2312" w:hAnsi="仿宋_GB2312" w:eastAsia="仿宋_GB2312" w:cs="仿宋_GB2312"/>
                <w:b w:val="0"/>
                <w:bCs w:val="0"/>
                <w:color w:val="auto"/>
                <w:kern w:val="21"/>
                <w:sz w:val="21"/>
                <w:szCs w:val="21"/>
                <w:lang w:val="en-US" w:eastAsia="zh-CN"/>
              </w:rPr>
              <w:t>2</w:t>
            </w:r>
            <w:r>
              <w:rPr>
                <w:rFonts w:hint="eastAsia" w:ascii="仿宋_GB2312" w:hAnsi="仿宋_GB2312" w:eastAsia="仿宋_GB2312" w:cs="仿宋_GB2312"/>
                <w:b w:val="0"/>
                <w:bCs w:val="0"/>
                <w:color w:val="auto"/>
                <w:kern w:val="21"/>
                <w:sz w:val="21"/>
                <w:szCs w:val="21"/>
              </w:rPr>
              <w:t>台</w:t>
            </w:r>
            <w:r>
              <w:rPr>
                <w:rFonts w:hint="eastAsia" w:ascii="仿宋_GB2312" w:hAnsi="仿宋_GB2312" w:eastAsia="仿宋_GB2312" w:cs="仿宋_GB2312"/>
                <w:b w:val="0"/>
                <w:bCs w:val="0"/>
                <w:color w:val="auto"/>
                <w:kern w:val="21"/>
                <w:sz w:val="21"/>
                <w:szCs w:val="21"/>
                <w:lang w:eastAsia="zh-CN"/>
              </w:rPr>
              <w:t>；</w:t>
            </w:r>
            <w:r>
              <w:rPr>
                <w:rFonts w:hint="eastAsia" w:ascii="仿宋_GB2312" w:hAnsi="仿宋_GB2312" w:eastAsia="仿宋_GB2312" w:cs="仿宋_GB2312"/>
                <w:b w:val="0"/>
                <w:bCs w:val="0"/>
                <w:color w:val="auto"/>
                <w:kern w:val="21"/>
                <w:sz w:val="21"/>
                <w:szCs w:val="21"/>
              </w:rPr>
              <w:t>电梯振动及起制动加减速度测量仪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台；导轨垂直度测量仪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w:t>
            </w:r>
            <w:r>
              <w:rPr>
                <w:rFonts w:hint="eastAsia" w:ascii="仿宋_GB2312" w:hAnsi="仿宋_GB2312" w:eastAsia="仿宋_GB2312" w:cs="仿宋_GB2312"/>
                <w:b w:val="0"/>
                <w:bCs w:val="0"/>
                <w:color w:val="auto"/>
                <w:kern w:val="21"/>
                <w:sz w:val="21"/>
                <w:szCs w:val="21"/>
                <w:lang w:eastAsia="zh-CN"/>
              </w:rPr>
              <w:t>。</w:t>
            </w:r>
          </w:p>
        </w:tc>
      </w:tr>
      <w:tr w14:paraId="28EF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5AE084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47B07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1FA47F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Ⅸ</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AA24F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1.起重机械检验师不少于3名；</w:t>
            </w:r>
          </w:p>
          <w:p w14:paraId="38CB52C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2.起重机械检验员不少于5名；</w:t>
            </w:r>
          </w:p>
          <w:p w14:paraId="637CC76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3.Ⅱ级UT、MT无损检测人员不少于各1人项；</w:t>
            </w:r>
          </w:p>
          <w:p w14:paraId="03BD122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4.机械类、电气类大专以上专业技术人员不少于1名。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F51B5C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除机电类基本配置，还应当配置：综合气象仪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台；全站仪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台；制动下滑量测试仪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w:t>
            </w:r>
            <w:r>
              <w:rPr>
                <w:rFonts w:hint="eastAsia" w:ascii="仿宋_GB2312" w:hAnsi="仿宋_GB2312" w:eastAsia="仿宋_GB2312" w:cs="仿宋_GB2312"/>
                <w:b w:val="0"/>
                <w:bCs w:val="0"/>
                <w:color w:val="auto"/>
                <w:kern w:val="21"/>
                <w:sz w:val="21"/>
                <w:szCs w:val="21"/>
                <w:lang w:eastAsia="zh-CN"/>
              </w:rPr>
              <w:t>。</w:t>
            </w:r>
          </w:p>
        </w:tc>
      </w:tr>
      <w:tr w14:paraId="14D2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7" w:hRule="atLeast"/>
          <w:jc w:val="center"/>
        </w:trPr>
        <w:tc>
          <w:tcPr>
            <w:tcW w:w="338" w:type="dxa"/>
            <w:vMerge w:val="restart"/>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5943E2A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2</w:t>
            </w:r>
          </w:p>
        </w:tc>
        <w:tc>
          <w:tcPr>
            <w:tcW w:w="388" w:type="dxa"/>
            <w:vMerge w:val="restart"/>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14D802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BD</w:t>
            </w: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7754B2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Ⅰ</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3BD71AF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1.锅炉检验师不少于6名；</w:t>
            </w:r>
          </w:p>
          <w:p w14:paraId="782749B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2.锅炉检验员不少于8名；</w:t>
            </w:r>
          </w:p>
          <w:p w14:paraId="08A75FB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3.Ⅲ级RT或者UT、MT或者PT无损检测人员各1人项，Ⅱ级RT、UT、MT、PT无损检测人员不少于各2人项；</w:t>
            </w:r>
          </w:p>
          <w:p w14:paraId="6E88741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4.锅炉水（介）质检验师不少于1名，锅炉水（介）质检验员不少于1名；</w:t>
            </w:r>
          </w:p>
          <w:p w14:paraId="1F61E1D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5.材料类、能源动力类大专以上专业技术人员不少于1名。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8B5331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b w:val="0"/>
                <w:bCs w:val="0"/>
                <w:color w:val="auto"/>
                <w:kern w:val="21"/>
                <w:sz w:val="21"/>
                <w:szCs w:val="21"/>
              </w:rPr>
              <w:t>除承压类基本配置外，还应当配置以下或者达到同等要求的设备：高温测厚仪2台；便携式定量光谱仪1台；视频内窥镜1台；可燃气体分析设备2台；测氧仪2台；测温仪2台；分析天平（感量为0.01mg）1台；便携式酸度计（精度0.01pH）1台；便携式电导率仪（带密封流动池的金属电极，精度0.02μs/cm）2台；便携式溶解氧测定仪（μg/L级）2台；原子吸收光谱仪或离子色谱仪1台；紫外、可见分光光度计1台；钠离子（pNa）计（检出限2.3μg/L）、硅酸根测定仪各1台；浊度计1台；含油量分析仪1台；电热干燥箱1台；箱式电子炉（马福炉）1台；药品冷藏设备1台；从事有机热载体检测的，配置残炭测定仪、运动粘度测定仪、闭口闪点测定仪、自动电位滴定仪、卡氏水分测定仪、密度计（精度0.001g/cm3）、蒸馏仪各1台</w:t>
            </w:r>
            <w:r>
              <w:rPr>
                <w:rFonts w:hint="eastAsia" w:ascii="仿宋_GB2312" w:hAnsi="仿宋_GB2312" w:eastAsia="仿宋_GB2312" w:cs="仿宋_GB2312"/>
                <w:b w:val="0"/>
                <w:bCs w:val="0"/>
                <w:color w:val="auto"/>
                <w:kern w:val="21"/>
                <w:sz w:val="21"/>
                <w:szCs w:val="21"/>
                <w:lang w:eastAsia="zh-CN"/>
              </w:rPr>
              <w:t>。</w:t>
            </w:r>
          </w:p>
        </w:tc>
      </w:tr>
      <w:tr w14:paraId="1A85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40"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E62D4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D8452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FB023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Ⅱ</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664CEA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1.锅炉检验师2名；</w:t>
            </w:r>
          </w:p>
          <w:p w14:paraId="189C56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2.锅炉检验员6名；</w:t>
            </w:r>
          </w:p>
          <w:p w14:paraId="091A49D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3.Ⅱ级RT、UT、MT、PT无损检测人员不少于各2人项；</w:t>
            </w:r>
          </w:p>
          <w:p w14:paraId="1D7F40D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4.锅炉水（介）质检验员不少于2名；</w:t>
            </w:r>
          </w:p>
          <w:p w14:paraId="028188C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5.材料类、能源动力类大专以上专业技术人员各不少于1名。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5CFE4A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承压类基本配置外，还应当配置以下或者达到同等要求的设备：高温测厚仪1台；可燃气体分析设备1台；测氧仪1台；测温仪1台；分析天平（感量为0.1mg）1台；便携式酸度计（精度0.01pH）1台；便携式电导率仪（带密封流动池的金属电极，精度0.02μs/cm）1台；便携式溶解氧测定仪（μg/L级）1台；紫外、可见分光光度计1台；浊度计1台；电热干燥箱1台；箱式电子炉（马福炉）1台；药品冷藏设备1台；从事有机热载体检测的，配备残炭测定仪、运动粘度测定仪、闭口闪点测定仪、自动电位滴定仪、卡氏水分测定仪、密度计（精度0.001g/cm3）、蒸馏仪各1台</w:t>
            </w:r>
            <w:r>
              <w:rPr>
                <w:rFonts w:hint="eastAsia" w:ascii="仿宋_GB2312" w:hAnsi="仿宋_GB2312" w:eastAsia="仿宋_GB2312" w:cs="仿宋_GB2312"/>
                <w:b w:val="0"/>
                <w:bCs w:val="0"/>
                <w:color w:val="auto"/>
                <w:kern w:val="21"/>
                <w:sz w:val="21"/>
                <w:szCs w:val="21"/>
                <w:lang w:eastAsia="zh-CN"/>
              </w:rPr>
              <w:t>。</w:t>
            </w:r>
          </w:p>
        </w:tc>
      </w:tr>
      <w:tr w14:paraId="271D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74"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2A669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D3A822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C6E0F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Ⅲ</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9AC1C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1.压力容器检验师不少于6名；</w:t>
            </w:r>
          </w:p>
          <w:p w14:paraId="503EBD0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2.压力容器检验员不少于8名；</w:t>
            </w:r>
          </w:p>
          <w:p w14:paraId="5A453C2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3.Ⅲ级RT或者UT、MT或者PT无损检测人员各1人项，Ⅱ级RT、UT、MT、PT无损检测人员不少于各2人项，Ⅱ级TOFD无损检测人员不少于2人项；</w:t>
            </w:r>
          </w:p>
          <w:p w14:paraId="1740C73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4.材料类、机械类大专以上专业技术人员不少于1名。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DCFBC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除承压类基本配置外，还应当配置以下或者达到同等要求的设备：高温测厚仪</w:t>
            </w:r>
            <w:r>
              <w:rPr>
                <w:rFonts w:hint="eastAsia" w:ascii="仿宋_GB2312" w:hAnsi="仿宋_GB2312" w:eastAsia="仿宋_GB2312" w:cs="仿宋_GB2312"/>
                <w:b w:val="0"/>
                <w:bCs w:val="0"/>
                <w:color w:val="auto"/>
                <w:kern w:val="21"/>
                <w:sz w:val="21"/>
                <w:szCs w:val="21"/>
                <w:lang w:val="en-US" w:eastAsia="zh-CN"/>
              </w:rPr>
              <w:t>2</w:t>
            </w:r>
            <w:r>
              <w:rPr>
                <w:rFonts w:hint="eastAsia" w:ascii="仿宋_GB2312" w:hAnsi="仿宋_GB2312" w:eastAsia="仿宋_GB2312" w:cs="仿宋_GB2312"/>
                <w:b w:val="0"/>
                <w:bCs w:val="0"/>
                <w:color w:val="auto"/>
                <w:kern w:val="21"/>
                <w:sz w:val="21"/>
                <w:szCs w:val="21"/>
              </w:rPr>
              <w:t>台；大于或者等于</w:t>
            </w:r>
            <w:r>
              <w:rPr>
                <w:rFonts w:hint="eastAsia" w:ascii="仿宋_GB2312" w:hAnsi="仿宋_GB2312" w:eastAsia="仿宋_GB2312" w:cs="仿宋_GB2312"/>
                <w:b w:val="0"/>
                <w:bCs w:val="0"/>
                <w:color w:val="auto"/>
                <w:kern w:val="21"/>
                <w:sz w:val="21"/>
                <w:szCs w:val="21"/>
                <w:lang w:val="en-US" w:eastAsia="zh-CN"/>
              </w:rPr>
              <w:t>8</w:t>
            </w:r>
            <w:r>
              <w:rPr>
                <w:rFonts w:hint="eastAsia" w:ascii="仿宋_GB2312" w:hAnsi="仿宋_GB2312" w:eastAsia="仿宋_GB2312" w:cs="仿宋_GB2312"/>
                <w:b w:val="0"/>
                <w:bCs w:val="0"/>
                <w:color w:val="auto"/>
                <w:kern w:val="21"/>
                <w:sz w:val="21"/>
                <w:szCs w:val="21"/>
              </w:rPr>
              <w:t>m视频内窥镜1台；TOFD检测设备1台；测温仪3台；可燃气体分析设备</w:t>
            </w:r>
            <w:r>
              <w:rPr>
                <w:rFonts w:hint="eastAsia" w:ascii="仿宋_GB2312" w:hAnsi="仿宋_GB2312" w:eastAsia="仿宋_GB2312" w:cs="仿宋_GB2312"/>
                <w:b w:val="0"/>
                <w:bCs w:val="0"/>
                <w:color w:val="auto"/>
                <w:kern w:val="21"/>
                <w:sz w:val="21"/>
                <w:szCs w:val="21"/>
                <w:lang w:val="en-US" w:eastAsia="zh-CN"/>
              </w:rPr>
              <w:t>2</w:t>
            </w:r>
            <w:r>
              <w:rPr>
                <w:rFonts w:hint="eastAsia" w:ascii="仿宋_GB2312" w:hAnsi="仿宋_GB2312" w:eastAsia="仿宋_GB2312" w:cs="仿宋_GB2312"/>
                <w:b w:val="0"/>
                <w:bCs w:val="0"/>
                <w:color w:val="auto"/>
                <w:kern w:val="21"/>
                <w:sz w:val="21"/>
                <w:szCs w:val="21"/>
              </w:rPr>
              <w:t>台；测氧仪</w:t>
            </w:r>
            <w:r>
              <w:rPr>
                <w:rFonts w:hint="eastAsia" w:ascii="仿宋_GB2312" w:hAnsi="仿宋_GB2312" w:eastAsia="仿宋_GB2312" w:cs="仿宋_GB2312"/>
                <w:b w:val="0"/>
                <w:bCs w:val="0"/>
                <w:color w:val="auto"/>
                <w:kern w:val="21"/>
                <w:sz w:val="21"/>
                <w:szCs w:val="21"/>
                <w:lang w:val="en-US" w:eastAsia="zh-CN"/>
              </w:rPr>
              <w:t>2</w:t>
            </w:r>
            <w:r>
              <w:rPr>
                <w:rFonts w:hint="eastAsia" w:ascii="仿宋_GB2312" w:hAnsi="仿宋_GB2312" w:eastAsia="仿宋_GB2312" w:cs="仿宋_GB2312"/>
                <w:b w:val="0"/>
                <w:bCs w:val="0"/>
                <w:color w:val="auto"/>
                <w:kern w:val="21"/>
                <w:sz w:val="21"/>
                <w:szCs w:val="21"/>
              </w:rPr>
              <w:t>台；经纬仪1台</w:t>
            </w:r>
            <w:r>
              <w:rPr>
                <w:rFonts w:hint="eastAsia" w:ascii="仿宋_GB2312" w:hAnsi="仿宋_GB2312" w:eastAsia="仿宋_GB2312" w:cs="仿宋_GB2312"/>
                <w:b w:val="0"/>
                <w:bCs w:val="0"/>
                <w:color w:val="auto"/>
                <w:kern w:val="21"/>
                <w:sz w:val="21"/>
                <w:szCs w:val="21"/>
                <w:lang w:eastAsia="zh-CN"/>
              </w:rPr>
              <w:t>。</w:t>
            </w:r>
          </w:p>
        </w:tc>
      </w:tr>
      <w:tr w14:paraId="4C41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461A65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6C0AAB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1A991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Ⅳ</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8B3FD6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1.压力容器检验师不少于2名；</w:t>
            </w:r>
          </w:p>
          <w:p w14:paraId="10C6A5A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2.压力容器检验员不少于6名；</w:t>
            </w:r>
          </w:p>
          <w:p w14:paraId="681757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3.Ⅱ级RT、UT、MT、PT无损检测人员不少于各2人项；</w:t>
            </w:r>
          </w:p>
          <w:p w14:paraId="4005018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4.材料类、机械类大专以上专业技术人员不少于1名。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890F4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除承压类基本配置外，还应当配置以下或者达到同等要求的设备：高温测厚仪2台；大于或者等于5m视频内窥镜1台；测温仪2台；可燃气体分析设备2台；测氧仪2台；经纬仪1台</w:t>
            </w:r>
            <w:r>
              <w:rPr>
                <w:rFonts w:hint="eastAsia" w:ascii="仿宋_GB2312" w:hAnsi="仿宋_GB2312" w:eastAsia="仿宋_GB2312" w:cs="仿宋_GB2312"/>
                <w:b w:val="0"/>
                <w:bCs w:val="0"/>
                <w:color w:val="auto"/>
                <w:kern w:val="21"/>
                <w:sz w:val="21"/>
                <w:szCs w:val="21"/>
                <w:lang w:eastAsia="zh-CN"/>
              </w:rPr>
              <w:t>。</w:t>
            </w:r>
          </w:p>
        </w:tc>
      </w:tr>
      <w:tr w14:paraId="7206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3"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591F4B8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8149C5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DE84C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Ⅴ</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502FB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1.压力容器检验师不少于6名；</w:t>
            </w:r>
          </w:p>
          <w:p w14:paraId="64A8FFE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2.Ⅲ级RT、UT、MT、PT无损检测人员各1人项，Ⅱ级RT、UT、MT、PT无损检测人员不少于各2人项，Ⅱ级TOFD无损检测人员不少于2人项；</w:t>
            </w:r>
          </w:p>
          <w:p w14:paraId="309DD0B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3.安全阀校验人员不少于2名；</w:t>
            </w:r>
          </w:p>
          <w:p w14:paraId="0BF443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4.材料类、机械类大专以上专业技术人员各不少于1名。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27A9F7E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承压类基本配置外，还应当配置以下或者达到同等要求的设备：静电电阻测量仪2台；可燃气体分析设备2台；TOFD检测设备1台；测氧仪2台；耐压试验装置，液压和气压试验装置各1套；残液回收、处理及置换装置（包括蒸汽吹扫）；除锈和喷漆设备；抽真空或充氮置换装置；气密试验装置2套；真空度测试仪器1台；安全阀、紧急切断阀、液面计校验装置各1套</w:t>
            </w:r>
            <w:r>
              <w:rPr>
                <w:rFonts w:hint="eastAsia" w:ascii="仿宋_GB2312" w:hAnsi="仿宋_GB2312" w:eastAsia="仿宋_GB2312" w:cs="仿宋_GB2312"/>
                <w:b w:val="0"/>
                <w:bCs w:val="0"/>
                <w:color w:val="auto"/>
                <w:kern w:val="21"/>
                <w:sz w:val="21"/>
                <w:szCs w:val="21"/>
                <w:lang w:eastAsia="zh-CN"/>
              </w:rPr>
              <w:t>。</w:t>
            </w:r>
          </w:p>
        </w:tc>
      </w:tr>
      <w:tr w14:paraId="6FA5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25DD851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C6774D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DFC05B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Ⅵ</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AFEFE4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1.压力管道检验师不少于2名；</w:t>
            </w:r>
          </w:p>
          <w:p w14:paraId="7982F6E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2.压力管道检验员不少于6名；</w:t>
            </w:r>
          </w:p>
          <w:p w14:paraId="34572D7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3.Ⅱ级RT、UT、MT、PT无损检测人员不少于各2人项；</w:t>
            </w:r>
          </w:p>
          <w:p w14:paraId="42D6052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4.材料类大专以上专业技术人员不少于1名。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B44A3F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除承压类基本配置外还应当配置以下或者达到同等要求的设备：高温测厚仪2台；可燃气体分析设备</w:t>
            </w:r>
            <w:r>
              <w:rPr>
                <w:rFonts w:hint="eastAsia" w:ascii="仿宋_GB2312" w:hAnsi="仿宋_GB2312" w:eastAsia="仿宋_GB2312" w:cs="仿宋_GB2312"/>
                <w:b w:val="0"/>
                <w:bCs w:val="0"/>
                <w:color w:val="auto"/>
                <w:kern w:val="21"/>
                <w:sz w:val="21"/>
                <w:szCs w:val="21"/>
                <w:lang w:val="en-US" w:eastAsia="zh-CN"/>
              </w:rPr>
              <w:t>2</w:t>
            </w:r>
            <w:r>
              <w:rPr>
                <w:rFonts w:hint="eastAsia" w:ascii="仿宋_GB2312" w:hAnsi="仿宋_GB2312" w:eastAsia="仿宋_GB2312" w:cs="仿宋_GB2312"/>
                <w:b w:val="0"/>
                <w:bCs w:val="0"/>
                <w:color w:val="auto"/>
                <w:kern w:val="21"/>
                <w:sz w:val="21"/>
                <w:szCs w:val="21"/>
              </w:rPr>
              <w:t>台；接地电阻测试仪</w:t>
            </w:r>
            <w:r>
              <w:rPr>
                <w:rFonts w:hint="eastAsia" w:ascii="仿宋_GB2312" w:hAnsi="仿宋_GB2312" w:eastAsia="仿宋_GB2312" w:cs="仿宋_GB2312"/>
                <w:b w:val="0"/>
                <w:bCs w:val="0"/>
                <w:color w:val="auto"/>
                <w:kern w:val="21"/>
                <w:sz w:val="21"/>
                <w:szCs w:val="21"/>
                <w:lang w:val="en-US" w:eastAsia="zh-CN"/>
              </w:rPr>
              <w:t>2</w:t>
            </w:r>
            <w:r>
              <w:rPr>
                <w:rFonts w:hint="eastAsia" w:ascii="仿宋_GB2312" w:hAnsi="仿宋_GB2312" w:eastAsia="仿宋_GB2312" w:cs="仿宋_GB2312"/>
                <w:b w:val="0"/>
                <w:bCs w:val="0"/>
                <w:color w:val="auto"/>
                <w:kern w:val="21"/>
                <w:sz w:val="21"/>
                <w:szCs w:val="21"/>
              </w:rPr>
              <w:t>台；静电阻测量仪</w:t>
            </w:r>
            <w:r>
              <w:rPr>
                <w:rFonts w:hint="eastAsia" w:ascii="仿宋_GB2312" w:hAnsi="仿宋_GB2312" w:eastAsia="仿宋_GB2312" w:cs="仿宋_GB2312"/>
                <w:b w:val="0"/>
                <w:bCs w:val="0"/>
                <w:color w:val="auto"/>
                <w:kern w:val="21"/>
                <w:sz w:val="21"/>
                <w:szCs w:val="21"/>
                <w:lang w:val="en-US" w:eastAsia="zh-CN"/>
              </w:rPr>
              <w:t>2</w:t>
            </w:r>
            <w:r>
              <w:rPr>
                <w:rFonts w:hint="eastAsia" w:ascii="仿宋_GB2312" w:hAnsi="仿宋_GB2312" w:eastAsia="仿宋_GB2312" w:cs="仿宋_GB2312"/>
                <w:b w:val="0"/>
                <w:bCs w:val="0"/>
                <w:color w:val="auto"/>
                <w:kern w:val="21"/>
                <w:sz w:val="21"/>
                <w:szCs w:val="21"/>
              </w:rPr>
              <w:t>台</w:t>
            </w:r>
            <w:r>
              <w:rPr>
                <w:rFonts w:hint="eastAsia" w:ascii="仿宋_GB2312" w:hAnsi="仿宋_GB2312" w:eastAsia="仿宋_GB2312" w:cs="仿宋_GB2312"/>
                <w:b w:val="0"/>
                <w:bCs w:val="0"/>
                <w:color w:val="auto"/>
                <w:kern w:val="21"/>
                <w:sz w:val="21"/>
                <w:szCs w:val="21"/>
                <w:lang w:eastAsia="zh-CN"/>
              </w:rPr>
              <w:t>；</w:t>
            </w:r>
            <w:r>
              <w:rPr>
                <w:rFonts w:hint="eastAsia" w:ascii="仿宋_GB2312" w:hAnsi="仿宋_GB2312" w:eastAsia="仿宋_GB2312" w:cs="仿宋_GB2312"/>
                <w:b w:val="0"/>
                <w:bCs w:val="0"/>
                <w:color w:val="auto"/>
                <w:kern w:val="21"/>
                <w:sz w:val="21"/>
                <w:szCs w:val="21"/>
              </w:rPr>
              <w:t>测温仪2台</w:t>
            </w:r>
            <w:r>
              <w:rPr>
                <w:rFonts w:hint="eastAsia" w:ascii="仿宋_GB2312" w:hAnsi="仿宋_GB2312" w:eastAsia="仿宋_GB2312" w:cs="仿宋_GB2312"/>
                <w:b w:val="0"/>
                <w:bCs w:val="0"/>
                <w:color w:val="auto"/>
                <w:kern w:val="21"/>
                <w:sz w:val="21"/>
                <w:szCs w:val="21"/>
                <w:lang w:eastAsia="zh-CN"/>
              </w:rPr>
              <w:t>。</w:t>
            </w:r>
          </w:p>
        </w:tc>
      </w:tr>
      <w:tr w14:paraId="01E8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1"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189D68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50801A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B80A2B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Ⅶ</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9E9838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1.电梯检验师不少于2名；</w:t>
            </w:r>
          </w:p>
          <w:p w14:paraId="359A0CB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2.电梯检验员不少于6名；</w:t>
            </w:r>
          </w:p>
          <w:p w14:paraId="11B0A74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3.机械类、电气类大专以上专业技术人员不少于1名。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15E2C3F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除机电类基本配置，还应当配置以下设备：照度计</w:t>
            </w:r>
            <w:r>
              <w:rPr>
                <w:rFonts w:hint="eastAsia" w:ascii="仿宋_GB2312" w:hAnsi="仿宋_GB2312" w:eastAsia="仿宋_GB2312" w:cs="仿宋_GB2312"/>
                <w:b w:val="0"/>
                <w:bCs w:val="0"/>
                <w:color w:val="auto"/>
                <w:kern w:val="21"/>
                <w:sz w:val="21"/>
                <w:szCs w:val="21"/>
                <w:lang w:val="en-US" w:eastAsia="zh-CN"/>
              </w:rPr>
              <w:t>5</w:t>
            </w:r>
            <w:r>
              <w:rPr>
                <w:rFonts w:hint="eastAsia" w:ascii="仿宋_GB2312" w:hAnsi="仿宋_GB2312" w:eastAsia="仿宋_GB2312" w:cs="仿宋_GB2312"/>
                <w:b w:val="0"/>
                <w:bCs w:val="0"/>
                <w:color w:val="auto"/>
                <w:kern w:val="21"/>
                <w:sz w:val="21"/>
                <w:szCs w:val="21"/>
              </w:rPr>
              <w:t>台；温湿度计</w:t>
            </w:r>
            <w:r>
              <w:rPr>
                <w:rFonts w:hint="eastAsia" w:ascii="仿宋_GB2312" w:hAnsi="仿宋_GB2312" w:eastAsia="仿宋_GB2312" w:cs="仿宋_GB2312"/>
                <w:b w:val="0"/>
                <w:bCs w:val="0"/>
                <w:color w:val="auto"/>
                <w:kern w:val="21"/>
                <w:sz w:val="21"/>
                <w:szCs w:val="21"/>
                <w:lang w:val="en-US" w:eastAsia="zh-CN"/>
              </w:rPr>
              <w:t>5</w:t>
            </w:r>
            <w:r>
              <w:rPr>
                <w:rFonts w:hint="eastAsia" w:ascii="仿宋_GB2312" w:hAnsi="仿宋_GB2312" w:eastAsia="仿宋_GB2312" w:cs="仿宋_GB2312"/>
                <w:b w:val="0"/>
                <w:bCs w:val="0"/>
                <w:color w:val="auto"/>
                <w:kern w:val="21"/>
                <w:sz w:val="21"/>
                <w:szCs w:val="21"/>
              </w:rPr>
              <w:t>台；限速器动作速度测试设备2台；电梯振动及起制动加减速度测量仪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台；导轨垂直度测量仪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w:t>
            </w:r>
            <w:r>
              <w:rPr>
                <w:rFonts w:hint="eastAsia" w:ascii="仿宋_GB2312" w:hAnsi="仿宋_GB2312" w:eastAsia="仿宋_GB2312" w:cs="仿宋_GB2312"/>
                <w:b w:val="0"/>
                <w:bCs w:val="0"/>
                <w:color w:val="auto"/>
                <w:kern w:val="21"/>
                <w:sz w:val="21"/>
                <w:szCs w:val="21"/>
                <w:lang w:eastAsia="zh-CN"/>
              </w:rPr>
              <w:t>。</w:t>
            </w:r>
          </w:p>
        </w:tc>
      </w:tr>
      <w:tr w14:paraId="0AE1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0993DE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72DDDF7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0CDA13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Ⅷ</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10F830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1.起重机械检验师不少于2名；</w:t>
            </w:r>
          </w:p>
          <w:p w14:paraId="2206FF6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2.起重机械检验员不少于5名；</w:t>
            </w:r>
          </w:p>
          <w:p w14:paraId="249C74AC">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3.Ⅱ级UT、MT或者PT无损检测人员不少于各1人项；</w:t>
            </w:r>
          </w:p>
          <w:p w14:paraId="2D9C952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4.机械类、电气类大专以上专业技术人员不少于1名。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4E30DAE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除机电类基本配置，还应当配置</w:t>
            </w:r>
            <w:r>
              <w:rPr>
                <w:rFonts w:hint="eastAsia" w:ascii="仿宋_GB2312" w:hAnsi="仿宋_GB2312" w:eastAsia="仿宋_GB2312" w:cs="仿宋_GB2312"/>
                <w:b w:val="0"/>
                <w:bCs w:val="0"/>
                <w:color w:val="auto"/>
                <w:kern w:val="21"/>
                <w:sz w:val="21"/>
                <w:szCs w:val="21"/>
                <w:lang w:eastAsia="zh-CN"/>
              </w:rPr>
              <w:t>：</w:t>
            </w:r>
            <w:r>
              <w:rPr>
                <w:rFonts w:hint="eastAsia" w:ascii="仿宋_GB2312" w:hAnsi="仿宋_GB2312" w:eastAsia="仿宋_GB2312" w:cs="仿宋_GB2312"/>
                <w:b w:val="0"/>
                <w:bCs w:val="0"/>
                <w:color w:val="auto"/>
                <w:kern w:val="21"/>
                <w:sz w:val="21"/>
                <w:szCs w:val="21"/>
              </w:rPr>
              <w:t>风速仪2台</w:t>
            </w:r>
            <w:r>
              <w:rPr>
                <w:rFonts w:hint="eastAsia" w:ascii="仿宋_GB2312" w:hAnsi="仿宋_GB2312" w:eastAsia="仿宋_GB2312" w:cs="仿宋_GB2312"/>
                <w:b w:val="0"/>
                <w:bCs w:val="0"/>
                <w:color w:val="auto"/>
                <w:kern w:val="21"/>
                <w:sz w:val="21"/>
                <w:szCs w:val="21"/>
                <w:lang w:eastAsia="zh-CN"/>
              </w:rPr>
              <w:t>。</w:t>
            </w:r>
          </w:p>
        </w:tc>
      </w:tr>
      <w:tr w14:paraId="04B8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jc w:val="center"/>
        </w:trPr>
        <w:tc>
          <w:tcPr>
            <w:tcW w:w="338" w:type="dxa"/>
            <w:vMerge w:val="continue"/>
            <w:tcBorders>
              <w:top w:val="nil"/>
              <w:left w:val="single" w:color="auto" w:sz="6" w:space="0"/>
              <w:bottom w:val="single" w:color="auto" w:sz="6" w:space="0"/>
              <w:right w:val="single" w:color="auto" w:sz="6" w:space="0"/>
            </w:tcBorders>
            <w:shd w:val="clear" w:color="auto" w:fill="FFFFFF"/>
            <w:noWrap w:val="0"/>
            <w:tcMar>
              <w:left w:w="30" w:type="dxa"/>
              <w:right w:w="30" w:type="dxa"/>
            </w:tcMar>
            <w:vAlign w:val="center"/>
          </w:tcPr>
          <w:p w14:paraId="73F5F43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388" w:type="dxa"/>
            <w:vMerge w:val="continue"/>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8D22EE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p>
        </w:tc>
        <w:tc>
          <w:tcPr>
            <w:tcW w:w="427"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6382ED4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Ⅸ</w:t>
            </w:r>
          </w:p>
        </w:tc>
        <w:tc>
          <w:tcPr>
            <w:tcW w:w="4955"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0D366C6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lang w:val="en-US" w:eastAsia="zh-CN"/>
              </w:rPr>
            </w:pPr>
            <w:r>
              <w:rPr>
                <w:rFonts w:hint="eastAsia" w:ascii="仿宋_GB2312" w:hAnsi="仿宋_GB2312" w:eastAsia="仿宋_GB2312" w:cs="仿宋_GB2312"/>
                <w:b w:val="0"/>
                <w:bCs w:val="0"/>
                <w:color w:val="auto"/>
                <w:kern w:val="21"/>
                <w:sz w:val="21"/>
                <w:szCs w:val="21"/>
                <w:lang w:val="en-US" w:eastAsia="zh-CN"/>
              </w:rPr>
              <w:t>1.场（厂）内专用机动车辆检验师不少于1名；</w:t>
            </w:r>
          </w:p>
          <w:p w14:paraId="4F024CD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2.场（厂）内专用机动车辆检验员不少于4名。</w:t>
            </w:r>
          </w:p>
        </w:tc>
        <w:tc>
          <w:tcPr>
            <w:tcW w:w="3621" w:type="dxa"/>
            <w:tcBorders>
              <w:top w:val="nil"/>
              <w:left w:val="nil"/>
              <w:bottom w:val="single" w:color="auto" w:sz="6" w:space="0"/>
              <w:right w:val="single" w:color="auto" w:sz="6" w:space="0"/>
            </w:tcBorders>
            <w:shd w:val="clear" w:color="auto" w:fill="FFFFFF"/>
            <w:noWrap w:val="0"/>
            <w:tcMar>
              <w:left w:w="30" w:type="dxa"/>
              <w:right w:w="30" w:type="dxa"/>
            </w:tcMar>
            <w:vAlign w:val="center"/>
          </w:tcPr>
          <w:p w14:paraId="5E506E1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除机电类基本配置，还应当配置</w:t>
            </w:r>
            <w:r>
              <w:rPr>
                <w:rFonts w:hint="eastAsia" w:ascii="仿宋_GB2312" w:hAnsi="仿宋_GB2312" w:eastAsia="仿宋_GB2312" w:cs="仿宋_GB2312"/>
                <w:b w:val="0"/>
                <w:bCs w:val="0"/>
                <w:color w:val="auto"/>
                <w:kern w:val="21"/>
                <w:sz w:val="21"/>
                <w:szCs w:val="21"/>
                <w:lang w:eastAsia="zh-CN"/>
              </w:rPr>
              <w:t>：</w:t>
            </w:r>
            <w:r>
              <w:rPr>
                <w:rFonts w:hint="eastAsia" w:ascii="仿宋_GB2312" w:hAnsi="仿宋_GB2312" w:eastAsia="仿宋_GB2312" w:cs="仿宋_GB2312"/>
                <w:b w:val="0"/>
                <w:bCs w:val="0"/>
                <w:color w:val="auto"/>
                <w:kern w:val="21"/>
                <w:sz w:val="21"/>
                <w:szCs w:val="21"/>
              </w:rPr>
              <w:t>噪声检测仪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台；转向参数测试仪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台；制动性能测试仪</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台；踏板力计</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台</w:t>
            </w:r>
            <w:r>
              <w:rPr>
                <w:rFonts w:hint="eastAsia" w:ascii="仿宋_GB2312" w:hAnsi="仿宋_GB2312" w:eastAsia="仿宋_GB2312" w:cs="仿宋_GB2312"/>
                <w:b w:val="0"/>
                <w:bCs w:val="0"/>
                <w:color w:val="auto"/>
                <w:kern w:val="21"/>
                <w:sz w:val="21"/>
                <w:szCs w:val="21"/>
                <w:lang w:eastAsia="zh-CN"/>
              </w:rPr>
              <w:t>。</w:t>
            </w:r>
          </w:p>
        </w:tc>
      </w:tr>
    </w:tbl>
    <w:p w14:paraId="02A7834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rPr>
        <w:t>注</w:t>
      </w:r>
      <w:r>
        <w:rPr>
          <w:rFonts w:hint="eastAsia" w:ascii="仿宋_GB2312" w:hAnsi="仿宋_GB2312" w:eastAsia="仿宋_GB2312" w:cs="仿宋_GB2312"/>
          <w:b w:val="0"/>
          <w:bCs w:val="0"/>
          <w:color w:val="auto"/>
          <w:kern w:val="21"/>
          <w:sz w:val="21"/>
          <w:szCs w:val="21"/>
          <w:lang w:eastAsia="zh-CN"/>
        </w:rPr>
        <w:t>：</w:t>
      </w:r>
      <w:r>
        <w:rPr>
          <w:rFonts w:hint="eastAsia" w:ascii="仿宋_GB2312" w:hAnsi="仿宋_GB2312" w:eastAsia="仿宋_GB2312" w:cs="仿宋_GB2312"/>
          <w:b w:val="0"/>
          <w:bCs w:val="0"/>
          <w:color w:val="auto"/>
          <w:kern w:val="21"/>
          <w:sz w:val="21"/>
          <w:szCs w:val="21"/>
          <w:lang w:val="en-US" w:eastAsia="zh-CN"/>
        </w:rPr>
        <w:t>1.</w:t>
      </w:r>
      <w:r>
        <w:rPr>
          <w:rFonts w:hint="eastAsia" w:ascii="仿宋_GB2312" w:hAnsi="仿宋_GB2312" w:eastAsia="仿宋_GB2312" w:cs="仿宋_GB2312"/>
          <w:b w:val="0"/>
          <w:bCs w:val="0"/>
          <w:color w:val="auto"/>
          <w:kern w:val="21"/>
          <w:sz w:val="21"/>
          <w:szCs w:val="21"/>
        </w:rPr>
        <w:t>承压类基本配置包括</w:t>
      </w:r>
      <w:r>
        <w:rPr>
          <w:rFonts w:hint="eastAsia" w:ascii="仿宋_GB2312" w:hAnsi="仿宋_GB2312" w:eastAsia="仿宋_GB2312" w:cs="仿宋_GB2312"/>
          <w:b w:val="0"/>
          <w:bCs w:val="0"/>
          <w:color w:val="auto"/>
          <w:kern w:val="21"/>
          <w:sz w:val="21"/>
          <w:szCs w:val="21"/>
          <w:lang w:val="en-US" w:eastAsia="zh-CN"/>
        </w:rPr>
        <w:t>超声波</w:t>
      </w:r>
      <w:r>
        <w:rPr>
          <w:rFonts w:hint="eastAsia" w:ascii="仿宋_GB2312" w:hAnsi="仿宋_GB2312" w:eastAsia="仿宋_GB2312" w:cs="仿宋_GB2312"/>
          <w:b w:val="0"/>
          <w:bCs w:val="0"/>
          <w:color w:val="auto"/>
          <w:kern w:val="21"/>
          <w:sz w:val="21"/>
          <w:szCs w:val="21"/>
        </w:rPr>
        <w:t>测厚仪4台、光谱仪1台、视频内窥镜1台、便携式硬度计1台、便携式金相仪（具有数码图像处理功能）1台、射线</w:t>
      </w:r>
    </w:p>
    <w:p w14:paraId="0825B05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630" w:firstLineChars="300"/>
        <w:jc w:val="both"/>
        <w:textAlignment w:val="auto"/>
        <w:outlineLvl w:val="9"/>
        <w:rPr>
          <w:rFonts w:hint="eastAsia" w:ascii="仿宋_GB2312" w:hAnsi="仿宋_GB2312" w:eastAsia="仿宋_GB2312" w:cs="仿宋_GB2312"/>
          <w:b w:val="0"/>
          <w:bCs w:val="0"/>
          <w:color w:val="auto"/>
          <w:kern w:val="21"/>
          <w:sz w:val="21"/>
          <w:szCs w:val="21"/>
          <w:lang w:eastAsia="zh-CN"/>
        </w:rPr>
      </w:pPr>
      <w:r>
        <w:rPr>
          <w:rFonts w:hint="eastAsia" w:ascii="仿宋_GB2312" w:hAnsi="仿宋_GB2312" w:eastAsia="仿宋_GB2312" w:cs="仿宋_GB2312"/>
          <w:b w:val="0"/>
          <w:bCs w:val="0"/>
          <w:color w:val="auto"/>
          <w:kern w:val="21"/>
          <w:sz w:val="21"/>
          <w:szCs w:val="21"/>
        </w:rPr>
        <w:t>探伤装置2台、数字式超声探伤仪2台、磁粉检测仪4台，以及满足检验检测及防护要求的观片灯、标准试块、对比试块、报警设备、黑度计</w:t>
      </w:r>
      <w:r>
        <w:rPr>
          <w:rFonts w:hint="eastAsia" w:ascii="仿宋_GB2312" w:hAnsi="仿宋_GB2312" w:eastAsia="仿宋_GB2312" w:cs="仿宋_GB2312"/>
          <w:b w:val="0"/>
          <w:bCs w:val="0"/>
          <w:color w:val="auto"/>
          <w:kern w:val="21"/>
          <w:sz w:val="21"/>
          <w:szCs w:val="21"/>
          <w:lang w:eastAsia="zh-CN"/>
        </w:rPr>
        <w:t>、</w:t>
      </w:r>
    </w:p>
    <w:p w14:paraId="3543B7E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630" w:firstLineChars="300"/>
        <w:jc w:val="both"/>
        <w:textAlignment w:val="auto"/>
        <w:outlineLvl w:val="9"/>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射线底片洗片暗室</w:t>
      </w:r>
      <w:r>
        <w:rPr>
          <w:rFonts w:hint="eastAsia" w:ascii="仿宋_GB2312" w:hAnsi="仿宋_GB2312" w:eastAsia="仿宋_GB2312" w:cs="仿宋_GB2312"/>
          <w:b w:val="0"/>
          <w:bCs w:val="0"/>
          <w:color w:val="auto"/>
          <w:kern w:val="21"/>
          <w:sz w:val="21"/>
          <w:szCs w:val="21"/>
        </w:rPr>
        <w:t>等。</w:t>
      </w:r>
    </w:p>
    <w:p w14:paraId="3334BA6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200" w:right="0" w:rightChars="0"/>
        <w:jc w:val="both"/>
        <w:textAlignment w:val="auto"/>
        <w:outlineLvl w:val="9"/>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
        </w:rPr>
        <w:t>2.</w:t>
      </w:r>
      <w:r>
        <w:rPr>
          <w:rFonts w:hint="eastAsia" w:ascii="仿宋_GB2312" w:hAnsi="仿宋_GB2312" w:eastAsia="仿宋_GB2312" w:cs="仿宋_GB2312"/>
          <w:b w:val="0"/>
          <w:bCs w:val="0"/>
          <w:color w:val="auto"/>
          <w:kern w:val="21"/>
          <w:sz w:val="21"/>
          <w:szCs w:val="21"/>
        </w:rPr>
        <w:t>机电类基本配置中Ⅰ类检验设备包括数字万用表、接地电阻测试仪、绝缘电阻测量仪、转速表或者速度检测仪、便携式激光测距仪、噪声检测仪、</w:t>
      </w:r>
    </w:p>
    <w:p w14:paraId="3A04F51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200" w:right="0" w:rightChars="0" w:firstLine="210" w:firstLineChars="100"/>
        <w:jc w:val="both"/>
        <w:textAlignment w:val="auto"/>
        <w:outlineLvl w:val="9"/>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超声波</w:t>
      </w:r>
      <w:r>
        <w:rPr>
          <w:rFonts w:hint="eastAsia" w:ascii="仿宋_GB2312" w:hAnsi="仿宋_GB2312" w:eastAsia="仿宋_GB2312" w:cs="仿宋_GB2312"/>
          <w:b w:val="0"/>
          <w:bCs w:val="0"/>
          <w:color w:val="auto"/>
          <w:kern w:val="21"/>
          <w:sz w:val="21"/>
          <w:szCs w:val="21"/>
        </w:rPr>
        <w:t>测厚仪等；Ⅱ类检验设备包括经纬仪、水准仪、钢丝绳探伤仪、便携式超声波探伤仪、便携式磁粉探伤仪等。</w:t>
      </w:r>
    </w:p>
    <w:p w14:paraId="2DE0056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3.</w:t>
      </w:r>
      <w:r>
        <w:rPr>
          <w:rFonts w:hint="eastAsia" w:ascii="仿宋_GB2312" w:hAnsi="仿宋_GB2312" w:eastAsia="仿宋_GB2312" w:cs="仿宋_GB2312"/>
          <w:b w:val="0"/>
          <w:bCs w:val="0"/>
          <w:color w:val="auto"/>
          <w:kern w:val="21"/>
          <w:sz w:val="21"/>
          <w:szCs w:val="21"/>
        </w:rPr>
        <w:t>综合气象仪数量满足要求的可不配风速仪，全站仪数量满足要求的可不配经纬仪、水准仪。</w:t>
      </w:r>
    </w:p>
    <w:p w14:paraId="1AC18EC2">
      <w:pPr>
        <w:ind w:firstLine="420" w:firstLineChars="200"/>
        <w:rPr>
          <w:rFonts w:hint="eastAsia" w:ascii="仿宋_GB2312" w:hAnsi="仿宋_GB2312" w:eastAsia="仿宋_GB2312" w:cs="仿宋_GB2312"/>
          <w:b w:val="0"/>
          <w:bCs w:val="0"/>
          <w:color w:val="auto"/>
          <w:kern w:val="21"/>
          <w:sz w:val="21"/>
          <w:szCs w:val="21"/>
        </w:rPr>
      </w:pPr>
      <w:r>
        <w:rPr>
          <w:rFonts w:hint="eastAsia" w:ascii="仿宋_GB2312" w:hAnsi="仿宋_GB2312" w:eastAsia="仿宋_GB2312" w:cs="仿宋_GB2312"/>
          <w:b w:val="0"/>
          <w:bCs w:val="0"/>
          <w:color w:val="auto"/>
          <w:kern w:val="21"/>
          <w:sz w:val="21"/>
          <w:szCs w:val="21"/>
          <w:lang w:val="en-US" w:eastAsia="zh-CN"/>
        </w:rPr>
        <w:t>4.</w:t>
      </w:r>
      <w:r>
        <w:rPr>
          <w:rFonts w:hint="eastAsia" w:ascii="仿宋_GB2312" w:hAnsi="仿宋_GB2312" w:eastAsia="仿宋_GB2312" w:cs="仿宋_GB2312"/>
          <w:b w:val="0"/>
          <w:bCs w:val="0"/>
          <w:color w:val="auto"/>
          <w:kern w:val="21"/>
          <w:sz w:val="21"/>
          <w:szCs w:val="21"/>
        </w:rPr>
        <w:t>检验员数量不满足的，检验员和检验师</w:t>
      </w:r>
      <w:r>
        <w:rPr>
          <w:rFonts w:hint="eastAsia" w:ascii="仿宋_GB2312" w:hAnsi="仿宋_GB2312" w:eastAsia="仿宋_GB2312" w:cs="仿宋_GB2312"/>
          <w:b w:val="0"/>
          <w:bCs w:val="0"/>
          <w:color w:val="auto"/>
          <w:kern w:val="21"/>
          <w:sz w:val="21"/>
          <w:szCs w:val="21"/>
          <w:lang w:val="en-US" w:eastAsia="zh-CN"/>
        </w:rPr>
        <w:t>数量相加的</w:t>
      </w:r>
      <w:r>
        <w:rPr>
          <w:rFonts w:hint="eastAsia" w:ascii="仿宋_GB2312" w:hAnsi="仿宋_GB2312" w:eastAsia="仿宋_GB2312" w:cs="仿宋_GB2312"/>
          <w:b w:val="0"/>
          <w:bCs w:val="0"/>
          <w:color w:val="auto"/>
          <w:kern w:val="21"/>
          <w:sz w:val="21"/>
          <w:szCs w:val="21"/>
        </w:rPr>
        <w:t>总数（不含检验师的基本数量）多于项目要求的，视为满足条件。</w:t>
      </w:r>
    </w:p>
    <w:p w14:paraId="1B9B9E23">
      <w:pPr>
        <w:ind w:firstLine="420" w:firstLineChars="200"/>
        <w:rPr>
          <w:rFonts w:hint="eastAsia" w:ascii="仿宋_GB2312" w:hAnsi="仿宋_GB2312" w:eastAsia="仿宋_GB2312" w:cs="仿宋_GB2312"/>
          <w:b w:val="0"/>
          <w:bCs w:val="0"/>
          <w:color w:val="auto"/>
          <w:kern w:val="21"/>
          <w:sz w:val="21"/>
          <w:szCs w:val="21"/>
        </w:rPr>
      </w:pPr>
    </w:p>
    <w:p w14:paraId="329328B4">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i w:val="0"/>
          <w:caps w:val="0"/>
          <w:color w:val="auto"/>
          <w:spacing w:val="0"/>
          <w:sz w:val="32"/>
          <w:szCs w:val="32"/>
          <w:shd w:val="clear" w:fill="FFFFFF"/>
          <w:lang w:val="en-US" w:eastAsia="zh-CN"/>
        </w:rPr>
      </w:pPr>
    </w:p>
    <w:sectPr>
      <w:headerReference r:id="rId5" w:type="default"/>
      <w:footerReference r:id="rId6" w:type="default"/>
      <w:pgSz w:w="11906" w:h="16838"/>
      <w:pgMar w:top="1962" w:right="1474" w:bottom="1848"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ECCE">
    <w:pPr>
      <w:pStyle w:val="6"/>
      <w:ind w:firstLine="5120" w:firstLineChars="1600"/>
    </w:pPr>
    <w:r>
      <w:rPr>
        <w:sz w:val="32"/>
      </w:rPr>
      <mc:AlternateContent>
        <mc:Choice Requires="wps">
          <w:drawing>
            <wp:anchor distT="0" distB="0" distL="114300" distR="114300" simplePos="0" relativeHeight="251663360" behindDoc="0" locked="0" layoutInCell="1" allowOverlap="1">
              <wp:simplePos x="0" y="0"/>
              <wp:positionH relativeFrom="margin">
                <wp:posOffset>4819015</wp:posOffset>
              </wp:positionH>
              <wp:positionV relativeFrom="paragraph">
                <wp:posOffset>-567055</wp:posOffset>
              </wp:positionV>
              <wp:extent cx="1828800" cy="2705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70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8B98D">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9.45pt;margin-top:-44.65pt;height:21.3pt;width:144pt;mso-position-horizontal-relative:margin;mso-wrap-style:none;z-index:251663360;mso-width-relative:page;mso-height-relative:page;" filled="f" stroked="f" coordsize="21600,21600" o:gfxdata="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WRvY9sAAAAMAQAADwAAAAAAAAABACAAAAAiAAAAZHJzL2Rvd25y&#10;ZXYueG1sUEsBAhQAFAAAAAgAh07iQK8Ta200AgAAYAQAAA4AAAAAAAAAAQAgAAAAKgEAAGRycy9l&#10;Mm9Eb2MueG1sUEsFBgAAAAAGAAYAWQEAANAFAAAAAA==&#10;">
              <v:fill on="f" focussize="0,0"/>
              <v:stroke on="f" weight="0.5pt"/>
              <v:imagedata o:title=""/>
              <o:lock v:ext="edit" aspectratio="f"/>
              <v:textbox inset="0mm,0mm,0mm,0mm">
                <w:txbxContent>
                  <w:p w14:paraId="50C8B98D">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-303530</wp:posOffset>
              </wp:positionV>
              <wp:extent cx="5616575" cy="1905"/>
              <wp:effectExtent l="0" t="10795" r="6985" b="17780"/>
              <wp:wrapNone/>
              <wp:docPr id="9" name="直接连接符 9"/>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3.9pt;height:0.15pt;width:442.25pt;z-index:251662336;mso-width-relative:page;mso-height-relative:page;" filled="f" stroked="t" coordsize="21600,21600" o:gfxdata="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ZseadUA&#10;AAAIAQAADwAAAAAAAAABACAAAAAiAAAAZHJzL2Rvd25yZXYueG1sUEsBAhQAFAAAAAgAh07iQMPN&#10;GJ/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云南省市场监督管理局发布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568D">
    <w:pPr>
      <w:pStyle w:val="7"/>
      <w:ind w:left="4788" w:leftChars="2280" w:firstLine="6400" w:firstLineChars="2000"/>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3B6DD">
                          <w:pPr>
                            <w:pStyle w:val="6"/>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83B6DD">
                    <w:pPr>
                      <w:pStyle w:val="6"/>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云云南省市场监督管理局发布     </w:t>
    </w:r>
  </w:p>
  <w:p w14:paraId="1772A6B0">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B3BF">
    <w:pPr>
      <w:pStyle w:val="7"/>
    </w:pPr>
  </w:p>
  <w:p w14:paraId="25FA29B2">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市场监督管理局行政规范性文件</w:t>
    </w:r>
  </w:p>
  <w:p w14:paraId="508B4CC7">
    <w:pPr>
      <w:pStyle w:val="7"/>
    </w:pPr>
    <w:r>
      <w:rPr>
        <w:rFonts w:hint="eastAsia" w:ascii="宋体" w:hAnsi="宋体" w:eastAsia="宋体" w:cs="宋体"/>
        <w:b/>
        <w:bCs/>
        <w:color w:val="005192"/>
        <w:sz w:val="3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231140</wp:posOffset>
              </wp:positionV>
              <wp:extent cx="5620385" cy="0"/>
              <wp:effectExtent l="0" t="10795" r="0" b="11430"/>
              <wp:wrapNone/>
              <wp:docPr id="7" name="直接连接符 7"/>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2pt;height:0pt;width:442.55pt;z-index:251661312;mso-width-relative:page;mso-height-relative:page;" filled="f" stroked="t" coordsize="21600,21600" o:gfxdata="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5NuEr0wAAAAcB&#10;AAAPAAAAAAAAAAEAIAAAACIAAABkcnMvZG93bnJldi54bWxQSwECFAAUAAAACACHTuJAplzW3ecB&#10;AACyAwAADgAAAAAAAAABACAAAAAiAQAAZHJzL2Uyb0RvYy54bWxQSwUGAAAAAAYABgBZAQAAewUA&#10;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CB93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216A4E4">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市场监督管理局行政规范性文件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MTY4ZTc0ZGEwYjhlODhlZWFkOTRmNmZiZWZiNDQifQ=="/>
  </w:docVars>
  <w:rsids>
    <w:rsidRoot w:val="00172A27"/>
    <w:rsid w:val="00B20C92"/>
    <w:rsid w:val="019E71BD"/>
    <w:rsid w:val="03455F4E"/>
    <w:rsid w:val="041200E2"/>
    <w:rsid w:val="04B679C3"/>
    <w:rsid w:val="054460D3"/>
    <w:rsid w:val="080F63D8"/>
    <w:rsid w:val="09210633"/>
    <w:rsid w:val="09341458"/>
    <w:rsid w:val="0A5A7334"/>
    <w:rsid w:val="0B0912D7"/>
    <w:rsid w:val="0D28208A"/>
    <w:rsid w:val="0F0D2085"/>
    <w:rsid w:val="10693290"/>
    <w:rsid w:val="10B37472"/>
    <w:rsid w:val="125F600A"/>
    <w:rsid w:val="12924AF4"/>
    <w:rsid w:val="13A71996"/>
    <w:rsid w:val="152D2DCA"/>
    <w:rsid w:val="18E17362"/>
    <w:rsid w:val="19A35324"/>
    <w:rsid w:val="1AE27A5E"/>
    <w:rsid w:val="1B7927E1"/>
    <w:rsid w:val="1DEC284C"/>
    <w:rsid w:val="1E6523AC"/>
    <w:rsid w:val="1F3619C2"/>
    <w:rsid w:val="1F9B5DFB"/>
    <w:rsid w:val="205D447F"/>
    <w:rsid w:val="22440422"/>
    <w:rsid w:val="224F429B"/>
    <w:rsid w:val="257C268E"/>
    <w:rsid w:val="276B7B54"/>
    <w:rsid w:val="27B43390"/>
    <w:rsid w:val="27C35DCC"/>
    <w:rsid w:val="28EA7DF7"/>
    <w:rsid w:val="28F811E9"/>
    <w:rsid w:val="297F4927"/>
    <w:rsid w:val="2A4E0629"/>
    <w:rsid w:val="2A9B627A"/>
    <w:rsid w:val="2AEC301C"/>
    <w:rsid w:val="2AF31486"/>
    <w:rsid w:val="2B723F53"/>
    <w:rsid w:val="2B9D0A90"/>
    <w:rsid w:val="2F070637"/>
    <w:rsid w:val="2F73296D"/>
    <w:rsid w:val="30724DD6"/>
    <w:rsid w:val="31A15F24"/>
    <w:rsid w:val="366723E6"/>
    <w:rsid w:val="395347B5"/>
    <w:rsid w:val="398C6572"/>
    <w:rsid w:val="39A232A0"/>
    <w:rsid w:val="39E11825"/>
    <w:rsid w:val="39E745AA"/>
    <w:rsid w:val="3B3C60B6"/>
    <w:rsid w:val="3B5A6BBB"/>
    <w:rsid w:val="3B661580"/>
    <w:rsid w:val="3BA23236"/>
    <w:rsid w:val="3EDA13A6"/>
    <w:rsid w:val="42F058B7"/>
    <w:rsid w:val="431F7870"/>
    <w:rsid w:val="436109F6"/>
    <w:rsid w:val="441A38D4"/>
    <w:rsid w:val="448B3A56"/>
    <w:rsid w:val="44EE15E1"/>
    <w:rsid w:val="49872F08"/>
    <w:rsid w:val="4BC77339"/>
    <w:rsid w:val="4C9236C5"/>
    <w:rsid w:val="50131BB5"/>
    <w:rsid w:val="505C172E"/>
    <w:rsid w:val="52AD009F"/>
    <w:rsid w:val="52F46F0B"/>
    <w:rsid w:val="53D8014D"/>
    <w:rsid w:val="5472334E"/>
    <w:rsid w:val="54C404B3"/>
    <w:rsid w:val="55E064E0"/>
    <w:rsid w:val="56D771D8"/>
    <w:rsid w:val="572C6D10"/>
    <w:rsid w:val="5DC34279"/>
    <w:rsid w:val="5E7F1E13"/>
    <w:rsid w:val="608816D1"/>
    <w:rsid w:val="60EF4E7F"/>
    <w:rsid w:val="625A51EB"/>
    <w:rsid w:val="665233C1"/>
    <w:rsid w:val="677D6E8A"/>
    <w:rsid w:val="685764AD"/>
    <w:rsid w:val="69A43B52"/>
    <w:rsid w:val="6A3761D2"/>
    <w:rsid w:val="6AD9688B"/>
    <w:rsid w:val="6B863E54"/>
    <w:rsid w:val="6C3C2DA7"/>
    <w:rsid w:val="6D0E3F22"/>
    <w:rsid w:val="6D9E58A5"/>
    <w:rsid w:val="72024885"/>
    <w:rsid w:val="725A3A9C"/>
    <w:rsid w:val="7557510C"/>
    <w:rsid w:val="75705F7D"/>
    <w:rsid w:val="763B7B7F"/>
    <w:rsid w:val="79891D95"/>
    <w:rsid w:val="7A4474DF"/>
    <w:rsid w:val="7AAF58BC"/>
    <w:rsid w:val="7BC66663"/>
    <w:rsid w:val="7C9011D9"/>
    <w:rsid w:val="7DC651C5"/>
    <w:rsid w:val="7E3A63DB"/>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adjustRightInd w:val="0"/>
      <w:snapToGrid w:val="0"/>
      <w:spacing w:after="120"/>
    </w:pPr>
    <w:rPr>
      <w:rFonts w:ascii="Times New Roman" w:hAnsi="Times New Roman" w:eastAsia="Times New Roman"/>
      <w:sz w:val="28"/>
    </w:rPr>
  </w:style>
  <w:style w:type="paragraph" w:styleId="5">
    <w:name w:val="Body Text Indent 2"/>
    <w:basedOn w:val="1"/>
    <w:unhideWhenUsed/>
    <w:qFormat/>
    <w:uiPriority w:val="99"/>
    <w:pPr>
      <w:spacing w:after="120" w:afterLines="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left="240"/>
    </w:pPr>
    <w:rPr>
      <w:rFonts w:ascii="Calibri" w:eastAsia="Calibri"/>
      <w:smallCaps/>
      <w:sz w:val="20"/>
      <w:szCs w:val="2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BodyTextIndent2"/>
    <w:basedOn w:val="1"/>
    <w:qFormat/>
    <w:uiPriority w:val="0"/>
    <w:pPr>
      <w:spacing w:after="120"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6889</Words>
  <Characters>7213</Characters>
  <Lines>1</Lines>
  <Paragraphs>1</Paragraphs>
  <TotalTime>12</TotalTime>
  <ScaleCrop>false</ScaleCrop>
  <LinksUpToDate>false</LinksUpToDate>
  <CharactersWithSpaces>7309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李建东</cp:lastModifiedBy>
  <cp:lastPrinted>2021-10-26T03:30:00Z</cp:lastPrinted>
  <dcterms:modified xsi:type="dcterms:W3CDTF">2025-05-08T02:18:23Z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48C61CB29D3F4D9384F5922CF0F7FFB4</vt:lpwstr>
  </property>
</Properties>
</file>