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4"/>
      </w:tblGrid>
      <w:tr w14:paraId="3630E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9124" w:type="dxa"/>
            <w:noWrap w:val="0"/>
            <w:vAlign w:val="top"/>
          </w:tcPr>
          <w:p w14:paraId="370C5E0D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4A0E2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9124" w:type="dxa"/>
            <w:noWrap w:val="0"/>
            <w:vAlign w:val="top"/>
          </w:tcPr>
          <w:p w14:paraId="3F056CDA">
            <w:pPr>
              <w:spacing w:line="0" w:lineRule="atLeast"/>
              <w:jc w:val="distribute"/>
              <w:rPr>
                <w:rFonts w:hint="default" w:ascii="Times New Roman" w:hAnsi="Times New Roman" w:eastAsia="方正小标宋_GBK" w:cs="Times New Roman"/>
                <w:color w:val="FF0000"/>
                <w:highlight w:val="none"/>
              </w:rPr>
            </w:pPr>
          </w:p>
        </w:tc>
      </w:tr>
      <w:tr w14:paraId="28AA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9124" w:type="dxa"/>
            <w:noWrap w:val="0"/>
            <w:vAlign w:val="bottom"/>
          </w:tcPr>
          <w:p w14:paraId="74B78444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易环审〔202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号</w:t>
            </w:r>
          </w:p>
        </w:tc>
      </w:tr>
    </w:tbl>
    <w:p w14:paraId="2EFB7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  <w:highlight w:val="none"/>
        </w:rPr>
      </w:pPr>
    </w:p>
    <w:p w14:paraId="1C26D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pacing w:val="-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pacing w:val="0"/>
          <w:sz w:val="44"/>
          <w:szCs w:val="44"/>
        </w:rPr>
        <w:t>玉溪市生态环境局易门分局关于华润新能源（易门）有限公司易门浦贝小禹石沙药光互补项目环境影响报告表的批复</w:t>
      </w:r>
    </w:p>
    <w:p w14:paraId="1536659D">
      <w:pPr>
        <w:keepNext w:val="0"/>
        <w:keepLines w:val="0"/>
        <w:pageBreakBefore w:val="0"/>
        <w:widowControl w:val="0"/>
        <w:tabs>
          <w:tab w:val="left" w:pos="70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549790">
      <w:pPr>
        <w:keepNext w:val="0"/>
        <w:keepLines w:val="0"/>
        <w:pageBreakBefore w:val="0"/>
        <w:widowControl w:val="0"/>
        <w:tabs>
          <w:tab w:val="left" w:pos="7047"/>
        </w:tabs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/>
          <w:color w:val="auto"/>
          <w:sz w:val="32"/>
          <w:szCs w:val="32"/>
          <w:lang w:val="en-US" w:eastAsia="zh-CN"/>
        </w:rPr>
        <w:t>华润新能源（易门）有限公司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：</w:t>
      </w:r>
    </w:p>
    <w:p w14:paraId="21BAF099">
      <w:pPr>
        <w:keepNext w:val="0"/>
        <w:keepLines w:val="0"/>
        <w:pageBreakBefore w:val="0"/>
        <w:widowControl w:val="0"/>
        <w:tabs>
          <w:tab w:val="left" w:pos="7047"/>
        </w:tabs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你公司报批的《华润新能源（易门）有限公司易门浦贝小禹石沙药光互补项目环境影响报告表》（以下简称《报告表》）收悉。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根据《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报告表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》评价结论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专家评审意见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及技术评估意见（</w:t>
      </w:r>
      <w:r>
        <w:rPr>
          <w:rFonts w:eastAsia="方正仿宋_GBK"/>
          <w:color w:val="auto"/>
          <w:sz w:val="32"/>
          <w:szCs w:val="32"/>
        </w:rPr>
        <w:t>云玉评估表〔202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4</w:t>
      </w:r>
      <w:r>
        <w:rPr>
          <w:rFonts w:eastAsia="方正仿宋_GBK"/>
          <w:color w:val="auto"/>
          <w:sz w:val="32"/>
          <w:szCs w:val="32"/>
        </w:rPr>
        <w:t>〕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29</w:t>
      </w:r>
      <w:r>
        <w:rPr>
          <w:rFonts w:eastAsia="方正仿宋_GBK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），经我局研究，现批复如下：</w:t>
      </w:r>
    </w:p>
    <w:p w14:paraId="7AADFC5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47"/>
        </w:tabs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t>一、项目基本情况</w:t>
      </w:r>
    </w:p>
    <w:p w14:paraId="7EDD319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ind w:firstLine="620" w:firstLineChars="194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eastAsia="方正仿宋_GBK"/>
          <w:color w:val="auto"/>
          <w:sz w:val="32"/>
          <w:szCs w:val="32"/>
          <w:lang w:val="en-US" w:eastAsia="zh-CN"/>
        </w:rPr>
        <w:t>该项目位于易门县浦贝乡小禹石沙村，经易门县发展和改革局备案（项目代码：2203-530425-04-01-481531），同意立项建设。项目总投资24000万元，其中环保投资370.12万元，环保投资占总投资比例1.54%。项目由25个光伏发电方阵组成，每个方阵并设1台1250/1600/2000/3150kVA箱变及6-16台196kW组串式逆变器，每台逆变器连接11~12个光伏串列；每个光伏串列由26块光伏电池组件串联而成。光伏电池组件通过自带的电缆串接成一个光伏串列，通过光伏专用电缆H1Z2Z2-K接至196kW组串式逆变器，然后通过3芯交流电缆接至箱变，最后通过箱变升压至35kV。采用35kV埋地电缆集电线路送至光伏场区内110kV升压站的35kV配电装置。项目工程由主体工程、辅助工程、公用工程、环保工程组成和临时工程。</w:t>
      </w:r>
    </w:p>
    <w:p w14:paraId="5EDED3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ind w:firstLine="620" w:firstLineChars="194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根据《报告表》评价结论、专家评审意见及技术评估意见，我局原则同意按照《报告表》中所表述的项目地点、性质、建设内容、建设规模和环境保护对策措施进行项目建设。</w:t>
      </w:r>
    </w:p>
    <w:p w14:paraId="4E30679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47"/>
        </w:tabs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t>二、项目建设和运营中应重点做好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以下环境管理的要求</w:t>
      </w:r>
    </w:p>
    <w:p w14:paraId="7C014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）项目的实施必须确保不降低区域环境功能和环境质量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严格落实《报告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专家评审意见中提出的各项对策措施和要求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722F8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）加强施工期的环境管理。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切实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落实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好扬尘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、废水、固废和噪声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的污染防治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措施；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施工产生的废水均规范收集利用，禁止外排；采取围挡（护）遮盖、洒水降尘等措施，防止扬尘污染；施工产生固体废弃物须规范收集，妥善处置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落实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好水保措施，防止水土流失对周围环境造成影响。</w:t>
      </w:r>
    </w:p>
    <w:p w14:paraId="57C44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规范设置雨污分流系统，禁止废水外排。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项目产生的污水经污水处理设施处理后符合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《城市污水再生利用 城市杂用水水质标准》（GB/T18920-20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）中绿化用水标准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后，综合利用不外排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光伏板组件清洗废水经收集沉淀后用于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绿化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不外排。</w:t>
      </w:r>
    </w:p>
    <w:p w14:paraId="76504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加强生态保护管理。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优化太阳能电池板支架，尽量避免占用植被较好区域；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除桩基用地外，严禁地面硬化、破坏耕作层，严禁抛荒、撂荒；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项目建设中，若发现珍稀植物，应采取相应保护措施；做好项目运营期的生态保护工作，对临时占地进行生态恢复。</w:t>
      </w:r>
    </w:p>
    <w:p w14:paraId="3E57D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）合理布置噪声源，采取有效降噪措施，使厂界噪声符合《工业企业厂界环境噪声排放标准》（GB12348-2008）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类标准要求。</w:t>
      </w:r>
    </w:p>
    <w:p w14:paraId="2D0A5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）固体废弃物分类收集，规范处置。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对项目产生的一般生产固废、生活垃圾须进行规范处置，严禁乱堆乱放，避免对环境造成二次污染；拆除的报废电池板进行收集，最终由专业的回收厂家收购处理，不得随意丢弃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项目产生的危险废物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如变压器废油等应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严格按照《危险废物贮存污染控制标准》（GB18597-2001）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收集存储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及时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委托有处理资质的单位进行处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置，并严格遵守危废转移联单制度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4843B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194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（七）加强电磁环境防护，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有效降低变电站内电磁环境影响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。</w:t>
      </w:r>
    </w:p>
    <w:p w14:paraId="214FC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变电站内电气设备采取集中布置方式，保证导体和电气设备之间电气安全距离，选用具有低辐射、抗干扰能力的设备，设置防雷接地保护装置；在设备的高压导电部件上设置不同形状和数量的均压环，改善电场分布，并将导体和瓷件表面的电场控制在一定数值内，使它们在额定电压下，不发生电晕放电；对大功率的电磁振荡设备采取必要的屏蔽，密封机箱的孔、口、门缝的连接处；在危险位置建立各种警告、防护标识，对当地群众进行有关高压设备方面的环境宣传工作，帮助群众建立环境保护意识和自我防护意识。</w:t>
      </w:r>
    </w:p>
    <w:p w14:paraId="15FD9CD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47"/>
        </w:tabs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pacing w:val="-6"/>
          <w:sz w:val="32"/>
          <w:szCs w:val="32"/>
          <w:highlight w:val="none"/>
        </w:rPr>
        <w:t>三、</w:t>
      </w: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highlight w:val="none"/>
          <w:lang w:val="en-US" w:eastAsia="zh-CN"/>
        </w:rPr>
        <w:t>排污许可管理及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主要污染物排放总量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核定。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项目经批复后，请按照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《排污许可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管理条例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管理要求及时办理排污许可相关手续。</w:t>
      </w:r>
    </w:p>
    <w:p w14:paraId="6AE94F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、严格落实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三同时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制度。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环境保护设施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必须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与主体工程同时设计、同时施工、同时投入使用。项目投入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正式运行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前必须按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照《建设项目竣工环境保护验收暂行办法》的有关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规定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，组织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对配套建设的环境保护设施进行验收，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经验收合格后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方可投入生产或者使用。</w:t>
      </w:r>
    </w:p>
    <w:p w14:paraId="4B03F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pacing w:val="-6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、本《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报告表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》经批准后，如建设项目的性质、规模、地点、采用的生产工艺或者防治污染、防止生态破坏的措施发生重大变动的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，须另行开展环境影响评价并重新报批；本《报告表》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自批准之日起满五年方开工建设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，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应当报我局重新审核。</w:t>
      </w:r>
    </w:p>
    <w:p w14:paraId="58AD6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六、本批复自 2024 年10 月 23日起生效。2022 年 9月28日印发的《玉溪市生态环境局易门分局关于华润新能源（易门）有限公司易门浦贝小禹石沙药光互补项目环境影响报告表的批复》（易环审〔2022〕32号）同时废止。</w:t>
      </w:r>
    </w:p>
    <w:p w14:paraId="040D0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请易门县生态环境保护综合行政执法大队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加强该项目的日常环境监管。</w:t>
      </w:r>
    </w:p>
    <w:p w14:paraId="5ACD1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0877—4862268</w:t>
      </w:r>
    </w:p>
    <w:p w14:paraId="48A55F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3520" w:firstLineChars="11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6216C7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3520" w:firstLineChars="11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76025B3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20" w:lineRule="exact"/>
        <w:ind w:firstLine="3520" w:firstLineChars="11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玉溪市生态环境局易门分局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064DC5F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20" w:lineRule="exact"/>
        <w:ind w:firstLine="4480" w:firstLineChars="1400"/>
        <w:jc w:val="right"/>
        <w:textAlignment w:val="auto"/>
        <w:rPr>
          <w:rFonts w:hint="default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  </w:t>
      </w:r>
    </w:p>
    <w:p w14:paraId="4D47E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抄报：玉溪市生态环境局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43180</wp:posOffset>
                </wp:positionV>
                <wp:extent cx="5859780" cy="9525"/>
                <wp:effectExtent l="0" t="0" r="0" b="0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78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9pt;margin-top:3.4pt;height:0.75pt;width:461.4pt;z-index:251660288;mso-width-relative:page;mso-height-relative:page;" filled="f" stroked="t" coordsize="21600,21600" o:gfxdata="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C9UNDWAAAA&#10;BwEAAA8AAAAAAAAAAQAgAAAAIgAAAGRycy9kb3ducmV2LnhtbFBLAQIUABQAAAAIAIdO4kAGkX9V&#10;5gEAAN4DAAAOAAAAAAAAAAEAIAAAACU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    </w:t>
      </w:r>
    </w:p>
    <w:p w14:paraId="59716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19" w:leftChars="133" w:hanging="840" w:hangingChars="300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抄送：</w:t>
      </w:r>
      <w:r>
        <w:rPr>
          <w:rFonts w:hint="default" w:ascii="Times New Roman" w:hAnsi="Times New Roman" w:eastAsia="方正仿宋_GBK" w:cs="Times New Roman"/>
          <w:spacing w:val="-6"/>
          <w:sz w:val="28"/>
          <w:szCs w:val="28"/>
          <w:highlight w:val="none"/>
        </w:rPr>
        <w:t>易门县浦贝彝族乡人民政府，易门县生态环境保护综合行政执法大队，云南正圭环保科技有限公司</w:t>
      </w:r>
      <w:r>
        <w:rPr>
          <w:rFonts w:hint="eastAsia" w:ascii="Times New Roman" w:hAnsi="Times New Roman" w:eastAsia="方正仿宋_GBK" w:cs="Times New Roman"/>
          <w:spacing w:val="-6"/>
          <w:sz w:val="28"/>
          <w:szCs w:val="28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pacing w:val="-6"/>
          <w:sz w:val="28"/>
          <w:szCs w:val="28"/>
          <w:highlight w:val="none"/>
          <w:lang w:val="en-US" w:eastAsia="zh-CN"/>
        </w:rPr>
        <w:t>云南玉诚环境评估有限公司</w:t>
      </w:r>
      <w:r>
        <w:rPr>
          <w:rFonts w:hint="default" w:ascii="Times New Roman" w:hAnsi="Times New Roman" w:eastAsia="方正仿宋_GBK" w:cs="Times New Roman"/>
          <w:spacing w:val="-6"/>
          <w:sz w:val="28"/>
          <w:szCs w:val="28"/>
          <w:highlight w:val="none"/>
        </w:rPr>
        <w:t>。</w:t>
      </w:r>
    </w:p>
    <w:p w14:paraId="63A02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368300</wp:posOffset>
                </wp:positionV>
                <wp:extent cx="5854700" cy="32385"/>
                <wp:effectExtent l="0" t="4445" r="12700" b="20320"/>
                <wp:wrapNone/>
                <wp:docPr id="3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4700" cy="323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flip:y;margin-left:-9pt;margin-top:29pt;height:2.55pt;width:461pt;z-index:251661312;mso-width-relative:page;mso-height-relative:page;" filled="f" stroked="t" coordsize="21600,21600" o:gfxdata="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FoMuNgAAAAJAQAADwAAAAAAAAABACAAAAAiAAAAZHJzL2Rvd25yZXYueG1sUEsBAhQA&#10;FAAAAAgAh07iQNAWgfTyAQAA6QMAAA4AAAAAAAAAAQAgAAAAJ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27305</wp:posOffset>
                </wp:positionV>
                <wp:extent cx="5820410" cy="24130"/>
                <wp:effectExtent l="0" t="4445" r="8890" b="9525"/>
                <wp:wrapNone/>
                <wp:docPr id="1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0410" cy="241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flip:y;margin-left:-8.25pt;margin-top:2.15pt;height:1.9pt;width:458.3pt;z-index:251659264;mso-width-relative:page;mso-height-relative:page;" filled="f" stroked="t" coordsize="21600,21600" o:gfxdata="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nD8Hw1QAAAAcBAAAPAAAAAAAAAAEAIAAAACIAAABkcnMvZG93bnJldi54bWxQSwECFAAU&#10;AAAACACHTuJAHXozbPQBAADp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 xml:space="preserve"> 玉溪市生态环境局易门分局办公室          202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 xml:space="preserve">日印发   </w:t>
      </w:r>
    </w:p>
    <w:sectPr>
      <w:footerReference r:id="rId3" w:type="default"/>
      <w:pgSz w:w="11906" w:h="16838"/>
      <w:pgMar w:top="1440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oúì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Times New Roma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1CA0B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8F1ABA0">
                          <w:pPr>
                            <w:pStyle w:val="11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Ss7OU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8F1ABA0">
                    <w:pPr>
                      <w:pStyle w:val="11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3EA417"/>
    <w:multiLevelType w:val="multilevel"/>
    <w:tmpl w:val="2B3EA417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trike w:val="0"/>
        <w:dstrike w:val="0"/>
        <w:outline w:val="0"/>
        <w:vanish w:val="0"/>
        <w:spacing w:val="0"/>
        <w:position w:val="0"/>
        <w:u w:val="none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b w:val="0"/>
        <w:bCs w:val="0"/>
        <w:i w:val="0"/>
        <w:iCs w:val="0"/>
        <w:caps w:val="0"/>
        <w:strike w:val="0"/>
        <w:dstrike w:val="0"/>
        <w:outline w:val="0"/>
        <w:vanish w:val="0"/>
        <w:spacing w:val="0"/>
        <w:position w:val="0"/>
        <w:u w:val="none"/>
      </w:rPr>
    </w:lvl>
    <w:lvl w:ilvl="3" w:tentative="0">
      <w:start w:val="1"/>
      <w:numFmt w:val="decimal"/>
      <w:suff w:val="space"/>
      <w:lvlText w:val="表%1.%2-%4    "/>
      <w:lvlJc w:val="left"/>
      <w:pPr>
        <w:ind w:left="6241" w:firstLine="0"/>
      </w:pPr>
      <w:rPr>
        <w:b w:val="0"/>
        <w:bCs w:val="0"/>
        <w:i w:val="0"/>
        <w:iCs w:val="0"/>
        <w:caps w:val="0"/>
        <w:strike w:val="0"/>
        <w:dstrike w:val="0"/>
        <w:outline w:val="0"/>
        <w:vanish w:val="0"/>
        <w:spacing w:val="0"/>
        <w:position w:val="0"/>
        <w:u w:val="none"/>
      </w:rPr>
    </w:lvl>
    <w:lvl w:ilvl="4" w:tentative="0">
      <w:start w:val="1"/>
      <w:numFmt w:val="decimal"/>
      <w:pStyle w:val="25"/>
      <w:suff w:val="space"/>
      <w:lvlText w:val="%1.%2.%3.%5"/>
      <w:lvlJc w:val="left"/>
      <w:pPr>
        <w:ind w:left="708" w:firstLine="0"/>
      </w:pPr>
      <w:rPr>
        <w:b w:val="0"/>
        <w:bCs w:val="0"/>
        <w:i w:val="0"/>
        <w:iCs w:val="0"/>
        <w:caps w:val="0"/>
        <w:strike w:val="0"/>
        <w:dstrike w:val="0"/>
        <w:outline w:val="0"/>
        <w:vanish w:val="0"/>
        <w:spacing w:val="0"/>
        <w:position w:val="0"/>
        <w:u w:val="none"/>
      </w:rPr>
    </w:lvl>
    <w:lvl w:ilvl="5" w:tentative="0">
      <w:start w:val="1"/>
      <w:numFmt w:val="decimal"/>
      <w:suff w:val="space"/>
      <w:lvlText w:val="图%1.%2-%6"/>
      <w:lvlJc w:val="left"/>
      <w:pPr>
        <w:ind w:left="0" w:firstLine="0"/>
      </w:pPr>
      <w:rPr>
        <w:b w:val="0"/>
        <w:bCs w:val="0"/>
        <w:i w:val="0"/>
        <w:iCs w:val="0"/>
        <w:caps w:val="0"/>
        <w:strike w:val="0"/>
        <w:dstrike w:val="0"/>
        <w:outline w:val="0"/>
        <w:vanish w:val="0"/>
        <w:spacing w:val="0"/>
        <w:position w:val="0"/>
        <w:u w:val="none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OGQ0NWYzNGM5YWY0MGRlMGFlNjBiY2UzOWU5NjAifQ=="/>
  </w:docVars>
  <w:rsids>
    <w:rsidRoot w:val="00172A27"/>
    <w:rsid w:val="00080D3F"/>
    <w:rsid w:val="0009058C"/>
    <w:rsid w:val="000E5E8F"/>
    <w:rsid w:val="00112EB0"/>
    <w:rsid w:val="001259FB"/>
    <w:rsid w:val="0017688D"/>
    <w:rsid w:val="002F161D"/>
    <w:rsid w:val="00340F35"/>
    <w:rsid w:val="003E7F4F"/>
    <w:rsid w:val="00421B62"/>
    <w:rsid w:val="00443BEB"/>
    <w:rsid w:val="00524B78"/>
    <w:rsid w:val="00552D84"/>
    <w:rsid w:val="00580BFA"/>
    <w:rsid w:val="005A75C6"/>
    <w:rsid w:val="00635491"/>
    <w:rsid w:val="00664CC0"/>
    <w:rsid w:val="00676D87"/>
    <w:rsid w:val="006A2898"/>
    <w:rsid w:val="007B31E4"/>
    <w:rsid w:val="007C5464"/>
    <w:rsid w:val="0087244D"/>
    <w:rsid w:val="008F6DBA"/>
    <w:rsid w:val="009A668A"/>
    <w:rsid w:val="00A17443"/>
    <w:rsid w:val="00A96379"/>
    <w:rsid w:val="00AB6261"/>
    <w:rsid w:val="00AE2267"/>
    <w:rsid w:val="00BA112D"/>
    <w:rsid w:val="00BF0012"/>
    <w:rsid w:val="00D1169C"/>
    <w:rsid w:val="00D91D47"/>
    <w:rsid w:val="00E06F45"/>
    <w:rsid w:val="00E9480D"/>
    <w:rsid w:val="00EE4436"/>
    <w:rsid w:val="00EE5263"/>
    <w:rsid w:val="00F3186C"/>
    <w:rsid w:val="00FC2652"/>
    <w:rsid w:val="01530E12"/>
    <w:rsid w:val="0156315E"/>
    <w:rsid w:val="016063E5"/>
    <w:rsid w:val="02181498"/>
    <w:rsid w:val="027419E7"/>
    <w:rsid w:val="02B1525C"/>
    <w:rsid w:val="02C94F50"/>
    <w:rsid w:val="0305281C"/>
    <w:rsid w:val="03556F73"/>
    <w:rsid w:val="03DD4E0D"/>
    <w:rsid w:val="04446186"/>
    <w:rsid w:val="04A10E4C"/>
    <w:rsid w:val="04C076CE"/>
    <w:rsid w:val="04F966D2"/>
    <w:rsid w:val="05B57F95"/>
    <w:rsid w:val="065921F8"/>
    <w:rsid w:val="069170DB"/>
    <w:rsid w:val="06CA1CD7"/>
    <w:rsid w:val="06EF795F"/>
    <w:rsid w:val="071C52CC"/>
    <w:rsid w:val="07302569"/>
    <w:rsid w:val="076F6184"/>
    <w:rsid w:val="07AE697E"/>
    <w:rsid w:val="07BD7B72"/>
    <w:rsid w:val="07FF420B"/>
    <w:rsid w:val="080A7D7D"/>
    <w:rsid w:val="082E275C"/>
    <w:rsid w:val="088134DE"/>
    <w:rsid w:val="08962BA1"/>
    <w:rsid w:val="08F833B6"/>
    <w:rsid w:val="0A0E75EC"/>
    <w:rsid w:val="0AD5094E"/>
    <w:rsid w:val="0B3C4556"/>
    <w:rsid w:val="0BAA7C65"/>
    <w:rsid w:val="0BC131E9"/>
    <w:rsid w:val="0BF45536"/>
    <w:rsid w:val="0C3C2CEC"/>
    <w:rsid w:val="0C627A89"/>
    <w:rsid w:val="0CFD4D73"/>
    <w:rsid w:val="0D0255C5"/>
    <w:rsid w:val="0D1741EC"/>
    <w:rsid w:val="0D4D3A09"/>
    <w:rsid w:val="0D532D14"/>
    <w:rsid w:val="0DDD144A"/>
    <w:rsid w:val="0E135E0C"/>
    <w:rsid w:val="0EB436EB"/>
    <w:rsid w:val="0EB65285"/>
    <w:rsid w:val="0F2800AC"/>
    <w:rsid w:val="0F2A0AA2"/>
    <w:rsid w:val="0F7D46A0"/>
    <w:rsid w:val="0FAA5B28"/>
    <w:rsid w:val="10077C4E"/>
    <w:rsid w:val="10352042"/>
    <w:rsid w:val="11052B40"/>
    <w:rsid w:val="12B061F7"/>
    <w:rsid w:val="13057666"/>
    <w:rsid w:val="1318742D"/>
    <w:rsid w:val="131D1BA7"/>
    <w:rsid w:val="139975F3"/>
    <w:rsid w:val="13A52554"/>
    <w:rsid w:val="1445268C"/>
    <w:rsid w:val="144647A1"/>
    <w:rsid w:val="147F1DF6"/>
    <w:rsid w:val="14A520C1"/>
    <w:rsid w:val="14D44B1C"/>
    <w:rsid w:val="14E93241"/>
    <w:rsid w:val="153E43E3"/>
    <w:rsid w:val="15436BEA"/>
    <w:rsid w:val="15C11B4F"/>
    <w:rsid w:val="15E40064"/>
    <w:rsid w:val="15E5545F"/>
    <w:rsid w:val="164A5849"/>
    <w:rsid w:val="16C04508"/>
    <w:rsid w:val="170853C1"/>
    <w:rsid w:val="175968EE"/>
    <w:rsid w:val="17817C5E"/>
    <w:rsid w:val="183A4CBE"/>
    <w:rsid w:val="18520596"/>
    <w:rsid w:val="187E3342"/>
    <w:rsid w:val="18E368D5"/>
    <w:rsid w:val="18E44C77"/>
    <w:rsid w:val="1939136B"/>
    <w:rsid w:val="19405402"/>
    <w:rsid w:val="19D60AB9"/>
    <w:rsid w:val="1A28465D"/>
    <w:rsid w:val="1A366C6A"/>
    <w:rsid w:val="1AFB47C5"/>
    <w:rsid w:val="1B835ED2"/>
    <w:rsid w:val="1BCE624F"/>
    <w:rsid w:val="1C3B17D7"/>
    <w:rsid w:val="1C7356BA"/>
    <w:rsid w:val="1CF94244"/>
    <w:rsid w:val="1CFD3095"/>
    <w:rsid w:val="1CFE2464"/>
    <w:rsid w:val="1D252B32"/>
    <w:rsid w:val="1D3C3255"/>
    <w:rsid w:val="1DAF1528"/>
    <w:rsid w:val="1DF07AF7"/>
    <w:rsid w:val="1E2D21BC"/>
    <w:rsid w:val="1E642703"/>
    <w:rsid w:val="1EA81C87"/>
    <w:rsid w:val="1EBD552D"/>
    <w:rsid w:val="1F501C01"/>
    <w:rsid w:val="1F8E56DF"/>
    <w:rsid w:val="1FC03F74"/>
    <w:rsid w:val="203F471B"/>
    <w:rsid w:val="21561A3A"/>
    <w:rsid w:val="21B4027A"/>
    <w:rsid w:val="22250EDD"/>
    <w:rsid w:val="232211AF"/>
    <w:rsid w:val="233C7565"/>
    <w:rsid w:val="23EF5FA2"/>
    <w:rsid w:val="24034B6C"/>
    <w:rsid w:val="242129F9"/>
    <w:rsid w:val="24375881"/>
    <w:rsid w:val="247909DA"/>
    <w:rsid w:val="247C1AE3"/>
    <w:rsid w:val="250C45A0"/>
    <w:rsid w:val="25341821"/>
    <w:rsid w:val="253E54F2"/>
    <w:rsid w:val="25553977"/>
    <w:rsid w:val="25B95991"/>
    <w:rsid w:val="25C612DC"/>
    <w:rsid w:val="25EB6A79"/>
    <w:rsid w:val="263D275F"/>
    <w:rsid w:val="27486718"/>
    <w:rsid w:val="27883953"/>
    <w:rsid w:val="27A21B28"/>
    <w:rsid w:val="27CA172B"/>
    <w:rsid w:val="27F10C78"/>
    <w:rsid w:val="27F66B8C"/>
    <w:rsid w:val="28251774"/>
    <w:rsid w:val="282E2D79"/>
    <w:rsid w:val="28502B2E"/>
    <w:rsid w:val="288C6190"/>
    <w:rsid w:val="288E1C10"/>
    <w:rsid w:val="28A7201A"/>
    <w:rsid w:val="28D83D7D"/>
    <w:rsid w:val="28F44CBF"/>
    <w:rsid w:val="291111A2"/>
    <w:rsid w:val="2948248D"/>
    <w:rsid w:val="29776A4A"/>
    <w:rsid w:val="298E00F8"/>
    <w:rsid w:val="29B00B3F"/>
    <w:rsid w:val="29FB25C3"/>
    <w:rsid w:val="2A282DCC"/>
    <w:rsid w:val="2A99705D"/>
    <w:rsid w:val="2AAA0A41"/>
    <w:rsid w:val="2AB11F59"/>
    <w:rsid w:val="2AB75903"/>
    <w:rsid w:val="2ABF7B4C"/>
    <w:rsid w:val="2B1705A4"/>
    <w:rsid w:val="2BF3750C"/>
    <w:rsid w:val="2C0C1B5E"/>
    <w:rsid w:val="2C691D5F"/>
    <w:rsid w:val="2CA57F18"/>
    <w:rsid w:val="2CD92BD2"/>
    <w:rsid w:val="2D34104B"/>
    <w:rsid w:val="2D4F2BA6"/>
    <w:rsid w:val="2DF4068A"/>
    <w:rsid w:val="2E0D4A9A"/>
    <w:rsid w:val="2E59196C"/>
    <w:rsid w:val="2E650B16"/>
    <w:rsid w:val="2E6F47E2"/>
    <w:rsid w:val="2E7F0D79"/>
    <w:rsid w:val="2ECB0911"/>
    <w:rsid w:val="2F2410A5"/>
    <w:rsid w:val="2F4E6E8D"/>
    <w:rsid w:val="2F862FAC"/>
    <w:rsid w:val="307B625B"/>
    <w:rsid w:val="307D724A"/>
    <w:rsid w:val="3095296E"/>
    <w:rsid w:val="30BF01C3"/>
    <w:rsid w:val="30DE5E3D"/>
    <w:rsid w:val="313613FE"/>
    <w:rsid w:val="31663F97"/>
    <w:rsid w:val="31D30617"/>
    <w:rsid w:val="32425830"/>
    <w:rsid w:val="33122687"/>
    <w:rsid w:val="3319219E"/>
    <w:rsid w:val="33497440"/>
    <w:rsid w:val="33606250"/>
    <w:rsid w:val="33BE0E03"/>
    <w:rsid w:val="33E87239"/>
    <w:rsid w:val="341556C2"/>
    <w:rsid w:val="34B133C2"/>
    <w:rsid w:val="35237115"/>
    <w:rsid w:val="35504FD4"/>
    <w:rsid w:val="3575659B"/>
    <w:rsid w:val="358636F6"/>
    <w:rsid w:val="35916D19"/>
    <w:rsid w:val="35A267E5"/>
    <w:rsid w:val="35CF2406"/>
    <w:rsid w:val="36104545"/>
    <w:rsid w:val="3637260F"/>
    <w:rsid w:val="36500499"/>
    <w:rsid w:val="3673109B"/>
    <w:rsid w:val="36B01FAF"/>
    <w:rsid w:val="377F78E7"/>
    <w:rsid w:val="37921765"/>
    <w:rsid w:val="37B7223A"/>
    <w:rsid w:val="380D7645"/>
    <w:rsid w:val="3858332A"/>
    <w:rsid w:val="387B1B7A"/>
    <w:rsid w:val="38AD365A"/>
    <w:rsid w:val="38DC65CB"/>
    <w:rsid w:val="38DF406D"/>
    <w:rsid w:val="39712110"/>
    <w:rsid w:val="397A7C19"/>
    <w:rsid w:val="39B247CE"/>
    <w:rsid w:val="39DE1F09"/>
    <w:rsid w:val="39F466BE"/>
    <w:rsid w:val="3A204F80"/>
    <w:rsid w:val="3AB9402C"/>
    <w:rsid w:val="3B526D27"/>
    <w:rsid w:val="3BE63C71"/>
    <w:rsid w:val="3C9A2E24"/>
    <w:rsid w:val="3CB674A1"/>
    <w:rsid w:val="3CEC580F"/>
    <w:rsid w:val="3D2252B3"/>
    <w:rsid w:val="3D8F656E"/>
    <w:rsid w:val="3DD31AD0"/>
    <w:rsid w:val="3DEE6886"/>
    <w:rsid w:val="3E0540A1"/>
    <w:rsid w:val="3E284B14"/>
    <w:rsid w:val="3E57564C"/>
    <w:rsid w:val="3E854629"/>
    <w:rsid w:val="3ED23539"/>
    <w:rsid w:val="3EE15163"/>
    <w:rsid w:val="3F4A424F"/>
    <w:rsid w:val="3FDF1D15"/>
    <w:rsid w:val="40934C2B"/>
    <w:rsid w:val="409C4B91"/>
    <w:rsid w:val="40E03353"/>
    <w:rsid w:val="41B118BC"/>
    <w:rsid w:val="41BB7A6D"/>
    <w:rsid w:val="421D2C17"/>
    <w:rsid w:val="422374D0"/>
    <w:rsid w:val="4225193A"/>
    <w:rsid w:val="42395EF3"/>
    <w:rsid w:val="42432F11"/>
    <w:rsid w:val="431C5D8D"/>
    <w:rsid w:val="433C1620"/>
    <w:rsid w:val="438433DD"/>
    <w:rsid w:val="4388149B"/>
    <w:rsid w:val="43A16CD1"/>
    <w:rsid w:val="43AC1006"/>
    <w:rsid w:val="43E6573D"/>
    <w:rsid w:val="43E9490F"/>
    <w:rsid w:val="44105622"/>
    <w:rsid w:val="4465088B"/>
    <w:rsid w:val="44771701"/>
    <w:rsid w:val="448D674B"/>
    <w:rsid w:val="44E0263A"/>
    <w:rsid w:val="45864B5E"/>
    <w:rsid w:val="45927A03"/>
    <w:rsid w:val="45AF425D"/>
    <w:rsid w:val="45C637E2"/>
    <w:rsid w:val="46EB403B"/>
    <w:rsid w:val="46F14B74"/>
    <w:rsid w:val="47563B46"/>
    <w:rsid w:val="47E87515"/>
    <w:rsid w:val="48435898"/>
    <w:rsid w:val="48B9081C"/>
    <w:rsid w:val="48C45053"/>
    <w:rsid w:val="4908328C"/>
    <w:rsid w:val="4A2E5B3F"/>
    <w:rsid w:val="4A365275"/>
    <w:rsid w:val="4AB055CF"/>
    <w:rsid w:val="4B446A07"/>
    <w:rsid w:val="4B763277"/>
    <w:rsid w:val="4BA85607"/>
    <w:rsid w:val="4BB8678D"/>
    <w:rsid w:val="4C0F0FC7"/>
    <w:rsid w:val="4C1F1E22"/>
    <w:rsid w:val="4C6B1F6D"/>
    <w:rsid w:val="4C7A77B3"/>
    <w:rsid w:val="4D5E17CD"/>
    <w:rsid w:val="4DF00D25"/>
    <w:rsid w:val="4E07635F"/>
    <w:rsid w:val="4E633CC8"/>
    <w:rsid w:val="4E735E9F"/>
    <w:rsid w:val="4EB42C61"/>
    <w:rsid w:val="4EBE0294"/>
    <w:rsid w:val="4F3B2787"/>
    <w:rsid w:val="4F780A9E"/>
    <w:rsid w:val="4FBF1744"/>
    <w:rsid w:val="4FD041C4"/>
    <w:rsid w:val="4FDA3DAA"/>
    <w:rsid w:val="501A3963"/>
    <w:rsid w:val="502F7A07"/>
    <w:rsid w:val="503E546D"/>
    <w:rsid w:val="50850CC9"/>
    <w:rsid w:val="50855C5F"/>
    <w:rsid w:val="50972B89"/>
    <w:rsid w:val="50CB3F64"/>
    <w:rsid w:val="50E12A87"/>
    <w:rsid w:val="511236AA"/>
    <w:rsid w:val="51164816"/>
    <w:rsid w:val="51753545"/>
    <w:rsid w:val="51B15939"/>
    <w:rsid w:val="5261039F"/>
    <w:rsid w:val="5268443A"/>
    <w:rsid w:val="526A70D8"/>
    <w:rsid w:val="53072D70"/>
    <w:rsid w:val="534335C3"/>
    <w:rsid w:val="53C17F98"/>
    <w:rsid w:val="54003C3A"/>
    <w:rsid w:val="54AA51B6"/>
    <w:rsid w:val="54AA52F8"/>
    <w:rsid w:val="54D64C97"/>
    <w:rsid w:val="54E61616"/>
    <w:rsid w:val="55256B9E"/>
    <w:rsid w:val="55410534"/>
    <w:rsid w:val="556C00B1"/>
    <w:rsid w:val="556F1D25"/>
    <w:rsid w:val="55923B05"/>
    <w:rsid w:val="55960DD5"/>
    <w:rsid w:val="55A8075B"/>
    <w:rsid w:val="55B74A05"/>
    <w:rsid w:val="55C454A3"/>
    <w:rsid w:val="55F87D10"/>
    <w:rsid w:val="5601215E"/>
    <w:rsid w:val="562608A8"/>
    <w:rsid w:val="564F3498"/>
    <w:rsid w:val="56BF1238"/>
    <w:rsid w:val="571425D1"/>
    <w:rsid w:val="57570F53"/>
    <w:rsid w:val="57E92DA1"/>
    <w:rsid w:val="57F72937"/>
    <w:rsid w:val="585D68CA"/>
    <w:rsid w:val="587C125A"/>
    <w:rsid w:val="58C8317E"/>
    <w:rsid w:val="58EE4C5B"/>
    <w:rsid w:val="58FB3E48"/>
    <w:rsid w:val="598F7D64"/>
    <w:rsid w:val="59934EE2"/>
    <w:rsid w:val="59D03558"/>
    <w:rsid w:val="5AE57B33"/>
    <w:rsid w:val="5B426C4F"/>
    <w:rsid w:val="5B502674"/>
    <w:rsid w:val="5B7A3124"/>
    <w:rsid w:val="5BA431E7"/>
    <w:rsid w:val="5BB906D0"/>
    <w:rsid w:val="5BCC6C08"/>
    <w:rsid w:val="5C055296"/>
    <w:rsid w:val="5C20217C"/>
    <w:rsid w:val="5C996065"/>
    <w:rsid w:val="5CC40F73"/>
    <w:rsid w:val="5CDC160F"/>
    <w:rsid w:val="5D575AE3"/>
    <w:rsid w:val="5D7E768E"/>
    <w:rsid w:val="5D9C0D53"/>
    <w:rsid w:val="5DBF4A65"/>
    <w:rsid w:val="5E321B1C"/>
    <w:rsid w:val="5E8A2633"/>
    <w:rsid w:val="5EAA56FB"/>
    <w:rsid w:val="5F06238C"/>
    <w:rsid w:val="5F24796E"/>
    <w:rsid w:val="5F874F95"/>
    <w:rsid w:val="5F91617E"/>
    <w:rsid w:val="5FAD51E8"/>
    <w:rsid w:val="5FBC5AA3"/>
    <w:rsid w:val="5FCC38C9"/>
    <w:rsid w:val="60077191"/>
    <w:rsid w:val="606926A5"/>
    <w:rsid w:val="60E82A03"/>
    <w:rsid w:val="613A2204"/>
    <w:rsid w:val="613C5D84"/>
    <w:rsid w:val="61781E50"/>
    <w:rsid w:val="618E6BB5"/>
    <w:rsid w:val="626421E3"/>
    <w:rsid w:val="62696E26"/>
    <w:rsid w:val="62A04126"/>
    <w:rsid w:val="63172158"/>
    <w:rsid w:val="63731AC7"/>
    <w:rsid w:val="637F043C"/>
    <w:rsid w:val="64306CA8"/>
    <w:rsid w:val="647B6CEE"/>
    <w:rsid w:val="649F7B34"/>
    <w:rsid w:val="64E96FF9"/>
    <w:rsid w:val="65584CD0"/>
    <w:rsid w:val="65716E88"/>
    <w:rsid w:val="65755AF3"/>
    <w:rsid w:val="658223B5"/>
    <w:rsid w:val="660E6E42"/>
    <w:rsid w:val="663A067A"/>
    <w:rsid w:val="667253BC"/>
    <w:rsid w:val="66A37EAE"/>
    <w:rsid w:val="66CF143B"/>
    <w:rsid w:val="670F2B35"/>
    <w:rsid w:val="671A139A"/>
    <w:rsid w:val="673961BA"/>
    <w:rsid w:val="68A47BD7"/>
    <w:rsid w:val="69182C1C"/>
    <w:rsid w:val="692344DF"/>
    <w:rsid w:val="695C1DA8"/>
    <w:rsid w:val="69916BAC"/>
    <w:rsid w:val="69BB6267"/>
    <w:rsid w:val="6A2769AD"/>
    <w:rsid w:val="6A3C756F"/>
    <w:rsid w:val="6A404D05"/>
    <w:rsid w:val="6B496C45"/>
    <w:rsid w:val="6B8229E1"/>
    <w:rsid w:val="6C0B5E32"/>
    <w:rsid w:val="6C4960D1"/>
    <w:rsid w:val="6C786CC3"/>
    <w:rsid w:val="6C9A6CE8"/>
    <w:rsid w:val="6CF95F3D"/>
    <w:rsid w:val="6DA66FDD"/>
    <w:rsid w:val="6DC26202"/>
    <w:rsid w:val="6DC536AB"/>
    <w:rsid w:val="6DF40C65"/>
    <w:rsid w:val="6E055875"/>
    <w:rsid w:val="6E154D56"/>
    <w:rsid w:val="6E16695B"/>
    <w:rsid w:val="6E18062B"/>
    <w:rsid w:val="6E8464F3"/>
    <w:rsid w:val="6F1800F3"/>
    <w:rsid w:val="6F1F37E5"/>
    <w:rsid w:val="6F48024F"/>
    <w:rsid w:val="6F846FF4"/>
    <w:rsid w:val="6F8F0338"/>
    <w:rsid w:val="6F9B38D6"/>
    <w:rsid w:val="701C7B5D"/>
    <w:rsid w:val="701D0994"/>
    <w:rsid w:val="702F486A"/>
    <w:rsid w:val="704E68A4"/>
    <w:rsid w:val="70B62D65"/>
    <w:rsid w:val="70D65221"/>
    <w:rsid w:val="7109169C"/>
    <w:rsid w:val="717808F3"/>
    <w:rsid w:val="71816001"/>
    <w:rsid w:val="71AD7F86"/>
    <w:rsid w:val="71D801E9"/>
    <w:rsid w:val="72614D2E"/>
    <w:rsid w:val="729830DD"/>
    <w:rsid w:val="72C3691A"/>
    <w:rsid w:val="72EA0242"/>
    <w:rsid w:val="73480CBC"/>
    <w:rsid w:val="739C580B"/>
    <w:rsid w:val="73FC1B63"/>
    <w:rsid w:val="740A2E31"/>
    <w:rsid w:val="749F40B0"/>
    <w:rsid w:val="750D281B"/>
    <w:rsid w:val="752A3FAC"/>
    <w:rsid w:val="752D35C4"/>
    <w:rsid w:val="75735B45"/>
    <w:rsid w:val="757E7262"/>
    <w:rsid w:val="75877E2F"/>
    <w:rsid w:val="758827B2"/>
    <w:rsid w:val="76001A3F"/>
    <w:rsid w:val="76114289"/>
    <w:rsid w:val="76642A58"/>
    <w:rsid w:val="76823D8A"/>
    <w:rsid w:val="76D03846"/>
    <w:rsid w:val="76EA0ABC"/>
    <w:rsid w:val="77455A67"/>
    <w:rsid w:val="777C405A"/>
    <w:rsid w:val="77B02A02"/>
    <w:rsid w:val="77D740BA"/>
    <w:rsid w:val="78062478"/>
    <w:rsid w:val="780C324C"/>
    <w:rsid w:val="78920BA6"/>
    <w:rsid w:val="792A53A4"/>
    <w:rsid w:val="793A2608"/>
    <w:rsid w:val="7A152BDA"/>
    <w:rsid w:val="7A795041"/>
    <w:rsid w:val="7AD22439"/>
    <w:rsid w:val="7B0B0E67"/>
    <w:rsid w:val="7B222548"/>
    <w:rsid w:val="7B472466"/>
    <w:rsid w:val="7BEB7254"/>
    <w:rsid w:val="7C1A5EF5"/>
    <w:rsid w:val="7CB77909"/>
    <w:rsid w:val="7CC5166E"/>
    <w:rsid w:val="7CDD0AAF"/>
    <w:rsid w:val="7D186C7E"/>
    <w:rsid w:val="7D61333F"/>
    <w:rsid w:val="7D6B1191"/>
    <w:rsid w:val="7D90033F"/>
    <w:rsid w:val="7E116CFB"/>
    <w:rsid w:val="7E234B72"/>
    <w:rsid w:val="7EEF4C17"/>
    <w:rsid w:val="7FDA5A85"/>
    <w:rsid w:val="7FEB5B07"/>
    <w:rsid w:val="7FF75609"/>
    <w:rsid w:val="FEFEAB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21">
    <w:name w:val="Default Paragraph Font"/>
    <w:qFormat/>
    <w:uiPriority w:val="0"/>
    <w:rPr>
      <w:szCs w:val="20"/>
    </w:rPr>
  </w:style>
  <w:style w:type="table" w:default="1" w:styleId="1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spacing w:before="120" w:after="120"/>
      <w:jc w:val="center"/>
    </w:pPr>
    <w:rPr>
      <w:rFonts w:ascii="黑体" w:eastAsia="黑体"/>
      <w:b/>
      <w:bCs/>
      <w:szCs w:val="24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"/>
    <w:basedOn w:val="1"/>
    <w:next w:val="6"/>
    <w:unhideWhenUsed/>
    <w:qFormat/>
    <w:uiPriority w:val="99"/>
    <w:pPr>
      <w:jc w:val="left"/>
    </w:pPr>
    <w:rPr>
      <w:rFonts w:eastAsia="宋体"/>
      <w:kern w:val="2"/>
      <w:sz w:val="32"/>
      <w:szCs w:val="24"/>
      <w:lang w:val="en-US" w:eastAsia="zh-CN" w:bidi="ar-SA"/>
    </w:rPr>
  </w:style>
  <w:style w:type="paragraph" w:customStyle="1" w:styleId="6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7">
    <w:name w:val="Body Text Indent"/>
    <w:basedOn w:val="1"/>
    <w:qFormat/>
    <w:uiPriority w:val="0"/>
    <w:pPr>
      <w:ind w:firstLine="540"/>
    </w:pPr>
    <w:rPr>
      <w:kern w:val="1"/>
      <w:sz w:val="24"/>
      <w:szCs w:val="20"/>
    </w:rPr>
  </w:style>
  <w:style w:type="paragraph" w:styleId="8">
    <w:name w:val="Plain Text"/>
    <w:basedOn w:val="1"/>
    <w:next w:val="9"/>
    <w:qFormat/>
    <w:uiPriority w:val="0"/>
    <w:rPr>
      <w:rFonts w:ascii="宋体" w:hAnsi="Courier New"/>
    </w:rPr>
  </w:style>
  <w:style w:type="paragraph" w:customStyle="1" w:styleId="9">
    <w:name w:val="Default"/>
    <w:basedOn w:val="10"/>
    <w:qFormat/>
    <w:uiPriority w:val="99"/>
    <w:pPr>
      <w:widowControl w:val="0"/>
      <w:autoSpaceDE w:val="0"/>
      <w:autoSpaceDN w:val="0"/>
      <w:adjustRightInd w:val="0"/>
    </w:pPr>
    <w:rPr>
      <w:rFonts w:ascii="oúì." w:hAnsi="Times New Roman" w:eastAsia="oúì." w:cs="oúì."/>
      <w:color w:val="000000"/>
      <w:sz w:val="24"/>
      <w:szCs w:val="24"/>
      <w:lang w:val="en-US" w:eastAsia="zh-CN" w:bidi="ar-SA"/>
    </w:rPr>
  </w:style>
  <w:style w:type="paragraph" w:customStyle="1" w:styleId="10">
    <w:name w:val="纯文本1"/>
    <w:basedOn w:val="1"/>
    <w:qFormat/>
    <w:uiPriority w:val="0"/>
    <w:rPr>
      <w:rFonts w:ascii="宋体" w:hAnsi="Courier New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next w:val="13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index heading"/>
    <w:basedOn w:val="1"/>
    <w:next w:val="14"/>
    <w:qFormat/>
    <w:uiPriority w:val="0"/>
    <w:pPr>
      <w:tabs>
        <w:tab w:val="left" w:pos="540"/>
        <w:tab w:val="left" w:pos="851"/>
        <w:tab w:val="left" w:pos="994"/>
        <w:tab w:val="left" w:pos="1260"/>
        <w:tab w:val="left" w:pos="3108"/>
        <w:tab w:val="left" w:pos="3150"/>
      </w:tabs>
    </w:pPr>
    <w:rPr>
      <w:rFonts w:ascii="宋体"/>
      <w:bCs/>
      <w:sz w:val="24"/>
    </w:rPr>
  </w:style>
  <w:style w:type="paragraph" w:styleId="14">
    <w:name w:val="index 1"/>
    <w:basedOn w:val="1"/>
    <w:next w:val="1"/>
    <w:qFormat/>
    <w:uiPriority w:val="99"/>
    <w:pPr>
      <w:tabs>
        <w:tab w:val="left" w:pos="540"/>
        <w:tab w:val="left" w:pos="851"/>
        <w:tab w:val="left" w:pos="994"/>
        <w:tab w:val="left" w:pos="1260"/>
        <w:tab w:val="left" w:pos="3108"/>
        <w:tab w:val="left" w:pos="3150"/>
      </w:tabs>
    </w:pPr>
    <w:rPr>
      <w:szCs w:val="21"/>
    </w:rPr>
  </w:style>
  <w:style w:type="paragraph" w:styleId="15">
    <w:name w:val="Body Text Indent 3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  <w:lang w:val="en-US" w:eastAsia="zh-CN" w:bidi="ar-SA"/>
    </w:rPr>
  </w:style>
  <w:style w:type="paragraph" w:styleId="1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 w:cs="Arial Unicode MS"/>
      <w:kern w:val="0"/>
      <w:szCs w:val="24"/>
    </w:rPr>
  </w:style>
  <w:style w:type="paragraph" w:styleId="17">
    <w:name w:val="Body Text First Indent"/>
    <w:basedOn w:val="5"/>
    <w:next w:val="1"/>
    <w:unhideWhenUsed/>
    <w:qFormat/>
    <w:uiPriority w:val="99"/>
    <w:pPr>
      <w:ind w:firstLine="420" w:firstLineChars="100"/>
    </w:pPr>
  </w:style>
  <w:style w:type="paragraph" w:styleId="18">
    <w:name w:val="Body Text First Indent 2"/>
    <w:basedOn w:val="1"/>
    <w:next w:val="17"/>
    <w:qFormat/>
    <w:uiPriority w:val="0"/>
    <w:pPr>
      <w:spacing w:after="120"/>
      <w:ind w:left="420" w:firstLine="420"/>
    </w:pPr>
    <w:rPr>
      <w:sz w:val="21"/>
      <w:szCs w:val="24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customStyle="1" w:styleId="23">
    <w:name w:val="fontstyle01"/>
    <w:basedOn w:val="2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customStyle="1" w:styleId="24">
    <w:name w:val=" Char Char Char Char Char Char1 Char"/>
    <w:basedOn w:val="1"/>
    <w:qFormat/>
    <w:uiPriority w:val="0"/>
    <w:pPr>
      <w:tabs>
        <w:tab w:val="left" w:pos="360"/>
      </w:tabs>
    </w:pPr>
  </w:style>
  <w:style w:type="paragraph" w:customStyle="1" w:styleId="25">
    <w:name w:val="8 xt-4级标题-报告书"/>
    <w:basedOn w:val="1"/>
    <w:qFormat/>
    <w:uiPriority w:val="0"/>
    <w:pPr>
      <w:keepNext w:val="0"/>
      <w:keepLines w:val="0"/>
      <w:widowControl/>
      <w:numPr>
        <w:ilvl w:val="4"/>
        <w:numId w:val="1"/>
      </w:numPr>
      <w:suppressLineNumbers w:val="0"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both"/>
      <w:outlineLvl w:val="3"/>
    </w:pPr>
    <w:rPr>
      <w:rFonts w:hint="default" w:ascii="Times New Roman" w:hAnsi="Times New Roman" w:eastAsia="黑体" w:cs="Times New Roman"/>
      <w:snapToGrid/>
      <w:kern w:val="0"/>
      <w:sz w:val="24"/>
      <w:szCs w:val="21"/>
      <w:lang w:val="en-US" w:eastAsia="zh-CN" w:bidi="ar"/>
    </w:rPr>
  </w:style>
  <w:style w:type="paragraph" w:customStyle="1" w:styleId="26">
    <w:name w:val="Char Char Char Char Char Char Char Char Char"/>
    <w:basedOn w:val="1"/>
    <w:qFormat/>
    <w:uiPriority w:val="0"/>
    <w:pPr>
      <w:spacing w:after="160" w:afterLines="0" w:line="240" w:lineRule="exact"/>
    </w:pPr>
    <w:rPr>
      <w:szCs w:val="20"/>
    </w:rPr>
  </w:style>
  <w:style w:type="paragraph" w:customStyle="1" w:styleId="27">
    <w:name w:val="Normal Indent1"/>
    <w:basedOn w:val="1"/>
    <w:qFormat/>
    <w:uiPriority w:val="0"/>
    <w:pPr>
      <w:ind w:firstLine="420" w:firstLineChars="200"/>
    </w:pPr>
  </w:style>
  <w:style w:type="paragraph" w:customStyle="1" w:styleId="28">
    <w:name w:val=" Char Char Char Char Char Char1 Char1 Char Char Char Char Char Char1"/>
    <w:basedOn w:val="1"/>
    <w:qFormat/>
    <w:uiPriority w:val="0"/>
    <w:pPr>
      <w:ind w:left="51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易门县环境保护局</Company>
  <Pages>4</Pages>
  <Words>1572</Words>
  <Characters>1726</Characters>
  <Lines>17</Lines>
  <Paragraphs>4</Paragraphs>
  <TotalTime>7</TotalTime>
  <ScaleCrop>false</ScaleCrop>
  <LinksUpToDate>false</LinksUpToDate>
  <CharactersWithSpaces>1764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2012-02-17T09:09:00Z</dcterms:created>
  <dc:creator>HP</dc:creator>
  <cp:lastModifiedBy>User</cp:lastModifiedBy>
  <cp:lastPrinted>2024-04-03T15:10:00Z</cp:lastPrinted>
  <dcterms:modified xsi:type="dcterms:W3CDTF">2025-06-05T18:08:34Z</dcterms:modified>
  <dc:title>易环审〔2015〕X号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F8CFDD068E244395A79ED2A8DB21D2F3_13</vt:lpwstr>
  </property>
</Properties>
</file>