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6D6DA">
      <w:pPr>
        <w:spacing w:line="240" w:lineRule="auto"/>
        <w:ind w:firstLine="0" w:firstLineChars="0"/>
        <w:jc w:val="center"/>
        <w:rPr>
          <w:rFonts w:eastAsia="隶书" w:cs="隶书"/>
          <w:b/>
          <w:bCs/>
          <w:color w:val="000000" w:themeColor="text1"/>
          <w:sz w:val="52"/>
          <w:szCs w:val="52"/>
          <w14:textFill>
            <w14:solidFill>
              <w14:schemeClr w14:val="tx1"/>
            </w14:solidFill>
          </w14:textFill>
        </w:rPr>
      </w:pPr>
      <w:r>
        <w:rPr>
          <w:rFonts w:eastAsia="隶书" w:cs="隶书"/>
          <w:b/>
          <w:bCs/>
          <w:color w:val="000000" w:themeColor="text1"/>
          <w:sz w:val="52"/>
          <w:szCs w:val="52"/>
          <w14:textFill>
            <w14:solidFill>
              <w14:schemeClr w14:val="tx1"/>
            </w14:solidFill>
          </w14:textFill>
        </w:rPr>
        <w:t>云南省     玉溪市</w:t>
      </w:r>
    </w:p>
    <w:p w14:paraId="228D4969">
      <w:pPr>
        <w:spacing w:line="240" w:lineRule="auto"/>
        <w:ind w:firstLine="0" w:firstLineChars="0"/>
        <w:jc w:val="center"/>
        <w:rPr>
          <w:rFonts w:eastAsia="隶书" w:cs="隶书"/>
          <w:b/>
          <w:bCs/>
          <w:color w:val="000000" w:themeColor="text1"/>
          <w:sz w:val="52"/>
          <w:szCs w:val="52"/>
          <w14:textFill>
            <w14:solidFill>
              <w14:schemeClr w14:val="tx1"/>
            </w14:solidFill>
          </w14:textFill>
        </w:rPr>
      </w:pPr>
    </w:p>
    <w:p w14:paraId="21259FF8">
      <w:pPr>
        <w:spacing w:line="240" w:lineRule="auto"/>
        <w:ind w:firstLine="0" w:firstLineChars="0"/>
        <w:jc w:val="center"/>
        <w:outlineLvl w:val="0"/>
        <w:rPr>
          <w:rFonts w:eastAsia="隶书" w:cs="隶书"/>
          <w:b/>
          <w:bCs/>
          <w:color w:val="000000" w:themeColor="text1"/>
          <w:sz w:val="52"/>
          <w:szCs w:val="52"/>
          <w14:textFill>
            <w14:solidFill>
              <w14:schemeClr w14:val="tx1"/>
            </w14:solidFill>
          </w14:textFill>
        </w:rPr>
      </w:pPr>
      <w:r>
        <w:rPr>
          <w:rFonts w:eastAsia="隶书" w:cs="隶书"/>
          <w:b/>
          <w:bCs/>
          <w:color w:val="000000" w:themeColor="text1"/>
          <w:sz w:val="52"/>
          <w:szCs w:val="52"/>
          <w14:textFill>
            <w14:solidFill>
              <w14:schemeClr w14:val="tx1"/>
            </w14:solidFill>
          </w14:textFill>
        </w:rPr>
        <w:t>易门县“十四五”水安全保障规划</w:t>
      </w:r>
    </w:p>
    <w:p w14:paraId="09D079C9">
      <w:pPr>
        <w:spacing w:line="240" w:lineRule="auto"/>
        <w:ind w:firstLine="0" w:firstLineChars="0"/>
        <w:jc w:val="center"/>
        <w:outlineLvl w:val="0"/>
        <w:rPr>
          <w:rFonts w:eastAsia="隶书" w:cs="隶书"/>
          <w:b/>
          <w:bCs/>
          <w:color w:val="000000" w:themeColor="text1"/>
          <w:sz w:val="52"/>
          <w:szCs w:val="52"/>
          <w14:textFill>
            <w14:solidFill>
              <w14:schemeClr w14:val="tx1"/>
            </w14:solidFill>
          </w14:textFill>
        </w:rPr>
      </w:pPr>
      <w:r>
        <w:rPr>
          <w:rFonts w:eastAsia="隶书" w:cs="隶书"/>
          <w:b/>
          <w:bCs/>
          <w:color w:val="000000" w:themeColor="text1"/>
          <w:sz w:val="52"/>
          <w:szCs w:val="52"/>
          <w14:textFill>
            <w14:solidFill>
              <w14:schemeClr w14:val="tx1"/>
            </w14:solidFill>
          </w14:textFill>
        </w:rPr>
        <w:t>（</w:t>
      </w:r>
      <w:r>
        <w:rPr>
          <w:rFonts w:eastAsia="隶书"/>
          <w:b/>
          <w:bCs/>
          <w:color w:val="000000" w:themeColor="text1"/>
          <w:sz w:val="48"/>
          <w:szCs w:val="30"/>
          <w14:textFill>
            <w14:solidFill>
              <w14:schemeClr w14:val="tx1"/>
            </w14:solidFill>
          </w14:textFill>
        </w:rPr>
        <w:t>2021</w:t>
      </w:r>
      <w:r>
        <w:rPr>
          <w:rFonts w:eastAsia="宋体"/>
          <w:b/>
          <w:bCs/>
          <w:color w:val="000000" w:themeColor="text1"/>
          <w:sz w:val="48"/>
          <w:szCs w:val="30"/>
          <w14:textFill>
            <w14:solidFill>
              <w14:schemeClr w14:val="tx1"/>
            </w14:solidFill>
          </w14:textFill>
        </w:rPr>
        <w:t>～</w:t>
      </w:r>
      <w:r>
        <w:rPr>
          <w:rFonts w:eastAsia="隶书"/>
          <w:b/>
          <w:bCs/>
          <w:color w:val="000000" w:themeColor="text1"/>
          <w:sz w:val="48"/>
          <w:szCs w:val="30"/>
          <w14:textFill>
            <w14:solidFill>
              <w14:schemeClr w14:val="tx1"/>
            </w14:solidFill>
          </w14:textFill>
        </w:rPr>
        <w:t>2025年</w:t>
      </w:r>
      <w:r>
        <w:rPr>
          <w:rFonts w:eastAsia="隶书" w:cs="隶书"/>
          <w:b/>
          <w:bCs/>
          <w:color w:val="000000" w:themeColor="text1"/>
          <w:sz w:val="52"/>
          <w:szCs w:val="52"/>
          <w14:textFill>
            <w14:solidFill>
              <w14:schemeClr w14:val="tx1"/>
            </w14:solidFill>
          </w14:textFill>
        </w:rPr>
        <w:t>）</w:t>
      </w:r>
    </w:p>
    <w:p w14:paraId="053436FA">
      <w:pPr>
        <w:ind w:firstLine="0" w:firstLineChars="0"/>
        <w:rPr>
          <w:color w:val="000000" w:themeColor="text1"/>
          <w14:textFill>
            <w14:solidFill>
              <w14:schemeClr w14:val="tx1"/>
            </w14:solidFill>
          </w14:textFill>
        </w:rPr>
      </w:pPr>
    </w:p>
    <w:p w14:paraId="373A43B0">
      <w:pPr>
        <w:ind w:firstLine="0" w:firstLineChars="0"/>
        <w:rPr>
          <w:color w:val="000000" w:themeColor="text1"/>
          <w14:textFill>
            <w14:solidFill>
              <w14:schemeClr w14:val="tx1"/>
            </w14:solidFill>
          </w14:textFill>
        </w:rPr>
      </w:pPr>
    </w:p>
    <w:p w14:paraId="5D8E6E12">
      <w:pPr>
        <w:ind w:firstLine="0" w:firstLineChars="0"/>
        <w:rPr>
          <w:color w:val="000000" w:themeColor="text1"/>
          <w14:textFill>
            <w14:solidFill>
              <w14:schemeClr w14:val="tx1"/>
            </w14:solidFill>
          </w14:textFill>
        </w:rPr>
      </w:pPr>
    </w:p>
    <w:p w14:paraId="53D1804F">
      <w:pPr>
        <w:ind w:firstLine="0" w:firstLineChars="0"/>
        <w:rPr>
          <w:color w:val="000000" w:themeColor="text1"/>
          <w14:textFill>
            <w14:solidFill>
              <w14:schemeClr w14:val="tx1"/>
            </w14:solidFill>
          </w14:textFill>
        </w:rPr>
      </w:pPr>
    </w:p>
    <w:p w14:paraId="39806596">
      <w:pPr>
        <w:ind w:firstLine="0" w:firstLineChars="0"/>
        <w:rPr>
          <w:color w:val="000000" w:themeColor="text1"/>
          <w14:textFill>
            <w14:solidFill>
              <w14:schemeClr w14:val="tx1"/>
            </w14:solidFill>
          </w14:textFill>
        </w:rPr>
      </w:pPr>
    </w:p>
    <w:p w14:paraId="70A64889">
      <w:pPr>
        <w:ind w:firstLine="0" w:firstLineChars="0"/>
        <w:rPr>
          <w:color w:val="000000" w:themeColor="text1"/>
          <w14:textFill>
            <w14:solidFill>
              <w14:schemeClr w14:val="tx1"/>
            </w14:solidFill>
          </w14:textFill>
        </w:rPr>
      </w:pPr>
    </w:p>
    <w:p w14:paraId="0F0DBD6A">
      <w:pPr>
        <w:ind w:firstLine="0" w:firstLineChars="0"/>
        <w:rPr>
          <w:color w:val="000000" w:themeColor="text1"/>
          <w14:textFill>
            <w14:solidFill>
              <w14:schemeClr w14:val="tx1"/>
            </w14:solidFill>
          </w14:textFill>
        </w:rPr>
      </w:pPr>
    </w:p>
    <w:p w14:paraId="557267CC">
      <w:pPr>
        <w:pStyle w:val="11"/>
        <w:ind w:firstLine="0" w:firstLineChars="0"/>
        <w:rPr>
          <w:color w:val="000000" w:themeColor="text1"/>
          <w14:textFill>
            <w14:solidFill>
              <w14:schemeClr w14:val="tx1"/>
            </w14:solidFill>
          </w14:textFill>
        </w:rPr>
      </w:pPr>
    </w:p>
    <w:p w14:paraId="27238851">
      <w:pPr>
        <w:pStyle w:val="11"/>
        <w:ind w:firstLine="0" w:firstLineChars="0"/>
        <w:rPr>
          <w:color w:val="000000" w:themeColor="text1"/>
          <w14:textFill>
            <w14:solidFill>
              <w14:schemeClr w14:val="tx1"/>
            </w14:solidFill>
          </w14:textFill>
        </w:rPr>
      </w:pPr>
    </w:p>
    <w:p w14:paraId="0B4143CF">
      <w:pPr>
        <w:pStyle w:val="11"/>
        <w:ind w:firstLine="0" w:firstLineChars="0"/>
        <w:rPr>
          <w:color w:val="000000" w:themeColor="text1"/>
          <w14:textFill>
            <w14:solidFill>
              <w14:schemeClr w14:val="tx1"/>
            </w14:solidFill>
          </w14:textFill>
        </w:rPr>
      </w:pPr>
    </w:p>
    <w:p w14:paraId="619C6777">
      <w:pPr>
        <w:tabs>
          <w:tab w:val="left" w:pos="3644"/>
        </w:tabs>
        <w:ind w:firstLine="0" w:firstLineChars="0"/>
        <w:jc w:val="center"/>
        <w:rPr>
          <w:rFonts w:eastAsia="隶书" w:cs="隶书"/>
          <w:b/>
          <w:color w:val="000000" w:themeColor="text1"/>
          <w:sz w:val="36"/>
          <w:szCs w:val="36"/>
          <w14:textFill>
            <w14:solidFill>
              <w14:schemeClr w14:val="tx1"/>
            </w14:solidFill>
          </w14:textFill>
        </w:rPr>
      </w:pPr>
    </w:p>
    <w:p w14:paraId="5C40208D">
      <w:pPr>
        <w:tabs>
          <w:tab w:val="left" w:pos="3644"/>
        </w:tabs>
        <w:ind w:firstLine="0" w:firstLineChars="0"/>
        <w:jc w:val="center"/>
        <w:rPr>
          <w:rFonts w:eastAsia="隶书" w:cs="隶书"/>
          <w:b/>
          <w:color w:val="000000" w:themeColor="text1"/>
          <w:sz w:val="36"/>
          <w:szCs w:val="36"/>
          <w14:textFill>
            <w14:solidFill>
              <w14:schemeClr w14:val="tx1"/>
            </w14:solidFill>
          </w14:textFill>
        </w:rPr>
      </w:pPr>
    </w:p>
    <w:p w14:paraId="037CE99A">
      <w:pPr>
        <w:tabs>
          <w:tab w:val="left" w:pos="3644"/>
        </w:tabs>
        <w:ind w:firstLine="0" w:firstLineChars="0"/>
        <w:jc w:val="center"/>
        <w:rPr>
          <w:rFonts w:eastAsia="隶书" w:cs="隶书"/>
          <w:b/>
          <w:color w:val="000000" w:themeColor="text1"/>
          <w:sz w:val="36"/>
          <w:szCs w:val="36"/>
          <w14:textFill>
            <w14:solidFill>
              <w14:schemeClr w14:val="tx1"/>
            </w14:solidFill>
          </w14:textFill>
        </w:rPr>
      </w:pPr>
    </w:p>
    <w:p w14:paraId="0443EBB2">
      <w:pPr>
        <w:pStyle w:val="18"/>
        <w:spacing w:line="0" w:lineRule="atLeast"/>
        <w:ind w:firstLine="0" w:firstLineChars="0"/>
        <w:jc w:val="center"/>
        <w:rPr>
          <w:rFonts w:eastAsia="隶书" w:cs="隶书"/>
          <w:b/>
          <w:color w:val="000000" w:themeColor="text1"/>
          <w:sz w:val="36"/>
          <w:szCs w:val="36"/>
          <w14:textFill>
            <w14:solidFill>
              <w14:schemeClr w14:val="tx1"/>
            </w14:solidFill>
          </w14:textFill>
        </w:rPr>
      </w:pPr>
    </w:p>
    <w:p w14:paraId="655B7C99">
      <w:pPr>
        <w:pStyle w:val="18"/>
        <w:spacing w:line="0" w:lineRule="atLeast"/>
        <w:ind w:firstLine="0" w:firstLineChars="0"/>
        <w:jc w:val="both"/>
        <w:rPr>
          <w:rFonts w:eastAsia="隶书" w:cs="隶书"/>
          <w:b/>
          <w:color w:val="000000" w:themeColor="text1"/>
          <w:sz w:val="36"/>
          <w:szCs w:val="36"/>
          <w14:textFill>
            <w14:solidFill>
              <w14:schemeClr w14:val="tx1"/>
            </w14:solidFill>
          </w14:textFill>
        </w:rPr>
      </w:pPr>
    </w:p>
    <w:p w14:paraId="2A097171">
      <w:pPr>
        <w:ind w:firstLine="640"/>
        <w:rPr>
          <w:color w:val="000000" w:themeColor="text1"/>
          <w14:textFill>
            <w14:solidFill>
              <w14:schemeClr w14:val="tx1"/>
            </w14:solidFill>
          </w14:textFill>
        </w:rPr>
      </w:pPr>
    </w:p>
    <w:p w14:paraId="74210962">
      <w:pPr>
        <w:pStyle w:val="18"/>
        <w:spacing w:line="0" w:lineRule="atLeast"/>
        <w:ind w:firstLine="0" w:firstLineChars="0"/>
        <w:jc w:val="center"/>
        <w:rPr>
          <w:rFonts w:eastAsia="隶书" w:cs="隶书"/>
          <w:b/>
          <w:color w:val="000000" w:themeColor="text1"/>
          <w:sz w:val="36"/>
          <w:szCs w:val="36"/>
          <w14:textFill>
            <w14:solidFill>
              <w14:schemeClr w14:val="tx1"/>
            </w14:solidFill>
          </w14:textFill>
        </w:rPr>
      </w:pPr>
      <w:r>
        <w:rPr>
          <w:rFonts w:eastAsia="隶书" w:cs="隶书"/>
          <w:b/>
          <w:color w:val="000000" w:themeColor="text1"/>
          <w:sz w:val="36"/>
          <w:szCs w:val="36"/>
          <w14:textFill>
            <w14:solidFill>
              <w14:schemeClr w14:val="tx1"/>
            </w14:solidFill>
          </w14:textFill>
        </w:rPr>
        <w:t>易 门 县 水 利 局</w:t>
      </w:r>
    </w:p>
    <w:p w14:paraId="5FE45566">
      <w:pPr>
        <w:pStyle w:val="11"/>
        <w:ind w:firstLine="0" w:firstLineChars="0"/>
        <w:jc w:val="center"/>
        <w:rPr>
          <w:rFonts w:eastAsia="黑体"/>
          <w:color w:val="000000" w:themeColor="text1"/>
          <w:sz w:val="36"/>
          <w:szCs w:val="36"/>
          <w14:textFill>
            <w14:solidFill>
              <w14:schemeClr w14:val="tx1"/>
            </w14:solidFill>
          </w14:textFill>
        </w:rPr>
      </w:pPr>
      <w:r>
        <w:rPr>
          <w:rFonts w:eastAsia="隶书" w:cs="隶书"/>
          <w:b/>
          <w:color w:val="000000" w:themeColor="text1"/>
          <w:sz w:val="36"/>
          <w:szCs w:val="36"/>
          <w14:textFill>
            <w14:solidFill>
              <w14:schemeClr w14:val="tx1"/>
            </w14:solidFill>
          </w14:textFill>
        </w:rPr>
        <w:t>2021年1</w:t>
      </w:r>
      <w:r>
        <w:rPr>
          <w:rFonts w:hint="eastAsia" w:eastAsia="隶书" w:cs="隶书"/>
          <w:b/>
          <w:color w:val="000000" w:themeColor="text1"/>
          <w:sz w:val="36"/>
          <w:szCs w:val="36"/>
          <w:lang w:val="en-US" w:eastAsia="zh-CN"/>
          <w14:textFill>
            <w14:solidFill>
              <w14:schemeClr w14:val="tx1"/>
            </w14:solidFill>
          </w14:textFill>
        </w:rPr>
        <w:t>2</w:t>
      </w:r>
      <w:r>
        <w:rPr>
          <w:rFonts w:eastAsia="隶书" w:cs="隶书"/>
          <w:b/>
          <w:color w:val="000000" w:themeColor="text1"/>
          <w:sz w:val="36"/>
          <w:szCs w:val="36"/>
          <w14:textFill>
            <w14:solidFill>
              <w14:schemeClr w14:val="tx1"/>
            </w14:solidFill>
          </w14:textFill>
        </w:rPr>
        <w:t>月</w:t>
      </w:r>
      <w:r>
        <w:rPr>
          <w:rFonts w:eastAsia="黑体"/>
          <w:color w:val="000000" w:themeColor="text1"/>
          <w:sz w:val="36"/>
          <w:szCs w:val="36"/>
          <w14:textFill>
            <w14:solidFill>
              <w14:schemeClr w14:val="tx1"/>
            </w14:solidFill>
          </w14:textFill>
        </w:rPr>
        <w:br w:type="page"/>
      </w:r>
    </w:p>
    <w:p w14:paraId="1214244D">
      <w:pPr>
        <w:widowControl/>
        <w:adjustRightInd/>
        <w:snapToGrid/>
        <w:spacing w:after="2400" w:afterLines="1000" w:line="240" w:lineRule="auto"/>
        <w:ind w:firstLine="0" w:firstLineChars="0"/>
        <w:jc w:val="center"/>
        <w:rPr>
          <w:rFonts w:eastAsia="宋体" w:cs="Times New Roman"/>
          <w:b/>
          <w:color w:val="000000" w:themeColor="text1"/>
          <w:szCs w:val="20"/>
          <w14:textFill>
            <w14:solidFill>
              <w14:schemeClr w14:val="tx1"/>
            </w14:solidFill>
          </w14:textFill>
        </w:rPr>
      </w:pPr>
      <w:r>
        <w:rPr>
          <w:rFonts w:eastAsia="隶书" w:cs="隶书"/>
          <w:b/>
          <w:bCs/>
          <w:color w:val="000000" w:themeColor="text1"/>
          <w:sz w:val="52"/>
          <w:szCs w:val="52"/>
          <w14:textFill>
            <w14:solidFill>
              <w14:schemeClr w14:val="tx1"/>
            </w14:solidFill>
          </w14:textFill>
        </w:rPr>
        <w:t>易门县“十四五”水安全保障规划</w:t>
      </w:r>
    </w:p>
    <w:p w14:paraId="74E7ECC8">
      <w:pPr>
        <w:spacing w:before="120" w:beforeLines="50"/>
        <w:ind w:left="1600" w:leftChars="500" w:firstLine="0" w:firstLineChars="0"/>
        <w:jc w:val="left"/>
        <w:rPr>
          <w:color w:val="000000" w:themeColor="text1"/>
          <w:spacing w:val="5"/>
          <w:sz w:val="36"/>
          <w:szCs w:val="36"/>
          <w14:textFill>
            <w14:solidFill>
              <w14:schemeClr w14:val="tx1"/>
            </w14:solidFill>
          </w14:textFill>
        </w:rPr>
      </w:pPr>
      <w:r>
        <w:rPr>
          <w:rFonts w:eastAsia="黑体"/>
          <w:color w:val="000000" w:themeColor="text1"/>
          <w:spacing w:val="5"/>
          <w:sz w:val="36"/>
          <w:szCs w:val="36"/>
          <w14:textFill>
            <w14:solidFill>
              <w14:schemeClr w14:val="tx1"/>
            </w14:solidFill>
          </w14:textFill>
        </w:rPr>
        <w:t>批    准</w:t>
      </w:r>
      <w:r>
        <w:rPr>
          <w:color w:val="000000" w:themeColor="text1"/>
          <w:spacing w:val="5"/>
          <w:sz w:val="36"/>
          <w:szCs w:val="36"/>
          <w14:textFill>
            <w14:solidFill>
              <w14:schemeClr w14:val="tx1"/>
            </w14:solidFill>
          </w14:textFill>
        </w:rPr>
        <w:t xml:space="preserve">： </w:t>
      </w:r>
      <w:r>
        <w:rPr>
          <w:rFonts w:hint="eastAsia"/>
          <w:color w:val="000000" w:themeColor="text1"/>
          <w:spacing w:val="5"/>
          <w:sz w:val="36"/>
          <w:szCs w:val="36"/>
          <w14:textFill>
            <w14:solidFill>
              <w14:schemeClr w14:val="tx1"/>
            </w14:solidFill>
          </w14:textFill>
        </w:rPr>
        <w:t>普文玉</w:t>
      </w:r>
    </w:p>
    <w:p w14:paraId="0865F8F3">
      <w:pPr>
        <w:spacing w:before="120" w:beforeLines="50"/>
        <w:ind w:left="1600" w:leftChars="500" w:firstLine="0" w:firstLineChars="0"/>
        <w:jc w:val="left"/>
        <w:rPr>
          <w:color w:val="000000" w:themeColor="text1"/>
          <w:spacing w:val="5"/>
          <w:sz w:val="36"/>
          <w:szCs w:val="36"/>
          <w14:textFill>
            <w14:solidFill>
              <w14:schemeClr w14:val="tx1"/>
            </w14:solidFill>
          </w14:textFill>
        </w:rPr>
      </w:pPr>
      <w:r>
        <w:rPr>
          <w:rFonts w:eastAsia="黑体"/>
          <w:color w:val="000000" w:themeColor="text1"/>
          <w:spacing w:val="5"/>
          <w:sz w:val="36"/>
          <w:szCs w:val="36"/>
          <w14:textFill>
            <w14:solidFill>
              <w14:schemeClr w14:val="tx1"/>
            </w14:solidFill>
          </w14:textFill>
        </w:rPr>
        <w:t>核    定</w:t>
      </w:r>
      <w:r>
        <w:rPr>
          <w:color w:val="000000" w:themeColor="text1"/>
          <w:spacing w:val="5"/>
          <w:sz w:val="36"/>
          <w:szCs w:val="36"/>
          <w14:textFill>
            <w14:solidFill>
              <w14:schemeClr w14:val="tx1"/>
            </w14:solidFill>
          </w14:textFill>
        </w:rPr>
        <w:t xml:space="preserve">： </w:t>
      </w:r>
      <w:r>
        <w:rPr>
          <w:rFonts w:hint="eastAsia"/>
          <w:color w:val="000000" w:themeColor="text1"/>
          <w:spacing w:val="5"/>
          <w:sz w:val="36"/>
          <w:szCs w:val="36"/>
          <w:lang w:eastAsia="zh-CN"/>
          <w14:textFill>
            <w14:solidFill>
              <w14:schemeClr w14:val="tx1"/>
            </w14:solidFill>
          </w14:textFill>
        </w:rPr>
        <w:t>李秋玲</w:t>
      </w:r>
      <w:r>
        <w:rPr>
          <w:rFonts w:hint="eastAsia"/>
          <w:color w:val="000000" w:themeColor="text1"/>
          <w:spacing w:val="5"/>
          <w:sz w:val="36"/>
          <w:szCs w:val="36"/>
          <w:lang w:val="en-US" w:eastAsia="zh-CN"/>
          <w14:textFill>
            <w14:solidFill>
              <w14:schemeClr w14:val="tx1"/>
            </w14:solidFill>
          </w14:textFill>
        </w:rPr>
        <w:t xml:space="preserve">  </w:t>
      </w:r>
      <w:r>
        <w:rPr>
          <w:color w:val="000000" w:themeColor="text1"/>
          <w:spacing w:val="5"/>
          <w:sz w:val="36"/>
          <w:szCs w:val="36"/>
          <w14:textFill>
            <w14:solidFill>
              <w14:schemeClr w14:val="tx1"/>
            </w14:solidFill>
          </w14:textFill>
        </w:rPr>
        <w:t xml:space="preserve">吴剑坤  徐晓俊  王建学 </w:t>
      </w:r>
    </w:p>
    <w:p w14:paraId="5B9D1022">
      <w:pPr>
        <w:spacing w:before="240" w:beforeLines="100" w:after="120" w:afterLines="50"/>
        <w:ind w:left="1600" w:leftChars="500" w:firstLine="0" w:firstLineChars="0"/>
        <w:jc w:val="left"/>
        <w:rPr>
          <w:color w:val="000000" w:themeColor="text1"/>
          <w:spacing w:val="5"/>
          <w:sz w:val="36"/>
          <w:szCs w:val="36"/>
          <w14:textFill>
            <w14:solidFill>
              <w14:schemeClr w14:val="tx1"/>
            </w14:solidFill>
          </w14:textFill>
        </w:rPr>
      </w:pPr>
      <w:r>
        <w:rPr>
          <w:rFonts w:eastAsia="黑体"/>
          <w:color w:val="000000" w:themeColor="text1"/>
          <w:spacing w:val="5"/>
          <w:sz w:val="36"/>
          <w:szCs w:val="36"/>
          <w14:textFill>
            <w14:solidFill>
              <w14:schemeClr w14:val="tx1"/>
            </w14:solidFill>
          </w14:textFill>
        </w:rPr>
        <w:t xml:space="preserve">参与人员： </w:t>
      </w:r>
      <w:r>
        <w:rPr>
          <w:color w:val="000000" w:themeColor="text1"/>
          <w:spacing w:val="5"/>
          <w:sz w:val="36"/>
          <w:szCs w:val="36"/>
          <w14:textFill>
            <w14:solidFill>
              <w14:schemeClr w14:val="tx1"/>
            </w14:solidFill>
          </w14:textFill>
        </w:rPr>
        <w:t xml:space="preserve">李学飞  李海林  李树云 </w:t>
      </w:r>
    </w:p>
    <w:p w14:paraId="67BAA68F">
      <w:pPr>
        <w:spacing w:before="240" w:beforeLines="100" w:after="120" w:afterLines="50"/>
        <w:ind w:firstLine="3685" w:firstLineChars="996"/>
        <w:jc w:val="left"/>
        <w:rPr>
          <w:color w:val="000000" w:themeColor="text1"/>
          <w:spacing w:val="5"/>
          <w:sz w:val="36"/>
          <w:szCs w:val="36"/>
          <w14:textFill>
            <w14:solidFill>
              <w14:schemeClr w14:val="tx1"/>
            </w14:solidFill>
          </w14:textFill>
        </w:rPr>
      </w:pPr>
      <w:r>
        <w:rPr>
          <w:color w:val="000000" w:themeColor="text1"/>
          <w:spacing w:val="5"/>
          <w:sz w:val="36"/>
          <w:szCs w:val="36"/>
          <w14:textFill>
            <w14:solidFill>
              <w14:schemeClr w14:val="tx1"/>
            </w14:solidFill>
          </w14:textFill>
        </w:rPr>
        <w:t>张亚杰  王正忠  许增云</w:t>
      </w:r>
    </w:p>
    <w:p w14:paraId="1132FFDE">
      <w:pPr>
        <w:spacing w:before="120" w:beforeLines="50"/>
        <w:ind w:left="4928" w:leftChars="1540" w:firstLine="720"/>
        <w:jc w:val="left"/>
        <w:rPr>
          <w:color w:val="000000" w:themeColor="text1"/>
          <w:sz w:val="36"/>
          <w:szCs w:val="36"/>
          <w14:textFill>
            <w14:solidFill>
              <w14:schemeClr w14:val="tx1"/>
            </w14:solidFill>
          </w14:textFill>
        </w:rPr>
      </w:pPr>
    </w:p>
    <w:p w14:paraId="6FF1F0FA">
      <w:pPr>
        <w:spacing w:before="120" w:beforeLines="50"/>
        <w:ind w:left="4928" w:leftChars="1540" w:firstLine="720"/>
        <w:jc w:val="left"/>
        <w:rPr>
          <w:color w:val="000000" w:themeColor="text1"/>
          <w:sz w:val="36"/>
          <w:szCs w:val="36"/>
          <w14:textFill>
            <w14:solidFill>
              <w14:schemeClr w14:val="tx1"/>
            </w14:solidFill>
          </w14:textFill>
        </w:rPr>
      </w:pPr>
    </w:p>
    <w:p w14:paraId="18EF40C7">
      <w:pPr>
        <w:spacing w:before="120" w:beforeLines="50"/>
        <w:ind w:left="4928" w:leftChars="1540" w:firstLine="720"/>
        <w:jc w:val="left"/>
        <w:rPr>
          <w:color w:val="000000" w:themeColor="text1"/>
          <w:sz w:val="36"/>
          <w:szCs w:val="36"/>
          <w14:textFill>
            <w14:solidFill>
              <w14:schemeClr w14:val="tx1"/>
            </w14:solidFill>
          </w14:textFill>
        </w:rPr>
      </w:pPr>
    </w:p>
    <w:p w14:paraId="5B2BABC6">
      <w:pPr>
        <w:spacing w:before="120" w:beforeLines="50"/>
        <w:ind w:left="4928" w:leftChars="1540" w:firstLine="720"/>
        <w:jc w:val="left"/>
        <w:rPr>
          <w:color w:val="000000" w:themeColor="text1"/>
          <w:sz w:val="36"/>
          <w:szCs w:val="36"/>
          <w14:textFill>
            <w14:solidFill>
              <w14:schemeClr w14:val="tx1"/>
            </w14:solidFill>
          </w14:textFill>
        </w:rPr>
      </w:pPr>
    </w:p>
    <w:p w14:paraId="67D5893D">
      <w:pPr>
        <w:spacing w:before="120" w:beforeLines="50"/>
        <w:ind w:left="4928" w:leftChars="1540" w:firstLine="720"/>
        <w:jc w:val="left"/>
        <w:rPr>
          <w:color w:val="000000" w:themeColor="text1"/>
          <w:sz w:val="36"/>
          <w:szCs w:val="36"/>
          <w14:textFill>
            <w14:solidFill>
              <w14:schemeClr w14:val="tx1"/>
            </w14:solidFill>
          </w14:textFill>
        </w:rPr>
      </w:pPr>
    </w:p>
    <w:p w14:paraId="0A45FF31">
      <w:pPr>
        <w:pStyle w:val="18"/>
        <w:spacing w:line="0" w:lineRule="atLeast"/>
        <w:ind w:firstLine="1323"/>
        <w:jc w:val="center"/>
        <w:rPr>
          <w:rFonts w:eastAsia="黑体"/>
          <w:b/>
          <w:bCs/>
          <w:color w:val="000000" w:themeColor="text1"/>
          <w:spacing w:val="170"/>
          <w:szCs w:val="32"/>
          <w14:textFill>
            <w14:solidFill>
              <w14:schemeClr w14:val="tx1"/>
            </w14:solidFill>
          </w14:textFill>
        </w:rPr>
      </w:pPr>
    </w:p>
    <w:p w14:paraId="6B350B3E">
      <w:pPr>
        <w:pStyle w:val="18"/>
        <w:spacing w:line="0" w:lineRule="atLeast"/>
        <w:ind w:firstLine="1323"/>
        <w:jc w:val="center"/>
        <w:rPr>
          <w:rFonts w:eastAsia="黑体"/>
          <w:b/>
          <w:bCs/>
          <w:color w:val="000000" w:themeColor="text1"/>
          <w:spacing w:val="170"/>
          <w:szCs w:val="32"/>
          <w14:textFill>
            <w14:solidFill>
              <w14:schemeClr w14:val="tx1"/>
            </w14:solidFill>
          </w14:textFill>
        </w:rPr>
      </w:pPr>
    </w:p>
    <w:p w14:paraId="5C04641F">
      <w:pPr>
        <w:ind w:firstLine="640"/>
        <w:rPr>
          <w:color w:val="000000" w:themeColor="text1"/>
          <w14:textFill>
            <w14:solidFill>
              <w14:schemeClr w14:val="tx1"/>
            </w14:solidFill>
          </w14:textFill>
        </w:rPr>
      </w:pPr>
    </w:p>
    <w:p w14:paraId="2222774A">
      <w:pPr>
        <w:pStyle w:val="18"/>
        <w:spacing w:line="0" w:lineRule="atLeast"/>
        <w:ind w:firstLine="0" w:firstLineChars="0"/>
        <w:jc w:val="center"/>
        <w:rPr>
          <w:rFonts w:eastAsia="黑体"/>
          <w:b/>
          <w:bCs/>
          <w:color w:val="000000" w:themeColor="text1"/>
          <w:szCs w:val="32"/>
          <w14:textFill>
            <w14:solidFill>
              <w14:schemeClr w14:val="tx1"/>
            </w14:solidFill>
          </w14:textFill>
        </w:rPr>
      </w:pPr>
      <w:r>
        <w:rPr>
          <w:rFonts w:eastAsia="黑体"/>
          <w:color w:val="000000" w:themeColor="text1"/>
          <w:spacing w:val="170"/>
          <w:szCs w:val="32"/>
          <w14:textFill>
            <w14:solidFill>
              <w14:schemeClr w14:val="tx1"/>
            </w14:solidFill>
          </w14:textFill>
        </w:rPr>
        <w:t>易门县水利</w:t>
      </w:r>
      <w:r>
        <w:rPr>
          <w:rFonts w:eastAsia="黑体"/>
          <w:color w:val="000000" w:themeColor="text1"/>
          <w:szCs w:val="32"/>
          <w14:textFill>
            <w14:solidFill>
              <w14:schemeClr w14:val="tx1"/>
            </w14:solidFill>
          </w14:textFill>
        </w:rPr>
        <w:t>局</w:t>
      </w:r>
    </w:p>
    <w:p w14:paraId="7C10D44F">
      <w:pPr>
        <w:spacing w:before="160" w:after="160"/>
        <w:ind w:firstLine="0" w:firstLineChars="0"/>
        <w:jc w:val="center"/>
        <w:rPr>
          <w:rFonts w:eastAsia="宋体" w:cs="Times New Roman"/>
          <w:b/>
          <w:color w:val="000000" w:themeColor="text1"/>
          <w:szCs w:val="20"/>
          <w14:textFill>
            <w14:solidFill>
              <w14:schemeClr w14:val="tx1"/>
            </w14:solidFill>
          </w14:textFill>
        </w:rPr>
      </w:pPr>
      <w:r>
        <w:rPr>
          <w:rFonts w:eastAsia="黑体"/>
          <w:bCs/>
          <w:color w:val="000000" w:themeColor="text1"/>
          <w:szCs w:val="32"/>
          <w14:textFill>
            <w14:solidFill>
              <w14:schemeClr w14:val="tx1"/>
            </w14:solidFill>
          </w14:textFill>
        </w:rPr>
        <w:t>2021年1</w:t>
      </w:r>
      <w:r>
        <w:rPr>
          <w:rFonts w:hint="eastAsia" w:eastAsia="黑体"/>
          <w:bCs/>
          <w:color w:val="000000" w:themeColor="text1"/>
          <w:szCs w:val="32"/>
          <w:lang w:val="en-US" w:eastAsia="zh-CN"/>
          <w14:textFill>
            <w14:solidFill>
              <w14:schemeClr w14:val="tx1"/>
            </w14:solidFill>
          </w14:textFill>
        </w:rPr>
        <w:t>2</w:t>
      </w:r>
      <w:r>
        <w:rPr>
          <w:rFonts w:eastAsia="黑体"/>
          <w:bCs/>
          <w:color w:val="000000" w:themeColor="text1"/>
          <w:szCs w:val="32"/>
          <w14:textFill>
            <w14:solidFill>
              <w14:schemeClr w14:val="tx1"/>
            </w14:solidFill>
          </w14:textFill>
        </w:rPr>
        <w:t>月</w:t>
      </w:r>
    </w:p>
    <w:p w14:paraId="0DE2F9DB">
      <w:pPr>
        <w:widowControl/>
        <w:adjustRightInd/>
        <w:snapToGrid/>
        <w:spacing w:line="240" w:lineRule="auto"/>
        <w:ind w:firstLine="0" w:firstLineChars="0"/>
        <w:jc w:val="center"/>
        <w:rPr>
          <w:rFonts w:eastAsia="宋体" w:cs="Times New Roman"/>
          <w:b/>
          <w:color w:val="000000" w:themeColor="text1"/>
          <w:szCs w:val="20"/>
          <w14:textFill>
            <w14:solidFill>
              <w14:schemeClr w14:val="tx1"/>
            </w14:solidFill>
          </w14:textFill>
        </w:rPr>
      </w:pPr>
      <w:r>
        <w:rPr>
          <w:rFonts w:eastAsia="宋体" w:cs="Times New Roman"/>
          <w:b/>
          <w:color w:val="000000" w:themeColor="text1"/>
          <w:szCs w:val="20"/>
          <w14:textFill>
            <w14:solidFill>
              <w14:schemeClr w14:val="tx1"/>
            </w14:solidFill>
          </w14:textFill>
        </w:rPr>
        <w:br w:type="page"/>
      </w:r>
      <w:r>
        <w:rPr>
          <w:rFonts w:eastAsia="隶书" w:cs="隶书"/>
          <w:b/>
          <w:bCs/>
          <w:color w:val="000000" w:themeColor="text1"/>
          <w:sz w:val="52"/>
          <w:szCs w:val="52"/>
          <w14:textFill>
            <w14:solidFill>
              <w14:schemeClr w14:val="tx1"/>
            </w14:solidFill>
          </w14:textFill>
        </w:rPr>
        <w:t>易门县“十四五”水安全保障规划</w:t>
      </w:r>
    </w:p>
    <w:p w14:paraId="262ACCE3">
      <w:pPr>
        <w:spacing w:before="160" w:after="160"/>
        <w:ind w:firstLine="1558" w:firstLineChars="485"/>
        <w:rPr>
          <w:rFonts w:eastAsia="宋体" w:cs="Times New Roman"/>
          <w:b/>
          <w:color w:val="000000" w:themeColor="text1"/>
          <w:szCs w:val="20"/>
          <w14:textFill>
            <w14:solidFill>
              <w14:schemeClr w14:val="tx1"/>
            </w14:solidFill>
          </w14:textFill>
        </w:rPr>
      </w:pPr>
    </w:p>
    <w:p w14:paraId="6B9358CF">
      <w:pPr>
        <w:spacing w:before="160" w:after="160"/>
        <w:ind w:firstLine="1558" w:firstLineChars="485"/>
        <w:rPr>
          <w:rFonts w:eastAsia="宋体" w:cs="Times New Roman"/>
          <w:b/>
          <w:color w:val="000000" w:themeColor="text1"/>
          <w:szCs w:val="20"/>
          <w14:textFill>
            <w14:solidFill>
              <w14:schemeClr w14:val="tx1"/>
            </w14:solidFill>
          </w14:textFill>
        </w:rPr>
      </w:pPr>
    </w:p>
    <w:p w14:paraId="2507951C">
      <w:pPr>
        <w:spacing w:before="160" w:after="160"/>
        <w:ind w:firstLine="1558" w:firstLineChars="485"/>
        <w:rPr>
          <w:rFonts w:eastAsia="宋体" w:cs="Times New Roman"/>
          <w:b/>
          <w:color w:val="000000" w:themeColor="text1"/>
          <w:szCs w:val="20"/>
          <w14:textFill>
            <w14:solidFill>
              <w14:schemeClr w14:val="tx1"/>
            </w14:solidFill>
          </w14:textFill>
        </w:rPr>
      </w:pPr>
    </w:p>
    <w:p w14:paraId="61860AC9">
      <w:pPr>
        <w:spacing w:before="240" w:beforeLines="100" w:after="120" w:afterLines="50"/>
        <w:ind w:left="1600" w:leftChars="500" w:firstLine="0" w:firstLineChars="0"/>
        <w:jc w:val="left"/>
        <w:rPr>
          <w:color w:val="000000" w:themeColor="text1"/>
          <w:spacing w:val="5"/>
          <w:sz w:val="36"/>
          <w:szCs w:val="36"/>
          <w14:textFill>
            <w14:solidFill>
              <w14:schemeClr w14:val="tx1"/>
            </w14:solidFill>
          </w14:textFill>
        </w:rPr>
      </w:pPr>
      <w:r>
        <w:rPr>
          <w:rFonts w:eastAsia="宋体" w:cs="Times New Roman"/>
          <w:b/>
          <w:color w:val="000000" w:themeColor="text1"/>
          <w:szCs w:val="20"/>
          <w14:textFill>
            <w14:solidFill>
              <w14:schemeClr w14:val="tx1"/>
            </w14:solidFill>
          </w14:textFill>
        </w:rPr>
        <w:t>参与人员：</w:t>
      </w:r>
      <w:r>
        <w:rPr>
          <w:color w:val="000000" w:themeColor="text1"/>
          <w:spacing w:val="5"/>
          <w:sz w:val="36"/>
          <w:szCs w:val="36"/>
          <w14:textFill>
            <w14:solidFill>
              <w14:schemeClr w14:val="tx1"/>
            </w14:solidFill>
          </w14:textFill>
        </w:rPr>
        <w:t>周晓俊   李  辉   田新锋</w:t>
      </w:r>
    </w:p>
    <w:p w14:paraId="09C8BC44">
      <w:pPr>
        <w:spacing w:before="240" w:beforeLines="100" w:after="120" w:afterLines="50"/>
        <w:ind w:left="1600" w:leftChars="500" w:firstLine="1657" w:firstLineChars="448"/>
        <w:jc w:val="left"/>
        <w:rPr>
          <w:color w:val="000000" w:themeColor="text1"/>
          <w:spacing w:val="5"/>
          <w:sz w:val="36"/>
          <w:szCs w:val="36"/>
          <w14:textFill>
            <w14:solidFill>
              <w14:schemeClr w14:val="tx1"/>
            </w14:solidFill>
          </w14:textFill>
        </w:rPr>
      </w:pPr>
      <w:r>
        <w:rPr>
          <w:color w:val="000000" w:themeColor="text1"/>
          <w:spacing w:val="5"/>
          <w:sz w:val="36"/>
          <w:szCs w:val="36"/>
          <w14:textFill>
            <w14:solidFill>
              <w14:schemeClr w14:val="tx1"/>
            </w14:solidFill>
          </w14:textFill>
        </w:rPr>
        <w:t>李  涛   张  涛   李  伸</w:t>
      </w:r>
    </w:p>
    <w:p w14:paraId="31002485">
      <w:pPr>
        <w:spacing w:before="240" w:beforeLines="100" w:after="120" w:afterLines="50"/>
        <w:ind w:left="1600" w:leftChars="500" w:firstLine="1657" w:firstLineChars="448"/>
        <w:jc w:val="left"/>
        <w:rPr>
          <w:color w:val="000000" w:themeColor="text1"/>
          <w:spacing w:val="5"/>
          <w:sz w:val="36"/>
          <w:szCs w:val="36"/>
          <w14:textFill>
            <w14:solidFill>
              <w14:schemeClr w14:val="tx1"/>
            </w14:solidFill>
          </w14:textFill>
        </w:rPr>
      </w:pPr>
      <w:r>
        <w:rPr>
          <w:color w:val="000000" w:themeColor="text1"/>
          <w:spacing w:val="5"/>
          <w:sz w:val="36"/>
          <w:szCs w:val="36"/>
          <w14:textFill>
            <w14:solidFill>
              <w14:schemeClr w14:val="tx1"/>
            </w14:solidFill>
          </w14:textFill>
        </w:rPr>
        <w:t>李年平   钏茂芳   李景文</w:t>
      </w:r>
      <w:bookmarkStart w:id="0" w:name="_Toc16407"/>
    </w:p>
    <w:p w14:paraId="70BBC20B">
      <w:pPr>
        <w:spacing w:before="240" w:beforeLines="100" w:after="120" w:afterLines="50"/>
        <w:ind w:left="1600" w:leftChars="500" w:firstLine="1657" w:firstLineChars="448"/>
        <w:jc w:val="left"/>
        <w:rPr>
          <w:color w:val="000000" w:themeColor="text1"/>
          <w:spacing w:val="5"/>
          <w:sz w:val="36"/>
          <w:szCs w:val="36"/>
          <w14:textFill>
            <w14:solidFill>
              <w14:schemeClr w14:val="tx1"/>
            </w14:solidFill>
          </w14:textFill>
        </w:rPr>
      </w:pPr>
      <w:r>
        <w:rPr>
          <w:rFonts w:hint="eastAsia"/>
          <w:color w:val="000000" w:themeColor="text1"/>
          <w:spacing w:val="5"/>
          <w:sz w:val="36"/>
          <w:szCs w:val="36"/>
          <w14:textFill>
            <w14:solidFill>
              <w14:schemeClr w14:val="tx1"/>
            </w14:solidFill>
          </w14:textFill>
        </w:rPr>
        <w:t xml:space="preserve">冯 </w:t>
      </w:r>
      <w:r>
        <w:rPr>
          <w:color w:val="000000" w:themeColor="text1"/>
          <w:spacing w:val="5"/>
          <w:sz w:val="36"/>
          <w:szCs w:val="36"/>
          <w14:textFill>
            <w14:solidFill>
              <w14:schemeClr w14:val="tx1"/>
            </w14:solidFill>
          </w14:textFill>
        </w:rPr>
        <w:t xml:space="preserve"> </w:t>
      </w:r>
      <w:r>
        <w:rPr>
          <w:rFonts w:hint="eastAsia"/>
          <w:color w:val="000000" w:themeColor="text1"/>
          <w:spacing w:val="5"/>
          <w:sz w:val="36"/>
          <w:szCs w:val="36"/>
          <w14:textFill>
            <w14:solidFill>
              <w14:schemeClr w14:val="tx1"/>
            </w14:solidFill>
          </w14:textFill>
        </w:rPr>
        <w:t xml:space="preserve">捷  </w:t>
      </w:r>
      <w:r>
        <w:rPr>
          <w:color w:val="000000" w:themeColor="text1"/>
          <w:spacing w:val="5"/>
          <w:sz w:val="36"/>
          <w:szCs w:val="36"/>
          <w14:textFill>
            <w14:solidFill>
              <w14:schemeClr w14:val="tx1"/>
            </w14:solidFill>
          </w14:textFill>
        </w:rPr>
        <w:t xml:space="preserve"> </w:t>
      </w:r>
      <w:r>
        <w:rPr>
          <w:rFonts w:hint="eastAsia"/>
          <w:color w:val="000000" w:themeColor="text1"/>
          <w:spacing w:val="5"/>
          <w:sz w:val="36"/>
          <w:szCs w:val="36"/>
          <w14:textFill>
            <w14:solidFill>
              <w14:schemeClr w14:val="tx1"/>
            </w14:solidFill>
          </w14:textFill>
        </w:rPr>
        <w:t xml:space="preserve">常 </w:t>
      </w:r>
      <w:r>
        <w:rPr>
          <w:color w:val="000000" w:themeColor="text1"/>
          <w:spacing w:val="5"/>
          <w:sz w:val="36"/>
          <w:szCs w:val="36"/>
          <w14:textFill>
            <w14:solidFill>
              <w14:schemeClr w14:val="tx1"/>
            </w14:solidFill>
          </w14:textFill>
        </w:rPr>
        <w:t xml:space="preserve"> </w:t>
      </w:r>
      <w:r>
        <w:rPr>
          <w:rFonts w:hint="eastAsia"/>
          <w:color w:val="000000" w:themeColor="text1"/>
          <w:spacing w:val="5"/>
          <w:sz w:val="36"/>
          <w:szCs w:val="36"/>
          <w14:textFill>
            <w14:solidFill>
              <w14:schemeClr w14:val="tx1"/>
            </w14:solidFill>
          </w14:textFill>
        </w:rPr>
        <w:t xml:space="preserve">园 </w:t>
      </w:r>
      <w:r>
        <w:rPr>
          <w:color w:val="000000" w:themeColor="text1"/>
          <w:spacing w:val="5"/>
          <w:sz w:val="36"/>
          <w:szCs w:val="36"/>
          <w14:textFill>
            <w14:solidFill>
              <w14:schemeClr w14:val="tx1"/>
            </w14:solidFill>
          </w14:textFill>
        </w:rPr>
        <w:t xml:space="preserve">  苏龙顺</w:t>
      </w:r>
    </w:p>
    <w:p w14:paraId="38F8F0A3">
      <w:pPr>
        <w:spacing w:before="240" w:beforeLines="100" w:after="120" w:afterLines="50"/>
        <w:ind w:left="1600" w:leftChars="500" w:firstLine="1657" w:firstLineChars="448"/>
        <w:jc w:val="left"/>
        <w:rPr>
          <w:color w:val="000000" w:themeColor="text1"/>
          <w:spacing w:val="5"/>
          <w:sz w:val="36"/>
          <w:szCs w:val="36"/>
          <w14:textFill>
            <w14:solidFill>
              <w14:schemeClr w14:val="tx1"/>
            </w14:solidFill>
          </w14:textFill>
        </w:rPr>
      </w:pPr>
      <w:r>
        <w:rPr>
          <w:rFonts w:hint="eastAsia"/>
          <w:color w:val="000000" w:themeColor="text1"/>
          <w:spacing w:val="5"/>
          <w:sz w:val="36"/>
          <w:szCs w:val="36"/>
          <w14:textFill>
            <w14:solidFill>
              <w14:schemeClr w14:val="tx1"/>
            </w14:solidFill>
          </w14:textFill>
        </w:rPr>
        <w:t>马  超</w:t>
      </w:r>
      <w:r>
        <w:rPr>
          <w:color w:val="000000" w:themeColor="text1"/>
          <w:spacing w:val="5"/>
          <w:sz w:val="36"/>
          <w:szCs w:val="36"/>
          <w14:textFill>
            <w14:solidFill>
              <w14:schemeClr w14:val="tx1"/>
            </w14:solidFill>
          </w14:textFill>
        </w:rPr>
        <w:t xml:space="preserve">   </w:t>
      </w:r>
      <w:r>
        <w:rPr>
          <w:rFonts w:hint="eastAsia"/>
          <w:color w:val="000000" w:themeColor="text1"/>
          <w:spacing w:val="5"/>
          <w:sz w:val="36"/>
          <w:szCs w:val="36"/>
          <w14:textFill>
            <w14:solidFill>
              <w14:schemeClr w14:val="tx1"/>
            </w14:solidFill>
          </w14:textFill>
        </w:rPr>
        <w:t xml:space="preserve">熊天满 </w:t>
      </w:r>
      <w:r>
        <w:rPr>
          <w:color w:val="000000" w:themeColor="text1"/>
          <w:spacing w:val="5"/>
          <w:sz w:val="36"/>
          <w:szCs w:val="36"/>
          <w14:textFill>
            <w14:solidFill>
              <w14:schemeClr w14:val="tx1"/>
            </w14:solidFill>
          </w14:textFill>
        </w:rPr>
        <w:t xml:space="preserve">  </w:t>
      </w:r>
      <w:r>
        <w:rPr>
          <w:rFonts w:hint="eastAsia"/>
          <w:color w:val="000000" w:themeColor="text1"/>
          <w:spacing w:val="5"/>
          <w:sz w:val="36"/>
          <w:szCs w:val="36"/>
          <w14:textFill>
            <w14:solidFill>
              <w14:schemeClr w14:val="tx1"/>
            </w14:solidFill>
          </w14:textFill>
        </w:rPr>
        <w:t>白红兵</w:t>
      </w:r>
    </w:p>
    <w:p w14:paraId="07776674">
      <w:pPr>
        <w:spacing w:before="240" w:beforeLines="100" w:after="120" w:afterLines="50"/>
        <w:ind w:left="1600" w:leftChars="500" w:firstLine="1657" w:firstLineChars="448"/>
        <w:jc w:val="left"/>
        <w:rPr>
          <w:color w:val="000000" w:themeColor="text1"/>
          <w:spacing w:val="5"/>
          <w:sz w:val="36"/>
          <w:szCs w:val="36"/>
          <w14:textFill>
            <w14:solidFill>
              <w14:schemeClr w14:val="tx1"/>
            </w14:solidFill>
          </w14:textFill>
        </w:rPr>
      </w:pPr>
      <w:r>
        <w:rPr>
          <w:rFonts w:hint="eastAsia"/>
          <w:color w:val="000000" w:themeColor="text1"/>
          <w:spacing w:val="5"/>
          <w:sz w:val="36"/>
          <w:szCs w:val="36"/>
          <w14:textFill>
            <w14:solidFill>
              <w14:schemeClr w14:val="tx1"/>
            </w14:solidFill>
          </w14:textFill>
        </w:rPr>
        <w:t xml:space="preserve">杨宝淑 </w:t>
      </w:r>
      <w:r>
        <w:rPr>
          <w:color w:val="000000" w:themeColor="text1"/>
          <w:spacing w:val="5"/>
          <w:sz w:val="36"/>
          <w:szCs w:val="36"/>
          <w14:textFill>
            <w14:solidFill>
              <w14:schemeClr w14:val="tx1"/>
            </w14:solidFill>
          </w14:textFill>
        </w:rPr>
        <w:t xml:space="preserve">  </w:t>
      </w:r>
      <w:r>
        <w:rPr>
          <w:rFonts w:hint="eastAsia"/>
          <w:color w:val="000000" w:themeColor="text1"/>
          <w:spacing w:val="5"/>
          <w:sz w:val="36"/>
          <w:szCs w:val="36"/>
          <w14:textFill>
            <w14:solidFill>
              <w14:schemeClr w14:val="tx1"/>
            </w14:solidFill>
          </w14:textFill>
        </w:rPr>
        <w:t xml:space="preserve">王  磊 </w:t>
      </w:r>
      <w:r>
        <w:rPr>
          <w:color w:val="000000" w:themeColor="text1"/>
          <w:spacing w:val="5"/>
          <w:sz w:val="36"/>
          <w:szCs w:val="36"/>
          <w14:textFill>
            <w14:solidFill>
              <w14:schemeClr w14:val="tx1"/>
            </w14:solidFill>
          </w14:textFill>
        </w:rPr>
        <w:t xml:space="preserve">  卢春羽</w:t>
      </w:r>
    </w:p>
    <w:p w14:paraId="55270890">
      <w:pPr>
        <w:spacing w:before="240" w:beforeLines="100" w:after="120" w:afterLines="50"/>
        <w:ind w:left="1600" w:leftChars="500" w:firstLine="1657" w:firstLineChars="448"/>
        <w:jc w:val="left"/>
        <w:rPr>
          <w:color w:val="000000" w:themeColor="text1"/>
          <w:spacing w:val="5"/>
          <w:sz w:val="36"/>
          <w:szCs w:val="36"/>
          <w14:textFill>
            <w14:solidFill>
              <w14:schemeClr w14:val="tx1"/>
            </w14:solidFill>
          </w14:textFill>
        </w:rPr>
      </w:pPr>
      <w:r>
        <w:rPr>
          <w:rFonts w:hint="eastAsia"/>
          <w:color w:val="000000" w:themeColor="text1"/>
          <w:spacing w:val="5"/>
          <w:sz w:val="36"/>
          <w:szCs w:val="36"/>
          <w14:textFill>
            <w14:solidFill>
              <w14:schemeClr w14:val="tx1"/>
            </w14:solidFill>
          </w14:textFill>
        </w:rPr>
        <w:t xml:space="preserve">李奕锟 </w:t>
      </w:r>
      <w:r>
        <w:rPr>
          <w:color w:val="000000" w:themeColor="text1"/>
          <w:spacing w:val="5"/>
          <w:sz w:val="36"/>
          <w:szCs w:val="36"/>
          <w14:textFill>
            <w14:solidFill>
              <w14:schemeClr w14:val="tx1"/>
            </w14:solidFill>
          </w14:textFill>
        </w:rPr>
        <w:t xml:space="preserve">  </w:t>
      </w:r>
      <w:r>
        <w:rPr>
          <w:rFonts w:hint="eastAsia"/>
          <w:color w:val="000000" w:themeColor="text1"/>
          <w:spacing w:val="5"/>
          <w:sz w:val="36"/>
          <w:szCs w:val="36"/>
          <w14:textFill>
            <w14:solidFill>
              <w14:schemeClr w14:val="tx1"/>
            </w14:solidFill>
          </w14:textFill>
        </w:rPr>
        <w:t>辛庆道</w:t>
      </w:r>
    </w:p>
    <w:p w14:paraId="01E1C96E">
      <w:pPr>
        <w:pStyle w:val="18"/>
        <w:spacing w:line="0" w:lineRule="atLeast"/>
        <w:ind w:firstLine="1320"/>
        <w:jc w:val="center"/>
        <w:rPr>
          <w:rFonts w:eastAsia="黑体"/>
          <w:color w:val="000000" w:themeColor="text1"/>
          <w:spacing w:val="170"/>
          <w:szCs w:val="32"/>
          <w14:textFill>
            <w14:solidFill>
              <w14:schemeClr w14:val="tx1"/>
            </w14:solidFill>
          </w14:textFill>
        </w:rPr>
      </w:pPr>
    </w:p>
    <w:p w14:paraId="71A3E892">
      <w:pPr>
        <w:ind w:firstLine="640"/>
        <w:rPr>
          <w:color w:val="000000" w:themeColor="text1"/>
          <w14:textFill>
            <w14:solidFill>
              <w14:schemeClr w14:val="tx1"/>
            </w14:solidFill>
          </w14:textFill>
        </w:rPr>
      </w:pPr>
    </w:p>
    <w:p w14:paraId="4A631CB1">
      <w:pPr>
        <w:ind w:left="0" w:leftChars="0" w:firstLine="0" w:firstLineChars="0"/>
        <w:rPr>
          <w:color w:val="000000" w:themeColor="text1"/>
          <w14:textFill>
            <w14:solidFill>
              <w14:schemeClr w14:val="tx1"/>
            </w14:solidFill>
          </w14:textFill>
        </w:rPr>
      </w:pPr>
    </w:p>
    <w:p w14:paraId="412EDD60">
      <w:pPr>
        <w:spacing w:before="160" w:after="160"/>
        <w:ind w:firstLine="0" w:firstLineChars="0"/>
        <w:jc w:val="center"/>
        <w:rPr>
          <w:rFonts w:eastAsia="黑体"/>
          <w:bCs/>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玉溪市水利建设大队</w:t>
      </w:r>
    </w:p>
    <w:p w14:paraId="5A26797B">
      <w:pPr>
        <w:spacing w:before="160" w:after="160"/>
        <w:ind w:firstLine="0" w:firstLineChars="0"/>
        <w:jc w:val="center"/>
        <w:rPr>
          <w:rFonts w:eastAsia="黑体"/>
          <w:bCs/>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2021年1</w:t>
      </w:r>
      <w:r>
        <w:rPr>
          <w:rFonts w:hint="eastAsia" w:eastAsia="黑体"/>
          <w:bCs/>
          <w:color w:val="000000" w:themeColor="text1"/>
          <w:szCs w:val="32"/>
          <w:lang w:val="en-US" w:eastAsia="zh-CN"/>
          <w14:textFill>
            <w14:solidFill>
              <w14:schemeClr w14:val="tx1"/>
            </w14:solidFill>
          </w14:textFill>
        </w:rPr>
        <w:t>2</w:t>
      </w:r>
      <w:r>
        <w:rPr>
          <w:rFonts w:eastAsia="黑体"/>
          <w:bCs/>
          <w:color w:val="000000" w:themeColor="text1"/>
          <w:szCs w:val="32"/>
          <w14:textFill>
            <w14:solidFill>
              <w14:schemeClr w14:val="tx1"/>
            </w14:solidFill>
          </w14:textFill>
        </w:rPr>
        <w:t>月</w:t>
      </w:r>
    </w:p>
    <w:p w14:paraId="76FA4343">
      <w:pPr>
        <w:widowControl/>
        <w:adjustRightInd/>
        <w:snapToGrid/>
        <w:spacing w:line="240" w:lineRule="auto"/>
        <w:ind w:firstLine="0" w:firstLineChars="0"/>
        <w:jc w:val="center"/>
        <w:outlineLvl w:val="0"/>
        <w:rPr>
          <w:rFonts w:eastAsia="仿宋"/>
          <w:b/>
          <w:color w:val="000000" w:themeColor="text1"/>
          <w14:textFill>
            <w14:solidFill>
              <w14:schemeClr w14:val="tx1"/>
            </w14:solidFill>
          </w14:textFill>
        </w:rPr>
      </w:pPr>
      <w:r>
        <w:rPr>
          <w:rFonts w:eastAsia="仿宋" w:cs="黑体"/>
          <w:color w:val="000000" w:themeColor="text1"/>
          <w:szCs w:val="32"/>
          <w14:textFill>
            <w14:solidFill>
              <w14:schemeClr w14:val="tx1"/>
            </w14:solidFill>
          </w14:textFill>
        </w:rPr>
        <w:br w:type="page"/>
      </w:r>
      <w:r>
        <w:rPr>
          <w:rFonts w:eastAsia="仿宋" w:cs="黑体"/>
          <w:b/>
          <w:color w:val="000000" w:themeColor="text1"/>
          <w:szCs w:val="32"/>
          <w14:textFill>
            <w14:solidFill>
              <w14:schemeClr w14:val="tx1"/>
            </w14:solidFill>
          </w14:textFill>
        </w:rPr>
        <w:t>目   录</w:t>
      </w:r>
    </w:p>
    <w:p w14:paraId="137DD72C">
      <w:pPr>
        <w:pStyle w:val="18"/>
        <w:tabs>
          <w:tab w:val="right" w:leader="dot" w:pos="8788"/>
        </w:tabs>
        <w:spacing w:line="400" w:lineRule="exact"/>
        <w:ind w:firstLine="0" w:firstLineChars="0"/>
        <w:rPr>
          <w:rFonts w:eastAsia="仿宋" w:cs="方正仿宋_GBK"/>
          <w:b/>
          <w:bCs/>
          <w:color w:val="000000" w:themeColor="text1"/>
          <w:sz w:val="28"/>
          <w:szCs w:val="28"/>
          <w14:textFill>
            <w14:solidFill>
              <w14:schemeClr w14:val="tx1"/>
            </w14:solidFill>
          </w14:textFill>
        </w:rPr>
      </w:pPr>
      <w:r>
        <w:rPr>
          <w:rFonts w:eastAsia="仿宋"/>
          <w:color w:val="000000" w:themeColor="text1"/>
          <w14:textFill>
            <w14:solidFill>
              <w14:schemeClr w14:val="tx1"/>
            </w14:solidFill>
          </w14:textFill>
        </w:rPr>
        <w:fldChar w:fldCharType="begin"/>
      </w:r>
      <w:r>
        <w:rPr>
          <w:rFonts w:eastAsia="仿宋"/>
          <w:color w:val="000000" w:themeColor="text1"/>
          <w14:textFill>
            <w14:solidFill>
              <w14:schemeClr w14:val="tx1"/>
            </w14:solidFill>
          </w14:textFill>
        </w:rPr>
        <w:instrText xml:space="preserve">TOC \o "1-4" \h \u </w:instrText>
      </w:r>
      <w:r>
        <w:rPr>
          <w:rFonts w:eastAsia="仿宋"/>
          <w:color w:val="000000" w:themeColor="text1"/>
          <w14:textFill>
            <w14:solidFill>
              <w14:schemeClr w14:val="tx1"/>
            </w14:solidFill>
          </w14:textFill>
        </w:rPr>
        <w:fldChar w:fldCharType="separate"/>
      </w:r>
      <w:r>
        <w:fldChar w:fldCharType="begin"/>
      </w:r>
      <w:r>
        <w:instrText xml:space="preserve"> HYPERLINK \l "_Toc30209" </w:instrText>
      </w:r>
      <w:r>
        <w:fldChar w:fldCharType="separate"/>
      </w:r>
      <w:r>
        <w:rPr>
          <w:rFonts w:eastAsia="仿宋" w:cs="方正仿宋_GBK"/>
          <w:b/>
          <w:bCs/>
          <w:color w:val="000000" w:themeColor="text1"/>
          <w:sz w:val="28"/>
          <w:szCs w:val="28"/>
          <w14:textFill>
            <w14:solidFill>
              <w14:schemeClr w14:val="tx1"/>
            </w14:solidFill>
          </w14:textFill>
        </w:rPr>
        <w:t>前言</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_Toc30209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- 1 -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2F8731B5">
      <w:pPr>
        <w:pStyle w:val="18"/>
        <w:tabs>
          <w:tab w:val="right" w:leader="dot" w:pos="8788"/>
        </w:tabs>
        <w:spacing w:line="400" w:lineRule="exact"/>
        <w:ind w:firstLine="0" w:firstLineChars="0"/>
        <w:rPr>
          <w:rFonts w:eastAsia="仿宋" w:cs="方正仿宋_GBK"/>
          <w:b/>
          <w:bCs/>
          <w:color w:val="000000" w:themeColor="text1"/>
          <w:sz w:val="28"/>
          <w:szCs w:val="28"/>
          <w14:textFill>
            <w14:solidFill>
              <w14:schemeClr w14:val="tx1"/>
            </w14:solidFill>
          </w14:textFill>
        </w:rPr>
      </w:pPr>
      <w:r>
        <w:fldChar w:fldCharType="begin"/>
      </w:r>
      <w:r>
        <w:instrText xml:space="preserve"> HYPERLINK \l "_Toc20425" </w:instrText>
      </w:r>
      <w:r>
        <w:fldChar w:fldCharType="separate"/>
      </w:r>
      <w:r>
        <w:rPr>
          <w:rFonts w:eastAsia="仿宋" w:cs="方正仿宋_GBK"/>
          <w:b/>
          <w:bCs/>
          <w:color w:val="000000" w:themeColor="text1"/>
          <w:sz w:val="28"/>
          <w:szCs w:val="28"/>
          <w14:textFill>
            <w14:solidFill>
              <w14:schemeClr w14:val="tx1"/>
            </w14:solidFill>
          </w14:textFill>
        </w:rPr>
        <w:t>1 规划背景</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_Toc20425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- 6 -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004EEC41">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"_Toc8875" </w:instrText>
      </w:r>
      <w:r>
        <w:fldChar w:fldCharType="separate"/>
      </w:r>
      <w:r>
        <w:rPr>
          <w:rFonts w:eastAsia="仿宋" w:cs="方正仿宋_GBK"/>
          <w:color w:val="000000" w:themeColor="text1"/>
          <w:sz w:val="28"/>
          <w:szCs w:val="28"/>
          <w14:textFill>
            <w14:solidFill>
              <w14:schemeClr w14:val="tx1"/>
            </w14:solidFill>
          </w14:textFill>
        </w:rPr>
        <w:t>1.1 基本情况</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_Toc8875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- 6 -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19B04B14">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"_Toc18916" </w:instrText>
      </w:r>
      <w:r>
        <w:fldChar w:fldCharType="separate"/>
      </w:r>
      <w:r>
        <w:rPr>
          <w:rFonts w:eastAsia="仿宋" w:cs="方正仿宋_GBK"/>
          <w:color w:val="000000" w:themeColor="text1"/>
          <w:sz w:val="28"/>
          <w:szCs w:val="28"/>
          <w14:textFill>
            <w14:solidFill>
              <w14:schemeClr w14:val="tx1"/>
            </w14:solidFill>
          </w14:textFill>
        </w:rPr>
        <w:t>1.2 水利改革发展现状</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_Toc18916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- 16 -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1A97F388">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"_Toc18915" </w:instrText>
      </w:r>
      <w:r>
        <w:fldChar w:fldCharType="separate"/>
      </w:r>
      <w:r>
        <w:rPr>
          <w:rFonts w:eastAsia="仿宋" w:cs="方正仿宋_GBK"/>
          <w:color w:val="000000" w:themeColor="text1"/>
          <w:sz w:val="28"/>
          <w:szCs w:val="28"/>
          <w14:textFill>
            <w14:solidFill>
              <w14:schemeClr w14:val="tx1"/>
            </w14:solidFill>
          </w14:textFill>
        </w:rPr>
        <w:t>1.3 面临形势</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_Toc18915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- 35 -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10C0C971">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"_Toc25374" </w:instrText>
      </w:r>
      <w:r>
        <w:fldChar w:fldCharType="separate"/>
      </w:r>
      <w:r>
        <w:rPr>
          <w:rFonts w:eastAsia="仿宋" w:cs="方正仿宋_GBK"/>
          <w:color w:val="000000" w:themeColor="text1"/>
          <w:sz w:val="28"/>
          <w:szCs w:val="28"/>
          <w14:textFill>
            <w14:solidFill>
              <w14:schemeClr w14:val="tx1"/>
            </w14:solidFill>
          </w14:textFill>
        </w:rPr>
        <w:t>1.4 存在问题</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_Toc25374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- 38 -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4BEBF169">
      <w:pPr>
        <w:pStyle w:val="18"/>
        <w:tabs>
          <w:tab w:val="right" w:leader="dot" w:pos="8788"/>
        </w:tabs>
        <w:spacing w:line="400" w:lineRule="exact"/>
        <w:ind w:firstLine="0" w:firstLineChars="0"/>
        <w:rPr>
          <w:rFonts w:eastAsia="仿宋" w:cs="方正仿宋_GBK"/>
          <w:b/>
          <w:bCs/>
          <w:color w:val="000000" w:themeColor="text1"/>
          <w:sz w:val="28"/>
          <w:szCs w:val="28"/>
          <w14:textFill>
            <w14:solidFill>
              <w14:schemeClr w14:val="tx1"/>
            </w14:solidFill>
          </w14:textFill>
        </w:rPr>
      </w:pPr>
      <w:r>
        <w:fldChar w:fldCharType="begin"/>
      </w:r>
      <w:r>
        <w:instrText xml:space="preserve"> HYPERLINK \l "_Toc5175" </w:instrText>
      </w:r>
      <w:r>
        <w:fldChar w:fldCharType="separate"/>
      </w:r>
      <w:r>
        <w:rPr>
          <w:rFonts w:eastAsia="仿宋" w:cs="方正仿宋_GBK"/>
          <w:b/>
          <w:bCs/>
          <w:color w:val="000000" w:themeColor="text1"/>
          <w:sz w:val="28"/>
          <w:szCs w:val="28"/>
          <w14:textFill>
            <w14:solidFill>
              <w14:schemeClr w14:val="tx1"/>
            </w14:solidFill>
          </w14:textFill>
        </w:rPr>
        <w:t>2 总体思路</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_Toc5175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- 41 -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1CC7F70D">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"_Toc28990" </w:instrText>
      </w:r>
      <w:r>
        <w:fldChar w:fldCharType="separate"/>
      </w:r>
      <w:r>
        <w:rPr>
          <w:rFonts w:eastAsia="仿宋" w:cs="方正仿宋_GBK"/>
          <w:color w:val="000000" w:themeColor="text1"/>
          <w:sz w:val="28"/>
          <w:szCs w:val="28"/>
          <w14:textFill>
            <w14:solidFill>
              <w14:schemeClr w14:val="tx1"/>
            </w14:solidFill>
          </w14:textFill>
        </w:rPr>
        <w:t>2.1 指导思想</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_Toc28990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- 42 -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21D29690">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"_Toc5411" </w:instrText>
      </w:r>
      <w:r>
        <w:fldChar w:fldCharType="separate"/>
      </w:r>
      <w:r>
        <w:rPr>
          <w:rFonts w:eastAsia="仿宋" w:cs="方正仿宋_GBK"/>
          <w:color w:val="000000" w:themeColor="text1"/>
          <w:sz w:val="28"/>
          <w:szCs w:val="28"/>
          <w14:textFill>
            <w14:solidFill>
              <w14:schemeClr w14:val="tx1"/>
            </w14:solidFill>
          </w14:textFill>
        </w:rPr>
        <w:t>2.2 基本原则</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_Toc5411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- 43 -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359F2C96">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"_Toc5305" </w:instrText>
      </w:r>
      <w:r>
        <w:fldChar w:fldCharType="separate"/>
      </w:r>
      <w:r>
        <w:rPr>
          <w:rFonts w:eastAsia="仿宋" w:cs="方正仿宋_GBK"/>
          <w:color w:val="000000" w:themeColor="text1"/>
          <w:sz w:val="28"/>
          <w:szCs w:val="28"/>
          <w14:textFill>
            <w14:solidFill>
              <w14:schemeClr w14:val="tx1"/>
            </w14:solidFill>
          </w14:textFill>
        </w:rPr>
        <w:t>2.3 规划水平年</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_Toc5305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- 46 -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083138FF">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"_Toc16280" </w:instrText>
      </w:r>
      <w:r>
        <w:fldChar w:fldCharType="separate"/>
      </w:r>
      <w:r>
        <w:rPr>
          <w:rFonts w:eastAsia="仿宋" w:cs="方正仿宋_GBK"/>
          <w:color w:val="000000" w:themeColor="text1"/>
          <w:sz w:val="28"/>
          <w:szCs w:val="28"/>
          <w14:textFill>
            <w14:solidFill>
              <w14:schemeClr w14:val="tx1"/>
            </w14:solidFill>
          </w14:textFill>
        </w:rPr>
        <w:t>2.4 主要目标</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_Toc16280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- 46 -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77DD96F9">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"_Toc16320" </w:instrText>
      </w:r>
      <w:r>
        <w:fldChar w:fldCharType="separate"/>
      </w:r>
      <w:r>
        <w:rPr>
          <w:rFonts w:eastAsia="仿宋" w:cs="方正仿宋_GBK"/>
          <w:color w:val="000000" w:themeColor="text1"/>
          <w:sz w:val="28"/>
          <w:szCs w:val="28"/>
          <w14:textFill>
            <w14:solidFill>
              <w14:schemeClr w14:val="tx1"/>
            </w14:solidFill>
          </w14:textFill>
        </w:rPr>
        <w:t>2.5 发展布局</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_Toc16320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- 52 -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4FF71EC0">
      <w:pPr>
        <w:pStyle w:val="18"/>
        <w:tabs>
          <w:tab w:val="right" w:leader="dot" w:pos="8788"/>
        </w:tabs>
        <w:spacing w:line="400" w:lineRule="exact"/>
        <w:ind w:firstLine="0" w:firstLineChars="0"/>
        <w:rPr>
          <w:rFonts w:eastAsia="仿宋" w:cs="方正仿宋_GBK"/>
          <w:b/>
          <w:bCs/>
          <w:color w:val="000000" w:themeColor="text1"/>
          <w:sz w:val="28"/>
          <w:szCs w:val="28"/>
          <w14:textFill>
            <w14:solidFill>
              <w14:schemeClr w14:val="tx1"/>
            </w14:solidFill>
          </w14:textFill>
        </w:rPr>
      </w:pPr>
      <w:r>
        <w:fldChar w:fldCharType="begin"/>
      </w:r>
      <w:r>
        <w:instrText xml:space="preserve"> HYPERLINK \l "_Toc1002" </w:instrText>
      </w:r>
      <w:r>
        <w:fldChar w:fldCharType="separate"/>
      </w:r>
      <w:r>
        <w:rPr>
          <w:rFonts w:eastAsia="仿宋" w:cs="方正仿宋_GBK"/>
          <w:b/>
          <w:bCs/>
          <w:color w:val="000000" w:themeColor="text1"/>
          <w:sz w:val="28"/>
          <w:szCs w:val="28"/>
          <w14:textFill>
            <w14:solidFill>
              <w14:schemeClr w14:val="tx1"/>
            </w14:solidFill>
          </w14:textFill>
        </w:rPr>
        <w:t>3 以水定需，全面推进节水型社会建设</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_Toc1002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- 55 -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53631DBF">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"_Toc21689" </w:instrText>
      </w:r>
      <w:r>
        <w:fldChar w:fldCharType="separate"/>
      </w:r>
      <w:r>
        <w:rPr>
          <w:rFonts w:eastAsia="仿宋" w:cs="方正仿宋_GBK"/>
          <w:color w:val="000000" w:themeColor="text1"/>
          <w:sz w:val="28"/>
          <w:szCs w:val="28"/>
          <w14:textFill>
            <w14:solidFill>
              <w14:schemeClr w14:val="tx1"/>
            </w14:solidFill>
          </w14:textFill>
        </w:rPr>
        <w:t>3.1 落实最严格的水资源管理制度</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_Toc21689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- 55 -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57C4647D">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"_Toc2261" </w:instrText>
      </w:r>
      <w:r>
        <w:fldChar w:fldCharType="separate"/>
      </w:r>
      <w:r>
        <w:rPr>
          <w:rFonts w:eastAsia="仿宋" w:cs="方正仿宋_GBK"/>
          <w:color w:val="000000" w:themeColor="text1"/>
          <w:sz w:val="28"/>
          <w:szCs w:val="28"/>
          <w14:textFill>
            <w14:solidFill>
              <w14:schemeClr w14:val="tx1"/>
            </w14:solidFill>
          </w14:textFill>
        </w:rPr>
        <w:t>3.2 大力推进重点领域节水</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_Toc2261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- 56 -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4817BB48">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"_Toc15766" </w:instrText>
      </w:r>
      <w:r>
        <w:fldChar w:fldCharType="separate"/>
      </w:r>
      <w:r>
        <w:rPr>
          <w:rFonts w:eastAsia="仿宋" w:cs="方正仿宋_GBK"/>
          <w:color w:val="000000" w:themeColor="text1"/>
          <w:sz w:val="28"/>
          <w:szCs w:val="28"/>
          <w14:textFill>
            <w14:solidFill>
              <w14:schemeClr w14:val="tx1"/>
            </w14:solidFill>
          </w14:textFill>
        </w:rPr>
        <w:t>3.3 建立健全节水激励机制</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_Toc15766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- 61 -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4B4D253D">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"_Toc7686" </w:instrText>
      </w:r>
      <w:r>
        <w:fldChar w:fldCharType="separate"/>
      </w:r>
      <w:r>
        <w:rPr>
          <w:rFonts w:eastAsia="仿宋" w:cs="方正仿宋_GBK"/>
          <w:color w:val="000000" w:themeColor="text1"/>
          <w:sz w:val="28"/>
          <w:szCs w:val="28"/>
          <w14:textFill>
            <w14:solidFill>
              <w14:schemeClr w14:val="tx1"/>
            </w14:solidFill>
          </w14:textFill>
        </w:rPr>
        <w:t>3.4 培养公民节水节水意识</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_Toc7686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- 63 -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0ED2C1BC">
      <w:pPr>
        <w:pStyle w:val="18"/>
        <w:tabs>
          <w:tab w:val="right" w:leader="dot" w:pos="8788"/>
        </w:tabs>
        <w:spacing w:line="400" w:lineRule="exact"/>
        <w:ind w:firstLine="0" w:firstLineChars="0"/>
        <w:rPr>
          <w:rFonts w:eastAsia="仿宋" w:cs="方正仿宋_GBK"/>
          <w:b/>
          <w:bCs/>
          <w:color w:val="000000" w:themeColor="text1"/>
          <w:sz w:val="28"/>
          <w:szCs w:val="28"/>
          <w14:textFill>
            <w14:solidFill>
              <w14:schemeClr w14:val="tx1"/>
            </w14:solidFill>
          </w14:textFill>
        </w:rPr>
      </w:pPr>
      <w:r>
        <w:fldChar w:fldCharType="begin"/>
      </w:r>
      <w:r>
        <w:instrText xml:space="preserve"> HYPERLINK \l "_Toc27337" </w:instrText>
      </w:r>
      <w:r>
        <w:fldChar w:fldCharType="separate"/>
      </w:r>
      <w:r>
        <w:rPr>
          <w:rFonts w:eastAsia="仿宋" w:cs="方正仿宋_GBK"/>
          <w:b/>
          <w:bCs/>
          <w:color w:val="000000" w:themeColor="text1"/>
          <w:sz w:val="28"/>
          <w:szCs w:val="28"/>
          <w14:textFill>
            <w14:solidFill>
              <w14:schemeClr w14:val="tx1"/>
            </w14:solidFill>
          </w14:textFill>
        </w:rPr>
        <w:t>4 防治并重，完善江河安澜的防洪体系</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_Toc27337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- 64 -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5CC7F2AF">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"_Toc15293" </w:instrText>
      </w:r>
      <w:r>
        <w:fldChar w:fldCharType="separate"/>
      </w:r>
      <w:r>
        <w:rPr>
          <w:rFonts w:eastAsia="仿宋" w:cs="方正仿宋_GBK"/>
          <w:color w:val="000000" w:themeColor="text1"/>
          <w:sz w:val="28"/>
          <w:szCs w:val="28"/>
          <w14:textFill>
            <w14:solidFill>
              <w14:schemeClr w14:val="tx1"/>
            </w14:solidFill>
          </w14:textFill>
        </w:rPr>
        <w:t>4.1 优化全省防洪空间布局</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_Toc15293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- 64 -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356E9D55">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"_Toc24287" </w:instrText>
      </w:r>
      <w:r>
        <w:fldChar w:fldCharType="separate"/>
      </w:r>
      <w:r>
        <w:rPr>
          <w:rFonts w:eastAsia="仿宋" w:cs="方正仿宋_GBK"/>
          <w:color w:val="000000" w:themeColor="text1"/>
          <w:sz w:val="28"/>
          <w:szCs w:val="28"/>
          <w14:textFill>
            <w14:solidFill>
              <w14:schemeClr w14:val="tx1"/>
            </w14:solidFill>
          </w14:textFill>
        </w:rPr>
        <w:t>4.2 加快防洪薄弱环节建设</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_Toc24287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- 66 -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57724919">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"_Toc16493" </w:instrText>
      </w:r>
      <w:r>
        <w:fldChar w:fldCharType="separate"/>
      </w:r>
      <w:r>
        <w:rPr>
          <w:rFonts w:eastAsia="仿宋" w:cs="方正仿宋_GBK"/>
          <w:color w:val="000000" w:themeColor="text1"/>
          <w:sz w:val="28"/>
          <w:szCs w:val="28"/>
          <w14:textFill>
            <w14:solidFill>
              <w14:schemeClr w14:val="tx1"/>
            </w14:solidFill>
          </w14:textFill>
        </w:rPr>
        <w:t>4.3 加强洪水风险防控能力</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_Toc16493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- 88 -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6B41215E">
      <w:pPr>
        <w:pStyle w:val="18"/>
        <w:tabs>
          <w:tab w:val="right" w:leader="dot" w:pos="8788"/>
        </w:tabs>
        <w:spacing w:line="400" w:lineRule="exact"/>
        <w:ind w:firstLine="0" w:firstLineChars="0"/>
        <w:rPr>
          <w:rFonts w:eastAsia="仿宋" w:cs="方正仿宋_GBK"/>
          <w:color w:val="000000" w:themeColor="text1"/>
          <w:sz w:val="28"/>
          <w:szCs w:val="28"/>
          <w14:textFill>
            <w14:solidFill>
              <w14:schemeClr w14:val="tx1"/>
            </w14:solidFill>
          </w14:textFill>
        </w:rPr>
      </w:pPr>
      <w:r>
        <w:fldChar w:fldCharType="begin"/>
      </w:r>
      <w:r>
        <w:instrText xml:space="preserve"> HYPERLINK \l "_Toc21526" </w:instrText>
      </w:r>
      <w:r>
        <w:fldChar w:fldCharType="separate"/>
      </w:r>
      <w:r>
        <w:rPr>
          <w:rFonts w:eastAsia="仿宋" w:cs="方正仿宋_GBK"/>
          <w:b/>
          <w:bCs/>
          <w:color w:val="000000" w:themeColor="text1"/>
          <w:sz w:val="28"/>
          <w:szCs w:val="28"/>
          <w14:textFill>
            <w14:solidFill>
              <w14:schemeClr w14:val="tx1"/>
            </w14:solidFill>
          </w14:textFill>
        </w:rPr>
        <w:t>5 质量统筹，构建空间均衡的水资源配置体系</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_Toc21526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- 90 -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79A93183">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"_Toc25748" </w:instrText>
      </w:r>
      <w:r>
        <w:fldChar w:fldCharType="separate"/>
      </w:r>
      <w:r>
        <w:rPr>
          <w:rFonts w:eastAsia="仿宋" w:cs="方正仿宋_GBK"/>
          <w:color w:val="000000" w:themeColor="text1"/>
          <w:sz w:val="28"/>
          <w:szCs w:val="28"/>
          <w14:textFill>
            <w14:solidFill>
              <w14:schemeClr w14:val="tx1"/>
            </w14:solidFill>
          </w14:textFill>
        </w:rPr>
        <w:t>5.1 完善供水格局</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_Toc25748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- 90 -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632107D0">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"_Toc13150" </w:instrText>
      </w:r>
      <w:r>
        <w:fldChar w:fldCharType="separate"/>
      </w:r>
      <w:r>
        <w:rPr>
          <w:rFonts w:eastAsia="仿宋" w:cs="方正仿宋_GBK"/>
          <w:color w:val="000000" w:themeColor="text1"/>
          <w:sz w:val="28"/>
          <w:szCs w:val="28"/>
          <w14:textFill>
            <w14:solidFill>
              <w14:schemeClr w14:val="tx1"/>
            </w14:solidFill>
          </w14:textFill>
        </w:rPr>
        <w:t>5.2 加快重大项目实施进度</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_Toc13150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- 91 -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4CFC12E3">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"_Toc24097" </w:instrText>
      </w:r>
      <w:r>
        <w:fldChar w:fldCharType="separate"/>
      </w:r>
      <w:r>
        <w:rPr>
          <w:rFonts w:eastAsia="仿宋" w:cs="方正仿宋_GBK"/>
          <w:color w:val="000000" w:themeColor="text1"/>
          <w:sz w:val="28"/>
          <w:szCs w:val="28"/>
          <w14:textFill>
            <w14:solidFill>
              <w14:schemeClr w14:val="tx1"/>
            </w14:solidFill>
          </w14:textFill>
        </w:rPr>
        <w:t>5.3 健全水资源配置体系</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_Toc24097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- 104 -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1012FCB1">
      <w:pPr>
        <w:pStyle w:val="18"/>
        <w:tabs>
          <w:tab w:val="right" w:leader="dot" w:pos="8788"/>
        </w:tabs>
        <w:spacing w:line="400" w:lineRule="exact"/>
        <w:ind w:firstLine="0" w:firstLineChars="0"/>
        <w:rPr>
          <w:rFonts w:eastAsia="仿宋" w:cs="方正仿宋_GBK"/>
          <w:b/>
          <w:bCs/>
          <w:color w:val="000000" w:themeColor="text1"/>
          <w:sz w:val="28"/>
          <w:szCs w:val="28"/>
          <w14:textFill>
            <w14:solidFill>
              <w14:schemeClr w14:val="tx1"/>
            </w14:solidFill>
          </w14:textFill>
        </w:rPr>
      </w:pPr>
      <w:r>
        <w:fldChar w:fldCharType="begin"/>
      </w:r>
      <w:r>
        <w:instrText xml:space="preserve"> HYPERLINK \l "_Toc4263" </w:instrText>
      </w:r>
      <w:r>
        <w:fldChar w:fldCharType="separate"/>
      </w:r>
      <w:r>
        <w:rPr>
          <w:rFonts w:eastAsia="仿宋" w:cs="方正仿宋_GBK"/>
          <w:b/>
          <w:bCs/>
          <w:color w:val="000000" w:themeColor="text1"/>
          <w:sz w:val="28"/>
          <w:szCs w:val="28"/>
          <w14:textFill>
            <w14:solidFill>
              <w14:schemeClr w14:val="tx1"/>
            </w14:solidFill>
          </w14:textFill>
        </w:rPr>
        <w:t>6 防治结合，恢复水清岸绿的水生态体系</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_Toc4263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- 106 -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333D8F5D">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"_Toc14358" </w:instrText>
      </w:r>
      <w:r>
        <w:fldChar w:fldCharType="separate"/>
      </w:r>
      <w:r>
        <w:rPr>
          <w:rFonts w:eastAsia="仿宋" w:cs="方正仿宋_GBK"/>
          <w:color w:val="000000" w:themeColor="text1"/>
          <w:sz w:val="28"/>
          <w:szCs w:val="28"/>
          <w14:textFill>
            <w14:solidFill>
              <w14:schemeClr w14:val="tx1"/>
            </w14:solidFill>
          </w14:textFill>
        </w:rPr>
        <w:t>6.1 加大重点河湖生态保护与综合治理力度</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_Toc14358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- 106 -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3BBFED74">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"_Toc18518" </w:instrText>
      </w:r>
      <w:r>
        <w:fldChar w:fldCharType="separate"/>
      </w:r>
      <w:r>
        <w:rPr>
          <w:rFonts w:eastAsia="仿宋" w:cs="方正仿宋_GBK"/>
          <w:color w:val="000000" w:themeColor="text1"/>
          <w:sz w:val="28"/>
          <w:szCs w:val="28"/>
          <w14:textFill>
            <w14:solidFill>
              <w14:schemeClr w14:val="tx1"/>
            </w14:solidFill>
          </w14:textFill>
        </w:rPr>
        <w:t>6.2 推进水土保持生态建设</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_Toc18518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- 108 -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23C365FF">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"_Toc23281" </w:instrText>
      </w:r>
      <w:r>
        <w:fldChar w:fldCharType="separate"/>
      </w:r>
      <w:r>
        <w:rPr>
          <w:rFonts w:eastAsia="仿宋" w:cs="方正仿宋_GBK"/>
          <w:color w:val="000000" w:themeColor="text1"/>
          <w:sz w:val="28"/>
          <w:szCs w:val="28"/>
          <w14:textFill>
            <w14:solidFill>
              <w14:schemeClr w14:val="tx1"/>
            </w14:solidFill>
          </w14:textFill>
        </w:rPr>
        <w:t>6.3 大力开展农村水利综合整治</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_Toc23281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- 110 -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299B7AE1">
      <w:pPr>
        <w:pStyle w:val="18"/>
        <w:tabs>
          <w:tab w:val="right" w:leader="dot" w:pos="8788"/>
        </w:tabs>
        <w:spacing w:line="400" w:lineRule="exact"/>
        <w:ind w:firstLine="0" w:firstLineChars="0"/>
        <w:rPr>
          <w:rFonts w:eastAsia="仿宋" w:cs="方正仿宋_GBK"/>
          <w:b/>
          <w:bCs/>
          <w:color w:val="000000" w:themeColor="text1"/>
          <w:sz w:val="28"/>
          <w:szCs w:val="28"/>
          <w14:textFill>
            <w14:solidFill>
              <w14:schemeClr w14:val="tx1"/>
            </w14:solidFill>
          </w14:textFill>
        </w:rPr>
      </w:pPr>
      <w:r>
        <w:fldChar w:fldCharType="begin"/>
      </w:r>
      <w:r>
        <w:instrText xml:space="preserve"> HYPERLINK \l "_Toc15545" </w:instrText>
      </w:r>
      <w:r>
        <w:fldChar w:fldCharType="separate"/>
      </w:r>
      <w:r>
        <w:rPr>
          <w:rFonts w:eastAsia="仿宋" w:cs="方正仿宋_GBK"/>
          <w:b/>
          <w:bCs/>
          <w:color w:val="000000" w:themeColor="text1"/>
          <w:sz w:val="28"/>
          <w:szCs w:val="28"/>
          <w14:textFill>
            <w14:solidFill>
              <w14:schemeClr w14:val="tx1"/>
            </w14:solidFill>
          </w14:textFill>
        </w:rPr>
        <w:t>7 多措并举，加强城乡一体的供水灌溉体系</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_Toc15545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- 116 -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6AA10916">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"_Toc2888" </w:instrText>
      </w:r>
      <w:r>
        <w:fldChar w:fldCharType="separate"/>
      </w:r>
      <w:r>
        <w:rPr>
          <w:rFonts w:eastAsia="仿宋" w:cs="方正仿宋_GBK"/>
          <w:color w:val="000000" w:themeColor="text1"/>
          <w:sz w:val="28"/>
          <w:szCs w:val="28"/>
          <w14:textFill>
            <w14:solidFill>
              <w14:schemeClr w14:val="tx1"/>
            </w14:solidFill>
          </w14:textFill>
        </w:rPr>
        <w:t>7.1 完善城乡一体化供水灌溉系统</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_Toc2888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- 116 -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7068D6A6">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"_Toc16855" </w:instrText>
      </w:r>
      <w:r>
        <w:fldChar w:fldCharType="separate"/>
      </w:r>
      <w:r>
        <w:rPr>
          <w:rFonts w:eastAsia="仿宋" w:cs="方正仿宋_GBK"/>
          <w:color w:val="000000" w:themeColor="text1"/>
          <w:sz w:val="28"/>
          <w:szCs w:val="28"/>
          <w14:textFill>
            <w14:solidFill>
              <w14:schemeClr w14:val="tx1"/>
            </w14:solidFill>
          </w14:textFill>
        </w:rPr>
        <w:t>7.2 提升城乡一体化供水灌溉水平</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_Toc16855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- 117 -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2AAF5417">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"_Toc32166" </w:instrText>
      </w:r>
      <w:r>
        <w:fldChar w:fldCharType="separate"/>
      </w:r>
      <w:r>
        <w:rPr>
          <w:rFonts w:eastAsia="仿宋" w:cs="方正仿宋_GBK"/>
          <w:color w:val="000000" w:themeColor="text1"/>
          <w:sz w:val="28"/>
          <w:szCs w:val="28"/>
          <w14:textFill>
            <w14:solidFill>
              <w14:schemeClr w14:val="tx1"/>
            </w14:solidFill>
          </w14:textFill>
        </w:rPr>
        <w:t>7.3 增强抗旱应急能力</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_Toc32166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- 126 -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38264421">
      <w:pPr>
        <w:pStyle w:val="18"/>
        <w:tabs>
          <w:tab w:val="right" w:leader="dot" w:pos="8788"/>
        </w:tabs>
        <w:spacing w:line="400" w:lineRule="exact"/>
        <w:ind w:firstLine="0" w:firstLineChars="0"/>
        <w:rPr>
          <w:rFonts w:eastAsia="仿宋" w:cs="方正仿宋_GBK"/>
          <w:b/>
          <w:bCs/>
          <w:color w:val="000000" w:themeColor="text1"/>
          <w:sz w:val="28"/>
          <w:szCs w:val="28"/>
          <w14:textFill>
            <w14:solidFill>
              <w14:schemeClr w14:val="tx1"/>
            </w14:solidFill>
          </w14:textFill>
        </w:rPr>
      </w:pPr>
      <w:r>
        <w:fldChar w:fldCharType="begin"/>
      </w:r>
      <w:r>
        <w:instrText xml:space="preserve"> HYPERLINK \l "_Toc6451" </w:instrText>
      </w:r>
      <w:r>
        <w:fldChar w:fldCharType="separate"/>
      </w:r>
      <w:r>
        <w:rPr>
          <w:rFonts w:eastAsia="仿宋" w:cs="方正仿宋_GBK"/>
          <w:b/>
          <w:bCs/>
          <w:color w:val="000000" w:themeColor="text1"/>
          <w:sz w:val="28"/>
          <w:szCs w:val="28"/>
          <w14:textFill>
            <w14:solidFill>
              <w14:schemeClr w14:val="tx1"/>
            </w14:solidFill>
          </w14:textFill>
        </w:rPr>
        <w:t>8 着眼未来，建立重大战略的保障体系</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_Toc6451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- 128 -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5B50F6F6">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"_Toc20815" </w:instrText>
      </w:r>
      <w:r>
        <w:fldChar w:fldCharType="separate"/>
      </w:r>
      <w:r>
        <w:rPr>
          <w:rFonts w:eastAsia="仿宋" w:cs="方正仿宋_GBK"/>
          <w:color w:val="000000" w:themeColor="text1"/>
          <w:sz w:val="28"/>
          <w:szCs w:val="28"/>
          <w14:textFill>
            <w14:solidFill>
              <w14:schemeClr w14:val="tx1"/>
            </w14:solidFill>
          </w14:textFill>
        </w:rPr>
        <w:t>8.1 重大战略保障体系的建立</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_Toc20815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- 128 -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549AB5E6">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"_Toc24998" </w:instrText>
      </w:r>
      <w:r>
        <w:fldChar w:fldCharType="separate"/>
      </w:r>
      <w:r>
        <w:rPr>
          <w:rFonts w:eastAsia="仿宋" w:cs="方正仿宋_GBK"/>
          <w:color w:val="000000" w:themeColor="text1"/>
          <w:sz w:val="28"/>
          <w:szCs w:val="28"/>
          <w14:textFill>
            <w14:solidFill>
              <w14:schemeClr w14:val="tx1"/>
            </w14:solidFill>
          </w14:textFill>
        </w:rPr>
        <w:t>8.2 加强水资源战略储备项目建设</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_Toc24998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- 128 -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3F83362B">
      <w:pPr>
        <w:pStyle w:val="18"/>
        <w:tabs>
          <w:tab w:val="right" w:leader="dot" w:pos="8788"/>
        </w:tabs>
        <w:spacing w:line="400" w:lineRule="exact"/>
        <w:ind w:firstLine="0" w:firstLineChars="0"/>
        <w:rPr>
          <w:rFonts w:eastAsia="仿宋" w:cs="方正仿宋_GBK"/>
          <w:b/>
          <w:bCs/>
          <w:color w:val="000000" w:themeColor="text1"/>
          <w:sz w:val="28"/>
          <w:szCs w:val="28"/>
          <w14:textFill>
            <w14:solidFill>
              <w14:schemeClr w14:val="tx1"/>
            </w14:solidFill>
          </w14:textFill>
        </w:rPr>
      </w:pPr>
      <w:r>
        <w:fldChar w:fldCharType="begin"/>
      </w:r>
      <w:r>
        <w:instrText xml:space="preserve"> HYPERLINK \l "_Toc15311" </w:instrText>
      </w:r>
      <w:r>
        <w:fldChar w:fldCharType="separate"/>
      </w:r>
      <w:r>
        <w:rPr>
          <w:rFonts w:eastAsia="仿宋" w:cs="方正仿宋_GBK"/>
          <w:b/>
          <w:bCs/>
          <w:color w:val="000000" w:themeColor="text1"/>
          <w:sz w:val="28"/>
          <w:szCs w:val="28"/>
          <w14:textFill>
            <w14:solidFill>
              <w14:schemeClr w14:val="tx1"/>
            </w14:solidFill>
          </w14:textFill>
        </w:rPr>
        <w:t>9 稳步推进，健全调控精准的智慧水利体系</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_Toc15311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- 130 -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3888F16D">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"_Toc11324" </w:instrText>
      </w:r>
      <w:r>
        <w:fldChar w:fldCharType="separate"/>
      </w:r>
      <w:r>
        <w:rPr>
          <w:rFonts w:eastAsia="仿宋" w:cs="方正仿宋_GBK"/>
          <w:color w:val="000000" w:themeColor="text1"/>
          <w:sz w:val="28"/>
          <w:szCs w:val="28"/>
          <w14:textFill>
            <w14:solidFill>
              <w14:schemeClr w14:val="tx1"/>
            </w14:solidFill>
          </w14:textFill>
        </w:rPr>
        <w:t>9.1 智慧水利体系规划</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_Toc11324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- 130 -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58D93AAD">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"_Toc15596" </w:instrText>
      </w:r>
      <w:r>
        <w:fldChar w:fldCharType="separate"/>
      </w:r>
      <w:r>
        <w:rPr>
          <w:rFonts w:eastAsia="仿宋" w:cs="方正仿宋_GBK"/>
          <w:color w:val="000000" w:themeColor="text1"/>
          <w:sz w:val="28"/>
          <w:szCs w:val="28"/>
          <w14:textFill>
            <w14:solidFill>
              <w14:schemeClr w14:val="tx1"/>
            </w14:solidFill>
          </w14:textFill>
        </w:rPr>
        <w:t>9.2 加快数据中心建设</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_Toc15596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- 130 -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4C7A4A9A">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"_Toc2274" </w:instrText>
      </w:r>
      <w:r>
        <w:fldChar w:fldCharType="separate"/>
      </w:r>
      <w:r>
        <w:rPr>
          <w:rFonts w:eastAsia="仿宋" w:cs="方正仿宋_GBK"/>
          <w:color w:val="000000" w:themeColor="text1"/>
          <w:sz w:val="28"/>
          <w:szCs w:val="28"/>
          <w14:textFill>
            <w14:solidFill>
              <w14:schemeClr w14:val="tx1"/>
            </w14:solidFill>
          </w14:textFill>
        </w:rPr>
        <w:t>9.3 加快工程管理监测系统建设</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_Toc2274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- 131 -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34C160E6">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"_Toc32538" </w:instrText>
      </w:r>
      <w:r>
        <w:fldChar w:fldCharType="separate"/>
      </w:r>
      <w:r>
        <w:rPr>
          <w:rFonts w:eastAsia="仿宋" w:cs="方正仿宋_GBK"/>
          <w:color w:val="000000" w:themeColor="text1"/>
          <w:sz w:val="28"/>
          <w:szCs w:val="28"/>
          <w14:textFill>
            <w14:solidFill>
              <w14:schemeClr w14:val="tx1"/>
            </w14:solidFill>
          </w14:textFill>
        </w:rPr>
        <w:t>9.4 完善防汛抗旱指挥系统</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_Toc32538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- 131 -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78CDBF3F">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"_Toc20885" </w:instrText>
      </w:r>
      <w:r>
        <w:fldChar w:fldCharType="separate"/>
      </w:r>
      <w:r>
        <w:rPr>
          <w:rFonts w:eastAsia="仿宋" w:cs="方正仿宋_GBK"/>
          <w:color w:val="000000" w:themeColor="text1"/>
          <w:sz w:val="28"/>
          <w:szCs w:val="28"/>
          <w14:textFill>
            <w14:solidFill>
              <w14:schemeClr w14:val="tx1"/>
            </w14:solidFill>
          </w14:textFill>
        </w:rPr>
        <w:t>9.5 加快水文、水土保持现代化体系建设</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_Toc20885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- 132 -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79A8A3D2">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"_Toc12400" </w:instrText>
      </w:r>
      <w:r>
        <w:fldChar w:fldCharType="separate"/>
      </w:r>
      <w:r>
        <w:rPr>
          <w:rFonts w:eastAsia="仿宋" w:cs="方正仿宋_GBK"/>
          <w:color w:val="000000" w:themeColor="text1"/>
          <w:sz w:val="28"/>
          <w:szCs w:val="28"/>
          <w14:textFill>
            <w14:solidFill>
              <w14:schemeClr w14:val="tx1"/>
            </w14:solidFill>
          </w14:textFill>
        </w:rPr>
        <w:t>9.6加快河长制管理信息系统建设</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_Toc12400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- 132 -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24F45DE1">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"_Toc28654" </w:instrText>
      </w:r>
      <w:r>
        <w:fldChar w:fldCharType="separate"/>
      </w:r>
      <w:r>
        <w:rPr>
          <w:rFonts w:eastAsia="仿宋" w:cs="方正仿宋_GBK"/>
          <w:color w:val="000000" w:themeColor="text1"/>
          <w:sz w:val="28"/>
          <w:szCs w:val="28"/>
          <w14:textFill>
            <w14:solidFill>
              <w14:schemeClr w14:val="tx1"/>
            </w14:solidFill>
          </w14:textFill>
        </w:rPr>
        <w:t>9.7加快水利信息化建设</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_Toc28654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- 132 -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7098FFAB">
      <w:pPr>
        <w:pStyle w:val="18"/>
        <w:tabs>
          <w:tab w:val="right" w:leader="dot" w:pos="8788"/>
        </w:tabs>
        <w:spacing w:line="400" w:lineRule="exact"/>
        <w:ind w:firstLine="0" w:firstLineChars="0"/>
        <w:rPr>
          <w:rFonts w:eastAsia="仿宋" w:cs="方正仿宋_GBK"/>
          <w:b/>
          <w:bCs/>
          <w:color w:val="000000" w:themeColor="text1"/>
          <w:sz w:val="28"/>
          <w:szCs w:val="28"/>
          <w14:textFill>
            <w14:solidFill>
              <w14:schemeClr w14:val="tx1"/>
            </w14:solidFill>
          </w14:textFill>
        </w:rPr>
      </w:pPr>
      <w:r>
        <w:fldChar w:fldCharType="begin"/>
      </w:r>
      <w:r>
        <w:instrText xml:space="preserve"> HYPERLINK \l "_Toc16501" </w:instrText>
      </w:r>
      <w:r>
        <w:fldChar w:fldCharType="separate"/>
      </w:r>
      <w:r>
        <w:rPr>
          <w:rFonts w:eastAsia="仿宋" w:cs="方正仿宋_GBK"/>
          <w:b/>
          <w:bCs/>
          <w:color w:val="000000" w:themeColor="text1"/>
          <w:sz w:val="28"/>
          <w:szCs w:val="28"/>
          <w14:textFill>
            <w14:solidFill>
              <w14:schemeClr w14:val="tx1"/>
            </w14:solidFill>
          </w14:textFill>
        </w:rPr>
        <w:t>10 提质增效，保障水工程安全</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_Toc16501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- 135 -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4373AE14">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"_Toc30793" </w:instrText>
      </w:r>
      <w:r>
        <w:fldChar w:fldCharType="separate"/>
      </w:r>
      <w:r>
        <w:rPr>
          <w:rFonts w:eastAsia="仿宋" w:cs="方正仿宋_GBK"/>
          <w:color w:val="000000" w:themeColor="text1"/>
          <w:sz w:val="28"/>
          <w:szCs w:val="28"/>
          <w14:textFill>
            <w14:solidFill>
              <w14:schemeClr w14:val="tx1"/>
            </w14:solidFill>
          </w14:textFill>
        </w:rPr>
        <w:t>10.1 高质量建设水利基础设施网络</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_Toc30793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- 135 -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23656151">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"_Toc4423" </w:instrText>
      </w:r>
      <w:r>
        <w:fldChar w:fldCharType="separate"/>
      </w:r>
      <w:r>
        <w:rPr>
          <w:rFonts w:eastAsia="仿宋" w:cs="方正仿宋_GBK"/>
          <w:color w:val="000000" w:themeColor="text1"/>
          <w:sz w:val="28"/>
          <w:szCs w:val="28"/>
          <w14:textFill>
            <w14:solidFill>
              <w14:schemeClr w14:val="tx1"/>
            </w14:solidFill>
          </w14:textFill>
        </w:rPr>
        <w:t>10.2 推进工程调度运行管理现代化</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_Toc4423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- 135 -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37FA601A">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"_Toc3792" </w:instrText>
      </w:r>
      <w:r>
        <w:fldChar w:fldCharType="separate"/>
      </w:r>
      <w:r>
        <w:rPr>
          <w:rFonts w:eastAsia="仿宋" w:cs="方正仿宋_GBK"/>
          <w:color w:val="000000" w:themeColor="text1"/>
          <w:sz w:val="28"/>
          <w:szCs w:val="28"/>
          <w14:textFill>
            <w14:solidFill>
              <w14:schemeClr w14:val="tx1"/>
            </w14:solidFill>
          </w14:textFill>
        </w:rPr>
        <w:t>10.3 提高工程安全风险防御能力</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_Toc3792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- 136 -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52E56519">
      <w:pPr>
        <w:pStyle w:val="18"/>
        <w:tabs>
          <w:tab w:val="right" w:leader="dot" w:pos="8788"/>
        </w:tabs>
        <w:spacing w:line="400" w:lineRule="exact"/>
        <w:ind w:firstLine="0" w:firstLineChars="0"/>
        <w:rPr>
          <w:rFonts w:eastAsia="仿宋" w:cs="方正仿宋_GBK"/>
          <w:b/>
          <w:bCs/>
          <w:color w:val="000000" w:themeColor="text1"/>
          <w:sz w:val="28"/>
          <w:szCs w:val="28"/>
          <w14:textFill>
            <w14:solidFill>
              <w14:schemeClr w14:val="tx1"/>
            </w14:solidFill>
          </w14:textFill>
        </w:rPr>
      </w:pPr>
      <w:r>
        <w:fldChar w:fldCharType="begin"/>
      </w:r>
      <w:r>
        <w:instrText xml:space="preserve"> HYPERLINK \l "_Toc24283" </w:instrText>
      </w:r>
      <w:r>
        <w:fldChar w:fldCharType="separate"/>
      </w:r>
      <w:r>
        <w:rPr>
          <w:rFonts w:eastAsia="仿宋" w:cs="方正仿宋_GBK"/>
          <w:b/>
          <w:bCs/>
          <w:color w:val="000000" w:themeColor="text1"/>
          <w:sz w:val="28"/>
          <w:szCs w:val="28"/>
          <w14:textFill>
            <w14:solidFill>
              <w14:schemeClr w14:val="tx1"/>
            </w14:solidFill>
          </w14:textFill>
        </w:rPr>
        <w:t>11 改革创新，推进水治理能力现代化</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_Toc24283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- 139 -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40917A5E">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"_Toc28211" </w:instrText>
      </w:r>
      <w:r>
        <w:fldChar w:fldCharType="separate"/>
      </w:r>
      <w:r>
        <w:rPr>
          <w:rFonts w:eastAsia="仿宋" w:cs="方正仿宋_GBK"/>
          <w:color w:val="000000" w:themeColor="text1"/>
          <w:sz w:val="28"/>
          <w:szCs w:val="28"/>
          <w14:textFill>
            <w14:solidFill>
              <w14:schemeClr w14:val="tx1"/>
            </w14:solidFill>
          </w14:textFill>
        </w:rPr>
        <w:t>11.1 全面推进依法治水，提升水利法制化水平</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_Toc28211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- 139 -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64A2800B">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"_Toc30065" </w:instrText>
      </w:r>
      <w:r>
        <w:fldChar w:fldCharType="separate"/>
      </w:r>
      <w:r>
        <w:rPr>
          <w:rFonts w:eastAsia="仿宋" w:cs="方正仿宋_GBK"/>
          <w:color w:val="000000" w:themeColor="text1"/>
          <w:sz w:val="28"/>
          <w:szCs w:val="28"/>
          <w14:textFill>
            <w14:solidFill>
              <w14:schemeClr w14:val="tx1"/>
            </w14:solidFill>
          </w14:textFill>
        </w:rPr>
        <w:t>11.2 落实政府水安全保障责任，健全河湖管理长效机制</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_Toc30065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- 140 -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4EF6231A">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"_Toc25815" </w:instrText>
      </w:r>
      <w:r>
        <w:fldChar w:fldCharType="separate"/>
      </w:r>
      <w:r>
        <w:rPr>
          <w:rFonts w:eastAsia="仿宋" w:cs="方正仿宋_GBK"/>
          <w:color w:val="000000" w:themeColor="text1"/>
          <w:sz w:val="28"/>
          <w:szCs w:val="28"/>
          <w14:textFill>
            <w14:solidFill>
              <w14:schemeClr w14:val="tx1"/>
            </w14:solidFill>
          </w14:textFill>
        </w:rPr>
        <w:t>11.3 充分发挥市场机制作用，促进水利工程良性运行</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_Toc25815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- 140 -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2FE442C7">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"_Toc22638" </w:instrText>
      </w:r>
      <w:r>
        <w:fldChar w:fldCharType="separate"/>
      </w:r>
      <w:r>
        <w:rPr>
          <w:rFonts w:eastAsia="仿宋" w:cs="方正仿宋_GBK"/>
          <w:color w:val="000000" w:themeColor="text1"/>
          <w:sz w:val="28"/>
          <w:szCs w:val="28"/>
          <w14:textFill>
            <w14:solidFill>
              <w14:schemeClr w14:val="tx1"/>
            </w14:solidFill>
          </w14:textFill>
        </w:rPr>
        <w:t>11.4 加强人才教育，提升水利行业能力</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_Toc22638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- 140 -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735C76F7">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"_Toc1216" </w:instrText>
      </w:r>
      <w:r>
        <w:fldChar w:fldCharType="separate"/>
      </w:r>
      <w:r>
        <w:rPr>
          <w:rFonts w:eastAsia="仿宋" w:cs="方正仿宋_GBK"/>
          <w:color w:val="000000" w:themeColor="text1"/>
          <w:sz w:val="28"/>
          <w:szCs w:val="28"/>
          <w14:textFill>
            <w14:solidFill>
              <w14:schemeClr w14:val="tx1"/>
            </w14:solidFill>
          </w14:textFill>
        </w:rPr>
        <w:t>11.5 深化水资源税和水价改革，提高水资源利用效率和效益</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_Toc1216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- 142 -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37B77C6E">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"_Toc17719" </w:instrText>
      </w:r>
      <w:r>
        <w:fldChar w:fldCharType="separate"/>
      </w:r>
      <w:r>
        <w:rPr>
          <w:rFonts w:eastAsia="仿宋" w:cs="方正仿宋_GBK"/>
          <w:color w:val="000000" w:themeColor="text1"/>
          <w:sz w:val="28"/>
          <w:szCs w:val="28"/>
          <w14:textFill>
            <w14:solidFill>
              <w14:schemeClr w14:val="tx1"/>
            </w14:solidFill>
          </w14:textFill>
        </w:rPr>
        <w:t>11.6 健全财政投入保障机制，保障建设资金需求</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_Toc17719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- 142 -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192C5EF0">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"_Toc25473" </w:instrText>
      </w:r>
      <w:r>
        <w:fldChar w:fldCharType="separate"/>
      </w:r>
      <w:r>
        <w:rPr>
          <w:rFonts w:eastAsia="仿宋" w:cs="方正仿宋_GBK"/>
          <w:color w:val="000000" w:themeColor="text1"/>
          <w:sz w:val="28"/>
          <w:szCs w:val="28"/>
          <w14:textFill>
            <w14:solidFill>
              <w14:schemeClr w14:val="tx1"/>
            </w14:solidFill>
          </w14:textFill>
        </w:rPr>
        <w:t>11.7 加强创新引领，提升水利行业科技支撑能力</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_Toc25473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- 142 -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3DFA5935">
      <w:pPr>
        <w:pStyle w:val="18"/>
        <w:tabs>
          <w:tab w:val="right" w:leader="dot" w:pos="8788"/>
        </w:tabs>
        <w:spacing w:line="400" w:lineRule="exact"/>
        <w:ind w:firstLine="0" w:firstLineChars="0"/>
        <w:rPr>
          <w:rFonts w:eastAsia="仿宋" w:cs="方正仿宋_GBK"/>
          <w:b/>
          <w:bCs/>
          <w:color w:val="000000" w:themeColor="text1"/>
          <w:sz w:val="28"/>
          <w:szCs w:val="28"/>
          <w14:textFill>
            <w14:solidFill>
              <w14:schemeClr w14:val="tx1"/>
            </w14:solidFill>
          </w14:textFill>
        </w:rPr>
      </w:pPr>
      <w:r>
        <w:fldChar w:fldCharType="begin"/>
      </w:r>
      <w:r>
        <w:instrText xml:space="preserve"> HYPERLINK \l "_Toc6599" </w:instrText>
      </w:r>
      <w:r>
        <w:fldChar w:fldCharType="separate"/>
      </w:r>
      <w:r>
        <w:rPr>
          <w:rFonts w:eastAsia="仿宋" w:cs="方正仿宋_GBK"/>
          <w:b/>
          <w:bCs/>
          <w:color w:val="000000" w:themeColor="text1"/>
          <w:sz w:val="28"/>
          <w:szCs w:val="28"/>
          <w14:textFill>
            <w14:solidFill>
              <w14:schemeClr w14:val="tx1"/>
            </w14:solidFill>
          </w14:textFill>
        </w:rPr>
        <w:t>12 投资规模匡算</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_Toc6599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- 156 -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301A5C80">
      <w:pPr>
        <w:pStyle w:val="18"/>
        <w:tabs>
          <w:tab w:val="right" w:leader="dot" w:pos="8788"/>
        </w:tabs>
        <w:spacing w:line="400" w:lineRule="exact"/>
        <w:ind w:firstLine="0" w:firstLineChars="0"/>
        <w:rPr>
          <w:rFonts w:eastAsia="仿宋" w:cs="方正仿宋_GBK"/>
          <w:b/>
          <w:bCs/>
          <w:color w:val="000000" w:themeColor="text1"/>
          <w:sz w:val="28"/>
          <w:szCs w:val="28"/>
          <w14:textFill>
            <w14:solidFill>
              <w14:schemeClr w14:val="tx1"/>
            </w14:solidFill>
          </w14:textFill>
        </w:rPr>
      </w:pPr>
      <w:r>
        <w:fldChar w:fldCharType="begin"/>
      </w:r>
      <w:r>
        <w:instrText xml:space="preserve"> HYPERLINK \l "_Toc29430" </w:instrText>
      </w:r>
      <w:r>
        <w:fldChar w:fldCharType="separate"/>
      </w:r>
      <w:r>
        <w:rPr>
          <w:rFonts w:eastAsia="仿宋" w:cs="方正仿宋_GBK"/>
          <w:b/>
          <w:bCs/>
          <w:color w:val="000000" w:themeColor="text1"/>
          <w:sz w:val="28"/>
          <w:szCs w:val="28"/>
          <w14:textFill>
            <w14:solidFill>
              <w14:schemeClr w14:val="tx1"/>
            </w14:solidFill>
          </w14:textFill>
        </w:rPr>
        <w:t>13 风险评估</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_Toc29430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- 180 -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23F70E0C">
      <w:pPr>
        <w:pStyle w:val="18"/>
        <w:tabs>
          <w:tab w:val="right" w:leader="dot" w:pos="8788"/>
        </w:tabs>
        <w:spacing w:line="400" w:lineRule="exact"/>
        <w:ind w:firstLine="0" w:firstLineChars="0"/>
        <w:rPr>
          <w:rFonts w:eastAsia="仿宋" w:cs="方正仿宋_GBK"/>
          <w:b/>
          <w:bCs/>
          <w:color w:val="000000" w:themeColor="text1"/>
          <w:sz w:val="28"/>
          <w:szCs w:val="28"/>
          <w14:textFill>
            <w14:solidFill>
              <w14:schemeClr w14:val="tx1"/>
            </w14:solidFill>
          </w14:textFill>
        </w:rPr>
      </w:pPr>
      <w:r>
        <w:fldChar w:fldCharType="begin"/>
      </w:r>
      <w:r>
        <w:instrText xml:space="preserve"> HYPERLINK \l "_Toc9494" </w:instrText>
      </w:r>
      <w:r>
        <w:fldChar w:fldCharType="separate"/>
      </w:r>
      <w:r>
        <w:rPr>
          <w:rFonts w:eastAsia="仿宋" w:cs="方正仿宋_GBK"/>
          <w:b/>
          <w:bCs/>
          <w:color w:val="000000" w:themeColor="text1"/>
          <w:sz w:val="28"/>
          <w:szCs w:val="28"/>
          <w14:textFill>
            <w14:solidFill>
              <w14:schemeClr w14:val="tx1"/>
            </w14:solidFill>
          </w14:textFill>
        </w:rPr>
        <w:t>14 保障措施</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_Toc9494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- 186 -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74A4C507">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"_Toc155" </w:instrText>
      </w:r>
      <w:r>
        <w:fldChar w:fldCharType="separate"/>
      </w:r>
      <w:r>
        <w:rPr>
          <w:rFonts w:eastAsia="仿宋" w:cs="方正仿宋_GBK"/>
          <w:color w:val="000000" w:themeColor="text1"/>
          <w:sz w:val="28"/>
          <w:szCs w:val="28"/>
          <w14:textFill>
            <w14:solidFill>
              <w14:schemeClr w14:val="tx1"/>
            </w14:solidFill>
          </w14:textFill>
        </w:rPr>
        <w:t>14.1强化组织领导</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_Toc155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- 186 -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0E02E5A7">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"_Toc22410" </w:instrText>
      </w:r>
      <w:r>
        <w:fldChar w:fldCharType="separate"/>
      </w:r>
      <w:r>
        <w:rPr>
          <w:rFonts w:eastAsia="仿宋" w:cs="方正仿宋_GBK"/>
          <w:color w:val="000000" w:themeColor="text1"/>
          <w:sz w:val="28"/>
          <w:szCs w:val="28"/>
          <w14:textFill>
            <w14:solidFill>
              <w14:schemeClr w14:val="tx1"/>
            </w14:solidFill>
          </w14:textFill>
        </w:rPr>
        <w:t>14.2深化前期工作</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_Toc22410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- 186 -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7581B2A3">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"_Toc6325" </w:instrText>
      </w:r>
      <w:r>
        <w:fldChar w:fldCharType="separate"/>
      </w:r>
      <w:r>
        <w:rPr>
          <w:rFonts w:eastAsia="仿宋" w:cs="方正仿宋_GBK"/>
          <w:color w:val="000000" w:themeColor="text1"/>
          <w:sz w:val="28"/>
          <w:szCs w:val="28"/>
          <w14:textFill>
            <w14:solidFill>
              <w14:schemeClr w14:val="tx1"/>
            </w14:solidFill>
          </w14:textFill>
        </w:rPr>
        <w:t>14.3加大投入力度</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_Toc6325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- 187 -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3D6221B7">
      <w:pPr>
        <w:pStyle w:val="20"/>
        <w:tabs>
          <w:tab w:val="right" w:leader="dot" w:pos="8788"/>
        </w:tabs>
        <w:spacing w:line="400" w:lineRule="exact"/>
        <w:ind w:left="640" w:leftChars="89" w:hanging="355" w:hangingChars="111"/>
        <w:rPr>
          <w:rFonts w:eastAsia="仿宋" w:cs="方正仿宋_GBK"/>
          <w:color w:val="000000" w:themeColor="text1"/>
          <w:sz w:val="28"/>
          <w:szCs w:val="28"/>
          <w14:textFill>
            <w14:solidFill>
              <w14:schemeClr w14:val="tx1"/>
            </w14:solidFill>
          </w14:textFill>
        </w:rPr>
      </w:pPr>
      <w:r>
        <w:fldChar w:fldCharType="begin"/>
      </w:r>
      <w:r>
        <w:instrText xml:space="preserve"> HYPERLINK \l "_Toc15360" </w:instrText>
      </w:r>
      <w:r>
        <w:fldChar w:fldCharType="separate"/>
      </w:r>
      <w:r>
        <w:rPr>
          <w:rFonts w:eastAsia="仿宋" w:cs="方正仿宋_GBK"/>
          <w:color w:val="000000" w:themeColor="text1"/>
          <w:sz w:val="28"/>
          <w:szCs w:val="28"/>
          <w14:textFill>
            <w14:solidFill>
              <w14:schemeClr w14:val="tx1"/>
            </w14:solidFill>
          </w14:textFill>
        </w:rPr>
        <w:t>14.4严格检测评价</w:t>
      </w:r>
      <w:r>
        <w:rPr>
          <w:rFonts w:eastAsia="仿宋" w:cs="方正仿宋_GBK"/>
          <w:color w:val="000000" w:themeColor="text1"/>
          <w:sz w:val="28"/>
          <w:szCs w:val="28"/>
          <w14:textFill>
            <w14:solidFill>
              <w14:schemeClr w14:val="tx1"/>
            </w14:solidFill>
          </w14:textFill>
        </w:rPr>
        <w:tab/>
      </w:r>
      <w:r>
        <w:rPr>
          <w:rFonts w:eastAsia="仿宋" w:cs="方正仿宋_GBK"/>
          <w:color w:val="000000" w:themeColor="text1"/>
          <w:sz w:val="28"/>
          <w:szCs w:val="28"/>
          <w14:textFill>
            <w14:solidFill>
              <w14:schemeClr w14:val="tx1"/>
            </w14:solidFill>
          </w14:textFill>
        </w:rPr>
        <w:fldChar w:fldCharType="begin"/>
      </w:r>
      <w:r>
        <w:rPr>
          <w:rFonts w:eastAsia="仿宋" w:cs="方正仿宋_GBK"/>
          <w:color w:val="000000" w:themeColor="text1"/>
          <w:sz w:val="28"/>
          <w:szCs w:val="28"/>
          <w14:textFill>
            <w14:solidFill>
              <w14:schemeClr w14:val="tx1"/>
            </w14:solidFill>
          </w14:textFill>
        </w:rPr>
        <w:instrText xml:space="preserve"> PAGEREF _Toc15360 </w:instrText>
      </w:r>
      <w:r>
        <w:rPr>
          <w:rFonts w:eastAsia="仿宋" w:cs="方正仿宋_GBK"/>
          <w:color w:val="000000" w:themeColor="text1"/>
          <w:sz w:val="28"/>
          <w:szCs w:val="28"/>
          <w14:textFill>
            <w14:solidFill>
              <w14:schemeClr w14:val="tx1"/>
            </w14:solidFill>
          </w14:textFill>
        </w:rPr>
        <w:fldChar w:fldCharType="separate"/>
      </w:r>
      <w:r>
        <w:rPr>
          <w:rFonts w:eastAsia="仿宋" w:cs="方正仿宋_GBK"/>
          <w:color w:val="000000" w:themeColor="text1"/>
          <w:sz w:val="28"/>
          <w:szCs w:val="28"/>
          <w14:textFill>
            <w14:solidFill>
              <w14:schemeClr w14:val="tx1"/>
            </w14:solidFill>
          </w14:textFill>
        </w:rPr>
        <w:t>- 187 -</w:t>
      </w:r>
      <w:r>
        <w:rPr>
          <w:rFonts w:eastAsia="仿宋" w:cs="方正仿宋_GBK"/>
          <w:color w:val="000000" w:themeColor="text1"/>
          <w:sz w:val="28"/>
          <w:szCs w:val="28"/>
          <w14:textFill>
            <w14:solidFill>
              <w14:schemeClr w14:val="tx1"/>
            </w14:solidFill>
          </w14:textFill>
        </w:rPr>
        <w:fldChar w:fldCharType="end"/>
      </w:r>
      <w:r>
        <w:rPr>
          <w:rFonts w:eastAsia="仿宋" w:cs="方正仿宋_GBK"/>
          <w:color w:val="000000" w:themeColor="text1"/>
          <w:sz w:val="28"/>
          <w:szCs w:val="28"/>
          <w14:textFill>
            <w14:solidFill>
              <w14:schemeClr w14:val="tx1"/>
            </w14:solidFill>
          </w14:textFill>
        </w:rPr>
        <w:fldChar w:fldCharType="end"/>
      </w:r>
    </w:p>
    <w:p w14:paraId="6A6EA3D0">
      <w:pPr>
        <w:pStyle w:val="18"/>
        <w:tabs>
          <w:tab w:val="right" w:leader="dot" w:pos="8788"/>
        </w:tabs>
        <w:spacing w:line="400" w:lineRule="exact"/>
        <w:ind w:firstLine="0" w:firstLineChars="0"/>
        <w:rPr>
          <w:rFonts w:eastAsia="仿宋"/>
          <w:b/>
          <w:bCs/>
          <w:color w:val="000000" w:themeColor="text1"/>
          <w14:textFill>
            <w14:solidFill>
              <w14:schemeClr w14:val="tx1"/>
            </w14:solidFill>
          </w14:textFill>
        </w:rPr>
      </w:pPr>
      <w:r>
        <w:fldChar w:fldCharType="begin"/>
      </w:r>
      <w:r>
        <w:instrText xml:space="preserve"> HYPERLINK \l "_Toc13226" </w:instrText>
      </w:r>
      <w:r>
        <w:fldChar w:fldCharType="separate"/>
      </w:r>
      <w:r>
        <w:rPr>
          <w:rFonts w:eastAsia="仿宋" w:cs="方正仿宋_GBK"/>
          <w:b/>
          <w:bCs/>
          <w:color w:val="000000" w:themeColor="text1"/>
          <w:sz w:val="28"/>
          <w:szCs w:val="28"/>
          <w14:textFill>
            <w14:solidFill>
              <w14:schemeClr w14:val="tx1"/>
            </w14:solidFill>
          </w14:textFill>
        </w:rPr>
        <w:t>附件</w:t>
      </w:r>
      <w:r>
        <w:rPr>
          <w:rFonts w:eastAsia="仿宋" w:cs="方正仿宋_GBK"/>
          <w:b/>
          <w:bCs/>
          <w:color w:val="000000" w:themeColor="text1"/>
          <w:sz w:val="28"/>
          <w:szCs w:val="28"/>
          <w14:textFill>
            <w14:solidFill>
              <w14:schemeClr w14:val="tx1"/>
            </w14:solidFill>
          </w14:textFill>
        </w:rPr>
        <w:tab/>
      </w:r>
      <w:r>
        <w:rPr>
          <w:rFonts w:eastAsia="仿宋" w:cs="方正仿宋_GBK"/>
          <w:b/>
          <w:bCs/>
          <w:color w:val="000000" w:themeColor="text1"/>
          <w:sz w:val="28"/>
          <w:szCs w:val="28"/>
          <w14:textFill>
            <w14:solidFill>
              <w14:schemeClr w14:val="tx1"/>
            </w14:solidFill>
          </w14:textFill>
        </w:rPr>
        <w:fldChar w:fldCharType="begin"/>
      </w:r>
      <w:r>
        <w:rPr>
          <w:rFonts w:eastAsia="仿宋" w:cs="方正仿宋_GBK"/>
          <w:b/>
          <w:bCs/>
          <w:color w:val="000000" w:themeColor="text1"/>
          <w:sz w:val="28"/>
          <w:szCs w:val="28"/>
          <w14:textFill>
            <w14:solidFill>
              <w14:schemeClr w14:val="tx1"/>
            </w14:solidFill>
          </w14:textFill>
        </w:rPr>
        <w:instrText xml:space="preserve"> PAGEREF _Toc13226 </w:instrText>
      </w:r>
      <w:r>
        <w:rPr>
          <w:rFonts w:eastAsia="仿宋" w:cs="方正仿宋_GBK"/>
          <w:b/>
          <w:bCs/>
          <w:color w:val="000000" w:themeColor="text1"/>
          <w:sz w:val="28"/>
          <w:szCs w:val="28"/>
          <w14:textFill>
            <w14:solidFill>
              <w14:schemeClr w14:val="tx1"/>
            </w14:solidFill>
          </w14:textFill>
        </w:rPr>
        <w:fldChar w:fldCharType="separate"/>
      </w:r>
      <w:r>
        <w:rPr>
          <w:rFonts w:eastAsia="仿宋" w:cs="方正仿宋_GBK"/>
          <w:b/>
          <w:bCs/>
          <w:color w:val="000000" w:themeColor="text1"/>
          <w:sz w:val="28"/>
          <w:szCs w:val="28"/>
          <w14:textFill>
            <w14:solidFill>
              <w14:schemeClr w14:val="tx1"/>
            </w14:solidFill>
          </w14:textFill>
        </w:rPr>
        <w:t>- 188 -</w:t>
      </w:r>
      <w:r>
        <w:rPr>
          <w:rFonts w:eastAsia="仿宋" w:cs="方正仿宋_GBK"/>
          <w:b/>
          <w:bCs/>
          <w:color w:val="000000" w:themeColor="text1"/>
          <w:sz w:val="28"/>
          <w:szCs w:val="28"/>
          <w14:textFill>
            <w14:solidFill>
              <w14:schemeClr w14:val="tx1"/>
            </w14:solidFill>
          </w14:textFill>
        </w:rPr>
        <w:fldChar w:fldCharType="end"/>
      </w:r>
      <w:r>
        <w:rPr>
          <w:rFonts w:eastAsia="仿宋" w:cs="方正仿宋_GBK"/>
          <w:b/>
          <w:bCs/>
          <w:color w:val="000000" w:themeColor="text1"/>
          <w:sz w:val="28"/>
          <w:szCs w:val="28"/>
          <w14:textFill>
            <w14:solidFill>
              <w14:schemeClr w14:val="tx1"/>
            </w14:solidFill>
          </w14:textFill>
        </w:rPr>
        <w:fldChar w:fldCharType="end"/>
      </w:r>
    </w:p>
    <w:p w14:paraId="5F4CC45D">
      <w:pPr>
        <w:pStyle w:val="20"/>
        <w:tabs>
          <w:tab w:val="right" w:leader="dot" w:pos="8788"/>
        </w:tabs>
        <w:spacing w:line="420" w:lineRule="exact"/>
        <w:ind w:left="0" w:leftChars="0" w:firstLine="0" w:firstLineChars="0"/>
        <w:rPr>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871" w:right="1304" w:bottom="1418" w:left="1304" w:header="851" w:footer="992" w:gutter="0"/>
          <w:cols w:space="425" w:num="1"/>
          <w:docGrid w:linePitch="312" w:charSpace="0"/>
        </w:sectPr>
      </w:pPr>
      <w:r>
        <w:rPr>
          <w:rFonts w:eastAsia="仿宋"/>
          <w:color w:val="000000" w:themeColor="text1"/>
          <w14:textFill>
            <w14:solidFill>
              <w14:schemeClr w14:val="tx1"/>
            </w14:solidFill>
          </w14:textFill>
        </w:rPr>
        <w:fldChar w:fldCharType="end"/>
      </w:r>
    </w:p>
    <w:bookmarkEnd w:id="0"/>
    <w:p w14:paraId="1D35BD29">
      <w:pPr>
        <w:pStyle w:val="60"/>
        <w:rPr>
          <w:rFonts w:ascii="Times New Roman" w:hAnsi="Times New Roman"/>
          <w:color w:val="000000" w:themeColor="text1"/>
          <w14:textFill>
            <w14:solidFill>
              <w14:schemeClr w14:val="tx1"/>
            </w14:solidFill>
          </w14:textFill>
        </w:rPr>
      </w:pPr>
      <w:bookmarkStart w:id="1" w:name="_Toc16835"/>
      <w:bookmarkStart w:id="2" w:name="_Toc3830"/>
      <w:bookmarkStart w:id="3" w:name="_Toc30209"/>
      <w:r>
        <w:rPr>
          <w:rFonts w:ascii="Times New Roman" w:hAnsi="Times New Roman"/>
          <w:color w:val="000000" w:themeColor="text1"/>
          <w14:textFill>
            <w14:solidFill>
              <w14:schemeClr w14:val="tx1"/>
            </w14:solidFill>
          </w14:textFill>
        </w:rPr>
        <w:t>前  言</w:t>
      </w:r>
      <w:bookmarkEnd w:id="1"/>
      <w:bookmarkEnd w:id="2"/>
      <w:bookmarkEnd w:id="3"/>
    </w:p>
    <w:p w14:paraId="55DE38F4">
      <w:pPr>
        <w:ind w:firstLine="640"/>
        <w:rPr>
          <w:color w:val="000000" w:themeColor="text1"/>
          <w14:textFill>
            <w14:solidFill>
              <w14:schemeClr w14:val="tx1"/>
            </w14:solidFill>
          </w14:textFill>
        </w:rPr>
      </w:pPr>
      <w:r>
        <w:rPr>
          <w:color w:val="000000" w:themeColor="text1"/>
          <w14:textFill>
            <w14:solidFill>
              <w14:schemeClr w14:val="tx1"/>
            </w14:solidFill>
          </w14:textFill>
        </w:rPr>
        <w:t>水是生命之源、生产之要、生态之基，是基础性自然资源和战略性经济资源，以水资源可持续利用保障经济社会可持续发展，是关系国计民生的大事。党的十九大把坚持人与自然和谐共生纳入新时代坚持和发展中国特色社会主义的基本方略。提出实施统筹水资源、水生态、水环境、水灾害治理的国家水安全战略，为建成富强民主文明和谐美丽的社会主义现代化强国提供有力支撑。“十四五”时期是我国“两个一百年”奋斗目标的历史交汇期，也是推动易门县高质量跨越发展的重要机遇期。</w:t>
      </w:r>
    </w:p>
    <w:p w14:paraId="02478ADE">
      <w:pPr>
        <w:ind w:firstLine="643"/>
        <w:rPr>
          <w:color w:val="000000" w:themeColor="text1"/>
          <w14:textFill>
            <w14:solidFill>
              <w14:schemeClr w14:val="tx1"/>
            </w14:solidFill>
          </w14:textFill>
        </w:rPr>
      </w:pPr>
      <w:r>
        <w:rPr>
          <w:b/>
          <w:color w:val="000000" w:themeColor="text1"/>
          <w14:textFill>
            <w14:solidFill>
              <w14:schemeClr w14:val="tx1"/>
            </w14:solidFill>
          </w14:textFill>
        </w:rPr>
        <w:t>规划前景：</w:t>
      </w:r>
      <w:r>
        <w:rPr>
          <w:color w:val="000000" w:themeColor="text1"/>
          <w14:textFill>
            <w14:solidFill>
              <w14:schemeClr w14:val="tx1"/>
            </w14:solidFill>
          </w14:textFill>
        </w:rPr>
        <w:t>深入分析易门县水利开发建设的发展情况和存在问题，对“十三五”期间的水利建设进行总结分析，总的看，成绩与问题交织，机遇与挑战并存：一是水资源合理配置与高效利用水平明显提高。至2020年底，全县已建成中型水库2座、小（1）型水库10座、小（2）型水库62座、小塘坝133座、水池水窖6.3万个，引水工程617件，提水工程62件，年蓄水能力10545.92万m³，年可供水能力达1.2亿m³。二是防洪抗旱减灾综合体系逐步完善。山洪灾害防治区监测预警系统基本建立，重要城镇应急供水能力逐步提高，防汛抗旱应急能力逐步增强。至2020年末，江河堤防达标率60%。三是水源地保护和河湖健康保障体系逐步健全。2016至2020年，完成水土流失治理面积0.27万km²，占计划数0.3万km²的90%，重点水功境区水质达标率100%。四是水利基础设施建设滞后工程性缺水矛盾突出。降雨时空分布不均，水资源开发利用难度大。根据《玉溪市水资源综合规划》水量平衡分析，到2030年，易门县缺水量4089万m³，缺水率33%，其中农业用水缺水3421万m³，工业用水缺水663万m³，生活用水缺水5万m³。五是水资源开发利用难度进一步加大。可修建中型和小型水库的地形条件已较少，且多在山区偏远地方，修建水库的难度和成本将不断加大，易门县水资源的开发利用率达29.71%。</w:t>
      </w:r>
    </w:p>
    <w:p w14:paraId="77F9AF20">
      <w:pPr>
        <w:ind w:firstLine="643"/>
        <w:rPr>
          <w:color w:val="000000" w:themeColor="text1"/>
          <w:szCs w:val="30"/>
          <w14:textFill>
            <w14:solidFill>
              <w14:schemeClr w14:val="tx1"/>
            </w14:solidFill>
          </w14:textFill>
        </w:rPr>
      </w:pPr>
      <w:r>
        <w:rPr>
          <w:b/>
          <w:color w:val="000000" w:themeColor="text1"/>
          <w:szCs w:val="30"/>
          <w14:textFill>
            <w14:solidFill>
              <w14:schemeClr w14:val="tx1"/>
            </w14:solidFill>
          </w14:textFill>
        </w:rPr>
        <w:t>总体思路：</w:t>
      </w:r>
      <w:r>
        <w:rPr>
          <w:color w:val="000000" w:themeColor="text1"/>
          <w:szCs w:val="30"/>
          <w14:textFill>
            <w14:solidFill>
              <w14:schemeClr w14:val="tx1"/>
            </w14:solidFill>
          </w14:textFill>
        </w:rPr>
        <w:t>认真贯彻落实习近平总书记“节水优先、空间均衡、系统治理、两手发力”的新时期治水思路和省委省政府“三个全面”的决策部署，围绕把玉溪建设成为云南“社会主义现代化建设先行区、全国绿色开放发展示范区、国际高品质康养旅游生活新高地”的目标，注重与《易门县全域现代化水网建设规划》有机衔接，以全域、全流程、全生命周期“三全理念”为统领，以“三湖两江”为水网骨干，着力构建“四纵四横”“五水统筹”“三网联动”“三片融合”的“44533”全域现代化水网体系，全力打造建设现代化水安全保障体系，不断推进全县水治理体系和治理能力现代化，为推动易门县实现高质量跨越式发展提供水安全保障和支撑。</w:t>
      </w:r>
    </w:p>
    <w:p w14:paraId="7E8EF283">
      <w:pPr>
        <w:ind w:firstLine="643"/>
        <w:rPr>
          <w:color w:val="000000" w:themeColor="text1"/>
          <w14:textFill>
            <w14:solidFill>
              <w14:schemeClr w14:val="tx1"/>
            </w14:solidFill>
          </w14:textFill>
        </w:rPr>
      </w:pPr>
      <w:r>
        <w:rPr>
          <w:b/>
          <w:color w:val="000000" w:themeColor="text1"/>
          <w14:textFill>
            <w14:solidFill>
              <w14:schemeClr w14:val="tx1"/>
            </w14:solidFill>
          </w14:textFill>
        </w:rPr>
        <w:t>规划进程：</w:t>
      </w:r>
      <w:r>
        <w:rPr>
          <w:color w:val="000000" w:themeColor="text1"/>
          <w14:textFill>
            <w14:solidFill>
              <w14:schemeClr w14:val="tx1"/>
            </w14:solidFill>
          </w14:textFill>
        </w:rPr>
        <w:t>根据县委、县政府和省水利厅关于“十四五”规划编制的工作部署，为全面科学评估“十三五”水利改革发展规划实施情况，超前研究、系统谋划“十四五”水利发展的思路目标、重点任务、建设布局、重大项目和重要举措，为易门县社会主义现代化建设新征程开好局、起好步，提供水安全保障，并力争更多重点水利工程项目进入国家“十四五”规划。针对易门县县情、水情，梳理总结了近年来易门县水利建设成效，分析水利发展的现状，围绕新时代易门县水利发展新要求新方向，基于以往工作基础，组织开展《易门县“十四五”水安全保障规划》。</w:t>
      </w:r>
    </w:p>
    <w:p w14:paraId="18BF2D0F">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县水利局从2020年3月开始启动《规划》编制工作，5月22日完成《规划》项目报审工作，并通过省水利厅审核。项目与《玉溪市“十四五”水安全保障规划》同步进行，以《市级规划》为依托，按照《水安全保障规划编制大纲》进行编制，项目与《市级规划》基本一致。</w:t>
      </w:r>
    </w:p>
    <w:p w14:paraId="6EF62FE1">
      <w:pPr>
        <w:ind w:firstLine="643"/>
        <w:rPr>
          <w:color w:val="000000" w:themeColor="text1"/>
          <w:szCs w:val="30"/>
          <w14:textFill>
            <w14:solidFill>
              <w14:schemeClr w14:val="tx1"/>
            </w14:solidFill>
          </w14:textFill>
        </w:rPr>
      </w:pPr>
      <w:r>
        <w:rPr>
          <w:b/>
          <w:color w:val="000000" w:themeColor="text1"/>
          <w:szCs w:val="30"/>
          <w14:textFill>
            <w14:solidFill>
              <w14:schemeClr w14:val="tx1"/>
            </w14:solidFill>
          </w14:textFill>
        </w:rPr>
        <w:t>架构体系：</w:t>
      </w:r>
      <w:r>
        <w:rPr>
          <w:color w:val="000000" w:themeColor="text1"/>
          <w:szCs w:val="30"/>
          <w14:textFill>
            <w14:solidFill>
              <w14:schemeClr w14:val="tx1"/>
            </w14:solidFill>
          </w14:textFill>
        </w:rPr>
        <w:t>《规划》立足易门县县情，围绕防洪、供水、水生态和水利信息化“四大板块”，通过转变治水思路、补齐发展短板、强化监督管理、提升能力水平，系统构建易门县水安全保障“九大体系”，即构建以水定需—全面推行节水型社会建设保障；防治并重—完善江河安澜的防洪；质量统筹—构建空间均衡的水资源配置；防治结合—恢复水清岸绿的水生态；多措并举—加强城乡一体的供水灌溉；着眼未来—建立重大战略的保障；稳步推进—健全调控精准的智慧水利；提质增效—完善水工程安全保障；改革创新—构建水治理能力现代化等九大体系建设。逐步扭转易门县水利建设明显滞后的局面，满足人民群众对防洪安全、优质水资源、健康水生态、宜居水环境、先进水文化的需求，加快构建“河湖相连、水系贯通、多元互补、区域互济”的全域水网体系，最终构建易门县现代化水安全保障体系。</w:t>
      </w:r>
    </w:p>
    <w:p w14:paraId="5DB4DB53">
      <w:pPr>
        <w:ind w:firstLine="643"/>
        <w:rPr>
          <w:color w:val="000000" w:themeColor="text1"/>
          <w:szCs w:val="30"/>
          <w14:textFill>
            <w14:solidFill>
              <w14:schemeClr w14:val="tx1"/>
            </w14:solidFill>
          </w14:textFill>
        </w:rPr>
      </w:pPr>
      <w:r>
        <w:rPr>
          <w:b/>
          <w:color w:val="000000" w:themeColor="text1"/>
          <w14:textFill>
            <w14:solidFill>
              <w14:schemeClr w14:val="tx1"/>
            </w14:solidFill>
          </w14:textFill>
        </w:rPr>
        <w:t>项目情况：</w:t>
      </w:r>
      <w:r>
        <w:rPr>
          <w:rFonts w:hint="eastAsia"/>
          <w:color w:val="000000" w:themeColor="text1"/>
          <w:lang w:eastAsia="zh-CN"/>
          <w14:textFill>
            <w14:solidFill>
              <w14:schemeClr w14:val="tx1"/>
            </w14:solidFill>
          </w14:textFill>
        </w:rPr>
        <w:t>“十四五”</w:t>
      </w:r>
      <w:r>
        <w:rPr>
          <w:color w:val="000000" w:themeColor="text1"/>
          <w14:textFill>
            <w14:solidFill>
              <w14:schemeClr w14:val="tx1"/>
            </w14:solidFill>
          </w14:textFill>
        </w:rPr>
        <w:t>期间，累计规划建设项目312件，项目总投资64.1557亿元。包含“四大板块”，即防洪类、供水类、水生态类、水利信息化，其中：防洪类项目68件，规划总投资10.2347亿元，占比16%；供水类项目214件，规划总投资33.2332亿元，占比52%；水生态类项目23件，规划总投资12.331亿元，占比19%；水利信息化项目7件，规划总投资8.3568亿元，占比13%。</w:t>
      </w:r>
      <w:r>
        <w:rPr>
          <w:color w:val="000000" w:themeColor="text1"/>
          <w:szCs w:val="30"/>
          <w14:textFill>
            <w14:solidFill>
              <w14:schemeClr w14:val="tx1"/>
            </w14:solidFill>
          </w14:textFill>
        </w:rPr>
        <w:t xml:space="preserve"> </w:t>
      </w:r>
    </w:p>
    <w:p w14:paraId="2EA116BC">
      <w:pPr>
        <w:ind w:firstLine="643"/>
        <w:rPr>
          <w:color w:val="000000" w:themeColor="text1"/>
          <w14:textFill>
            <w14:solidFill>
              <w14:schemeClr w14:val="tx1"/>
            </w14:solidFill>
          </w14:textFill>
        </w:rPr>
      </w:pPr>
      <w:r>
        <w:rPr>
          <w:b/>
          <w:color w:val="000000" w:themeColor="text1"/>
          <w14:textFill>
            <w14:solidFill>
              <w14:schemeClr w14:val="tx1"/>
            </w14:solidFill>
          </w14:textFill>
        </w:rPr>
        <w:t>保障措施：</w:t>
      </w:r>
      <w:r>
        <w:rPr>
          <w:color w:val="000000" w:themeColor="text1"/>
          <w14:textFill>
            <w14:solidFill>
              <w14:schemeClr w14:val="tx1"/>
            </w14:solidFill>
          </w14:textFill>
        </w:rPr>
        <w:t>《规划》从加强组织领导、创新建设模式、加强前期工作、加快项目推进等方面，提出具体的保障措施和意见建议，助推易门县现代化水安全保障体系实施。</w:t>
      </w:r>
    </w:p>
    <w:p w14:paraId="03F2F105">
      <w:pPr>
        <w:pStyle w:val="7"/>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0" distR="0">
            <wp:extent cx="4631055" cy="3851910"/>
            <wp:effectExtent l="0" t="0" r="17145" b="1524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0E7C97">
      <w:pPr>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14:paraId="6E35502D">
      <w:pPr>
        <w:pStyle w:val="43"/>
        <w:rPr>
          <w:color w:val="000000" w:themeColor="text1"/>
          <w14:textFill>
            <w14:solidFill>
              <w14:schemeClr w14:val="tx1"/>
            </w14:solidFill>
          </w14:textFill>
        </w:rPr>
      </w:pPr>
      <w:bookmarkStart w:id="4" w:name="_Toc385"/>
      <w:bookmarkStart w:id="5" w:name="_Toc20357"/>
      <w:bookmarkStart w:id="6" w:name="_Toc21408"/>
      <w:bookmarkStart w:id="7" w:name="_Toc20425"/>
      <w:bookmarkStart w:id="8" w:name="_Toc22758"/>
      <w:r>
        <w:rPr>
          <w:color w:val="000000" w:themeColor="text1"/>
          <w14:textFill>
            <w14:solidFill>
              <w14:schemeClr w14:val="tx1"/>
            </w14:solidFill>
          </w14:textFill>
        </w:rPr>
        <w:t>规划背景</w:t>
      </w:r>
      <w:bookmarkEnd w:id="4"/>
      <w:bookmarkEnd w:id="5"/>
      <w:bookmarkEnd w:id="6"/>
      <w:bookmarkEnd w:id="7"/>
    </w:p>
    <w:p w14:paraId="2049B1DF">
      <w:pPr>
        <w:pStyle w:val="45"/>
        <w:rPr>
          <w:color w:val="000000" w:themeColor="text1"/>
          <w14:textFill>
            <w14:solidFill>
              <w14:schemeClr w14:val="tx1"/>
            </w14:solidFill>
          </w14:textFill>
        </w:rPr>
      </w:pPr>
      <w:bookmarkStart w:id="9" w:name="_Toc8875"/>
      <w:bookmarkStart w:id="10" w:name="_Toc12520"/>
      <w:r>
        <w:rPr>
          <w:color w:val="000000" w:themeColor="text1"/>
          <w14:textFill>
            <w14:solidFill>
              <w14:schemeClr w14:val="tx1"/>
            </w14:solidFill>
          </w14:textFill>
        </w:rPr>
        <w:t>基本情况</w:t>
      </w:r>
      <w:bookmarkEnd w:id="8"/>
      <w:bookmarkEnd w:id="9"/>
      <w:bookmarkEnd w:id="10"/>
    </w:p>
    <w:p w14:paraId="3BED3248">
      <w:pPr>
        <w:pStyle w:val="47"/>
        <w:rPr>
          <w:color w:val="000000" w:themeColor="text1"/>
          <w14:textFill>
            <w14:solidFill>
              <w14:schemeClr w14:val="tx1"/>
            </w14:solidFill>
          </w14:textFill>
        </w:rPr>
      </w:pPr>
      <w:bookmarkStart w:id="11" w:name="_Toc20997"/>
      <w:bookmarkStart w:id="12" w:name="_Toc14139"/>
      <w:bookmarkStart w:id="13" w:name="_Toc29157"/>
      <w:r>
        <w:rPr>
          <w:color w:val="000000" w:themeColor="text1"/>
          <w14:textFill>
            <w14:solidFill>
              <w14:schemeClr w14:val="tx1"/>
            </w14:solidFill>
          </w14:textFill>
        </w:rPr>
        <w:t>自然地理</w:t>
      </w:r>
      <w:bookmarkEnd w:id="11"/>
      <w:bookmarkEnd w:id="12"/>
      <w:bookmarkEnd w:id="13"/>
    </w:p>
    <w:p w14:paraId="5E28B763">
      <w:pPr>
        <w:ind w:firstLine="0" w:firstLineChars="0"/>
        <w:jc w:val="left"/>
        <w:outlineLvl w:val="3"/>
        <w:rPr>
          <w:b/>
          <w:color w:val="000000" w:themeColor="text1"/>
          <w:szCs w:val="30"/>
          <w14:textFill>
            <w14:solidFill>
              <w14:schemeClr w14:val="tx1"/>
            </w14:solidFill>
          </w14:textFill>
        </w:rPr>
      </w:pPr>
      <w:r>
        <w:rPr>
          <w:b/>
          <w:color w:val="000000" w:themeColor="text1"/>
          <w:szCs w:val="30"/>
          <w14:textFill>
            <w14:solidFill>
              <w14:schemeClr w14:val="tx1"/>
            </w14:solidFill>
          </w14:textFill>
        </w:rPr>
        <w:t>（一）</w:t>
      </w:r>
      <w:r>
        <w:rPr>
          <w:b/>
          <w:color w:val="000000" w:themeColor="text1"/>
          <w14:textFill>
            <w14:solidFill>
              <w14:schemeClr w14:val="tx1"/>
            </w14:solidFill>
          </w14:textFill>
        </w:rPr>
        <w:t>地理位置</w:t>
      </w:r>
    </w:p>
    <w:p w14:paraId="48242094">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易门县地处云南省滇中西部，玉溪市西北，位于东经101°54′</w:t>
      </w:r>
      <w:r>
        <w:rPr>
          <w:rFonts w:cs="Times New Roman"/>
          <w:color w:val="000000" w:themeColor="text1"/>
          <w14:textFill>
            <w14:solidFill>
              <w14:schemeClr w14:val="tx1"/>
            </w14:solidFill>
          </w14:textFill>
        </w:rPr>
        <w:t>~</w:t>
      </w:r>
      <w:r>
        <w:rPr>
          <w:color w:val="000000" w:themeColor="text1"/>
          <w14:textFill>
            <w14:solidFill>
              <w14:schemeClr w14:val="tx1"/>
            </w14:solidFill>
          </w14:textFill>
        </w:rPr>
        <w:t>102°18′、北纬24°27′</w:t>
      </w:r>
      <w:r>
        <w:rPr>
          <w:rFonts w:cs="Times New Roman"/>
          <w:color w:val="000000" w:themeColor="text1"/>
          <w14:textFill>
            <w14:solidFill>
              <w14:schemeClr w14:val="tx1"/>
            </w14:solidFill>
          </w14:textFill>
        </w:rPr>
        <w:t>~</w:t>
      </w:r>
      <w:r>
        <w:rPr>
          <w:color w:val="000000" w:themeColor="text1"/>
          <w14:textFill>
            <w14:solidFill>
              <w14:schemeClr w14:val="tx1"/>
            </w14:solidFill>
          </w14:textFill>
        </w:rPr>
        <w:t>24°57′之间，东与安宁市、晋宁区相接，南连峨山，西和双柏隔绿汁江相望，北部与禄丰县、安宁市两县市接壤。县城龙泉镇，县域东西横距44 km，南北纵距57 km，总面积15</w:t>
      </w:r>
      <w:r>
        <w:rPr>
          <w:rFonts w:hint="eastAsia"/>
          <w:color w:val="000000" w:themeColor="text1"/>
          <w:lang w:val="en-US" w:eastAsia="zh-CN"/>
          <w14:textFill>
            <w14:solidFill>
              <w14:schemeClr w14:val="tx1"/>
            </w14:solidFill>
          </w14:textFill>
        </w:rPr>
        <w:t>26</w:t>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km</w:t>
      </w:r>
      <w:r>
        <w:rPr>
          <w:rFonts w:hint="eastAsia"/>
          <w:color w:val="000000" w:themeColor="text1"/>
          <w:vertAlign w:val="superscript"/>
          <w:lang w:val="en-US" w:eastAsia="zh-CN"/>
          <w14:textFill>
            <w14:solidFill>
              <w14:schemeClr w14:val="tx1"/>
            </w14:solidFill>
          </w14:textFill>
        </w:rPr>
        <w:t>2</w:t>
      </w:r>
      <w:r>
        <w:rPr>
          <w:color w:val="000000" w:themeColor="text1"/>
          <w14:textFill>
            <w14:solidFill>
              <w14:schemeClr w14:val="tx1"/>
            </w14:solidFill>
          </w14:textFill>
        </w:rPr>
        <w:t>，居玉溪市第4位。东南距市政府所在地红塔区110 km，坝区和河谷面积占3%，山区面积占97%，东北距省会昆明市94 km。</w:t>
      </w:r>
      <w:r>
        <w:rPr>
          <w:color w:val="000000" w:themeColor="text1"/>
          <w:szCs w:val="32"/>
          <w:shd w:val="clear" w:color="auto" w:fill="FFFFFF"/>
          <w14:textFill>
            <w14:solidFill>
              <w14:schemeClr w14:val="tx1"/>
            </w14:solidFill>
          </w14:textFill>
        </w:rPr>
        <w:t>全县2个街道办事处、1个镇、4个乡，39个村委会、19个社区居委会，498个村民小组、268个社区居民小组，792个自然村。</w:t>
      </w:r>
    </w:p>
    <w:p w14:paraId="0F7E166A">
      <w:pPr>
        <w:ind w:firstLine="0" w:firstLineChars="0"/>
        <w:jc w:val="left"/>
        <w:outlineLvl w:val="3"/>
        <w:rPr>
          <w:b/>
          <w:color w:val="000000" w:themeColor="text1"/>
          <w:szCs w:val="30"/>
          <w14:textFill>
            <w14:solidFill>
              <w14:schemeClr w14:val="tx1"/>
            </w14:solidFill>
          </w14:textFill>
        </w:rPr>
      </w:pPr>
      <w:r>
        <w:rPr>
          <w:b/>
          <w:color w:val="000000" w:themeColor="text1"/>
          <w:szCs w:val="30"/>
          <w14:textFill>
            <w14:solidFill>
              <w14:schemeClr w14:val="tx1"/>
            </w14:solidFill>
          </w14:textFill>
        </w:rPr>
        <w:t>（二）</w:t>
      </w:r>
      <w:r>
        <w:rPr>
          <w:b/>
          <w:color w:val="000000" w:themeColor="text1"/>
          <w14:textFill>
            <w14:solidFill>
              <w14:schemeClr w14:val="tx1"/>
            </w14:solidFill>
          </w14:textFill>
        </w:rPr>
        <w:t>地形</w:t>
      </w:r>
      <w:r>
        <w:rPr>
          <w:b/>
          <w:color w:val="000000" w:themeColor="text1"/>
          <w:szCs w:val="30"/>
          <w14:textFill>
            <w14:solidFill>
              <w14:schemeClr w14:val="tx1"/>
            </w14:solidFill>
          </w14:textFill>
        </w:rPr>
        <w:t>地貌</w:t>
      </w:r>
    </w:p>
    <w:p w14:paraId="1FCD845E">
      <w:pPr>
        <w:ind w:firstLine="640"/>
        <w:rPr>
          <w:color w:val="000000" w:themeColor="text1"/>
          <w14:textFill>
            <w14:solidFill>
              <w14:schemeClr w14:val="tx1"/>
            </w14:solidFill>
          </w14:textFill>
        </w:rPr>
      </w:pPr>
      <w:r>
        <w:rPr>
          <w:color w:val="000000" w:themeColor="text1"/>
          <w14:textFill>
            <w14:solidFill>
              <w14:schemeClr w14:val="tx1"/>
            </w14:solidFill>
          </w14:textFill>
        </w:rPr>
        <w:t>境内最高点为北部小街乡甲浦老黑山顶雀窝尖山，海拔2608 m，最低点是绿汁镇南部炉房村旁易门与双柏、峨山交界处的绿汁江面，海拔1036 m，县人民政府驻地龙泉街道海拔1570 m。地形特征为东、北、西三面高山屏立，中部是溶蚀性盆地，东南面为中山河谷地带，全境状似马蹄。江河沿岸受河流切割影响，较陡峭，山谷相间、地形复杂。</w:t>
      </w:r>
    </w:p>
    <w:p w14:paraId="55FE53A7">
      <w:pPr>
        <w:ind w:firstLine="640"/>
        <w:rPr>
          <w:color w:val="000000" w:themeColor="text1"/>
          <w14:textFill>
            <w14:solidFill>
              <w14:schemeClr w14:val="tx1"/>
            </w14:solidFill>
          </w14:textFill>
        </w:rPr>
      </w:pPr>
      <w:r>
        <w:rPr>
          <w:color w:val="000000" w:themeColor="text1"/>
          <w14:textFill>
            <w14:solidFill>
              <w14:schemeClr w14:val="tx1"/>
            </w14:solidFill>
          </w14:textFill>
        </w:rPr>
        <w:t>远在宋朝时期，易门就有“仙源”之称，境内高山河谷相间，立体气候明显，森林覆盖率60.09%，气候温润，生态环境良好，林丰草茂，多样性生物衍生出多类型植被和多种动物，100多种野生动物活跃在高山峡谷、平坝青溪中。300多种野生菌，70多种可食用野生菌以品种全、数量多、品质优、口感好而闻名全省，干巴菌、鸡枞、美味牛肝菌和铜厂黑松露名声尤著。境内蕴藏着铜、铁、钴、钨、高岭土（瓷土）、大理石、花岗石、石灰石等丰富的矿产资源，以县境东部的东山铁矿和西部绿汁江岸的铜矿储藏最为丰富。易门县是国家对外开放县和省革命老区县，是中国建筑卫生陶瓷协会授予的“中国西南建筑陶瓷生产基地”，2005年被列为中国·云南野生食用菌交易中心，有“滇中水城、菌乡易门”的美称。</w:t>
      </w:r>
    </w:p>
    <w:p w14:paraId="5448880E">
      <w:pPr>
        <w:ind w:firstLine="0" w:firstLineChars="0"/>
        <w:jc w:val="left"/>
        <w:outlineLvl w:val="3"/>
        <w:rPr>
          <w:b/>
          <w:color w:val="000000" w:themeColor="text1"/>
          <w:szCs w:val="30"/>
          <w14:textFill>
            <w14:solidFill>
              <w14:schemeClr w14:val="tx1"/>
            </w14:solidFill>
          </w14:textFill>
        </w:rPr>
      </w:pPr>
      <w:r>
        <w:rPr>
          <w:b/>
          <w:color w:val="000000" w:themeColor="text1"/>
          <w:szCs w:val="30"/>
          <w14:textFill>
            <w14:solidFill>
              <w14:schemeClr w14:val="tx1"/>
            </w14:solidFill>
          </w14:textFill>
        </w:rPr>
        <w:t>（三）</w:t>
      </w:r>
      <w:r>
        <w:rPr>
          <w:b/>
          <w:color w:val="000000" w:themeColor="text1"/>
          <w14:textFill>
            <w14:solidFill>
              <w14:schemeClr w14:val="tx1"/>
            </w14:solidFill>
          </w14:textFill>
        </w:rPr>
        <w:t>气候</w:t>
      </w:r>
      <w:r>
        <w:rPr>
          <w:b/>
          <w:color w:val="000000" w:themeColor="text1"/>
          <w:szCs w:val="30"/>
          <w14:textFill>
            <w14:solidFill>
              <w14:schemeClr w14:val="tx1"/>
            </w14:solidFill>
          </w14:textFill>
        </w:rPr>
        <w:t>特征</w:t>
      </w:r>
    </w:p>
    <w:p w14:paraId="2355B66A">
      <w:pPr>
        <w:ind w:firstLine="640"/>
        <w:rPr>
          <w:color w:val="000000" w:themeColor="text1"/>
          <w14:textFill>
            <w14:solidFill>
              <w14:schemeClr w14:val="tx1"/>
            </w14:solidFill>
          </w14:textFill>
        </w:rPr>
      </w:pPr>
      <w:r>
        <w:rPr>
          <w:color w:val="000000" w:themeColor="text1"/>
          <w14:textFill>
            <w14:solidFill>
              <w14:schemeClr w14:val="tx1"/>
            </w14:solidFill>
          </w14:textFill>
        </w:rPr>
        <w:t>易门地处低纬度高原，由于境内高山、丘陵、盆地、河谷交错，海拔高差悬殊大，呈现立体性气候，具有气候垂直变化大，季节变化小的特点。同时随地形、海拔的不同，造成小区气温、降水差异，有“十里不同天”之说。暴雨主要由冷锋低槽、冷锋切变及低槽型等天气系统造成。全县可分为南亚热带、中亚热带、北亚热带、南温带四种气候类型，主要水气来源东、西南暖湿气流多年平均气温为16.3</w:t>
      </w:r>
      <w:r>
        <w:rPr>
          <w:rFonts w:hint="eastAsia" w:ascii="宋体" w:hAnsi="宋体" w:eastAsia="宋体" w:cs="宋体"/>
          <w:color w:val="000000" w:themeColor="text1"/>
          <w14:textFill>
            <w14:solidFill>
              <w14:schemeClr w14:val="tx1"/>
            </w14:solidFill>
          </w14:textFill>
        </w:rPr>
        <w:t>℃</w:t>
      </w:r>
      <w:r>
        <w:rPr>
          <w:color w:val="000000" w:themeColor="text1"/>
          <w14:textFill>
            <w14:solidFill>
              <w14:schemeClr w14:val="tx1"/>
            </w14:solidFill>
          </w14:textFill>
        </w:rPr>
        <w:t>，极端最高气温为34.6</w:t>
      </w:r>
      <w:r>
        <w:rPr>
          <w:rFonts w:hint="eastAsia" w:ascii="宋体" w:hAnsi="宋体" w:eastAsia="宋体" w:cs="宋体"/>
          <w:color w:val="000000" w:themeColor="text1"/>
          <w14:textFill>
            <w14:solidFill>
              <w14:schemeClr w14:val="tx1"/>
            </w14:solidFill>
          </w14:textFill>
        </w:rPr>
        <w:t>℃</w:t>
      </w:r>
      <w:r>
        <w:rPr>
          <w:color w:val="000000" w:themeColor="text1"/>
          <w14:textFill>
            <w14:solidFill>
              <w14:schemeClr w14:val="tx1"/>
            </w14:solidFill>
          </w14:textFill>
        </w:rPr>
        <w:t>（1975年5月1日），年最低气温为-2.0</w:t>
      </w:r>
      <w:r>
        <w:rPr>
          <w:rFonts w:hint="eastAsia" w:ascii="宋体" w:hAnsi="宋体" w:eastAsia="宋体" w:cs="宋体"/>
          <w:color w:val="000000" w:themeColor="text1"/>
          <w14:textFill>
            <w14:solidFill>
              <w14:schemeClr w14:val="tx1"/>
            </w14:solidFill>
          </w14:textFill>
        </w:rPr>
        <w:t>℃</w:t>
      </w:r>
      <w:r>
        <w:rPr>
          <w:color w:val="000000" w:themeColor="text1"/>
          <w14:textFill>
            <w14:solidFill>
              <w14:schemeClr w14:val="tx1"/>
            </w14:solidFill>
          </w14:textFill>
        </w:rPr>
        <w:t>（2000年1月6日）；年日照时数1706 h；降雨量为859.6 mm；多年平均年蒸发量为1842.5 mm（Φ=20 cm口径）；相对湿度为76.3%。不同层次的气候为易门发展粮、烤烟、蔗、冬早蔬菜、亚热带瓜果、香料、林木、畜牧提供了有利条件。</w:t>
      </w:r>
    </w:p>
    <w:p w14:paraId="0052DE25">
      <w:pPr>
        <w:ind w:firstLine="0" w:firstLineChars="0"/>
        <w:jc w:val="left"/>
        <w:outlineLvl w:val="3"/>
        <w:rPr>
          <w:color w:val="000000" w:themeColor="text1"/>
          <w14:textFill>
            <w14:solidFill>
              <w14:schemeClr w14:val="tx1"/>
            </w14:solidFill>
          </w14:textFill>
        </w:rPr>
      </w:pPr>
      <w:r>
        <w:rPr>
          <w:b/>
          <w:color w:val="000000" w:themeColor="text1"/>
          <w:szCs w:val="30"/>
          <w14:textFill>
            <w14:solidFill>
              <w14:schemeClr w14:val="tx1"/>
            </w14:solidFill>
          </w14:textFill>
        </w:rPr>
        <w:t>（四）河湖水系</w:t>
      </w:r>
    </w:p>
    <w:p w14:paraId="1FAA0FD6">
      <w:pPr>
        <w:ind w:firstLine="640"/>
        <w:rPr>
          <w:color w:val="000000" w:themeColor="text1"/>
          <w14:textFill>
            <w14:solidFill>
              <w14:schemeClr w14:val="tx1"/>
            </w14:solidFill>
          </w14:textFill>
        </w:rPr>
      </w:pPr>
      <w:r>
        <w:rPr>
          <w:color w:val="000000" w:themeColor="text1"/>
          <w14:textFill>
            <w14:solidFill>
              <w14:schemeClr w14:val="tx1"/>
            </w14:solidFill>
          </w14:textFill>
        </w:rPr>
        <w:t>易门东部山脉是金沙江与元江两大水系的分水岭，易门属元江~红河水系。境内主要河流有两条，西面是绿汁江，流域区共有扒河、狮子山河、普厂河、米茂河、里士河、龙潭箐河、马鹿箐河、芭蕉箐河、芍苴箐河、蚂蟥箐河、菜园河、大田河、洛苴箐河、三岔河、法味河15条较大支流。东面是扒河，为绿汁江最大支流，从县境北向东流，绕县境东部向南流，流域内有小街河、白龙河、小河、六街河、白泥田河、打矿箐河、双龙河、龙泉河、冷水箐河、苗茂沙河、浦贝河、贾姑河、老吾河13条较大支流。</w:t>
      </w:r>
      <w:bookmarkStart w:id="14" w:name="_Toc13090"/>
      <w:bookmarkStart w:id="15" w:name="_Toc10684"/>
      <w:bookmarkStart w:id="16" w:name="_Toc12773"/>
    </w:p>
    <w:p w14:paraId="048C2356">
      <w:pPr>
        <w:ind w:firstLine="640"/>
        <w:rPr>
          <w:color w:val="000000" w:themeColor="text1"/>
          <w14:textFill>
            <w14:solidFill>
              <w14:schemeClr w14:val="tx1"/>
            </w14:solidFill>
          </w14:textFill>
        </w:rPr>
      </w:pPr>
      <w:r>
        <w:rPr>
          <w:color w:val="000000" w:themeColor="text1"/>
          <w14:textFill>
            <w14:solidFill>
              <w14:schemeClr w14:val="tx1"/>
            </w14:solidFill>
          </w14:textFill>
        </w:rPr>
        <w:t>（1）扒河流域</w:t>
      </w:r>
    </w:p>
    <w:p w14:paraId="19CAA63E">
      <w:pPr>
        <w:ind w:firstLine="640"/>
        <w:rPr>
          <w:color w:val="000000" w:themeColor="text1"/>
          <w14:textFill>
            <w14:solidFill>
              <w14:schemeClr w14:val="tx1"/>
            </w14:solidFill>
          </w14:textFill>
        </w:rPr>
      </w:pPr>
      <w:r>
        <w:rPr>
          <w:color w:val="000000" w:themeColor="text1"/>
          <w14:textFill>
            <w14:solidFill>
              <w14:schemeClr w14:val="tx1"/>
            </w14:solidFill>
          </w14:textFill>
        </w:rPr>
        <w:t>扒河流域地处云南省中部丘陵地区，流域地理坐标为东经102°01</w:t>
      </w:r>
      <w:r>
        <w:rPr>
          <w:color w:val="000000" w:themeColor="text1"/>
          <w:vertAlign w:val="superscript"/>
          <w14:textFill>
            <w14:solidFill>
              <w14:schemeClr w14:val="tx1"/>
            </w14:solidFill>
          </w14:textFill>
        </w:rPr>
        <w:t>/</w:t>
      </w:r>
      <w:r>
        <w:rPr>
          <w:color w:val="000000" w:themeColor="text1"/>
          <w14:textFill>
            <w14:solidFill>
              <w14:schemeClr w14:val="tx1"/>
            </w14:solidFill>
          </w14:textFill>
        </w:rPr>
        <w:t>～102°22</w:t>
      </w:r>
      <w:r>
        <w:rPr>
          <w:rFonts w:hint="eastAsia" w:ascii="宋体" w:hAnsi="宋体" w:eastAsia="宋体" w:cs="宋体"/>
          <w:color w:val="000000" w:themeColor="text1"/>
          <w14:textFill>
            <w14:solidFill>
              <w14:schemeClr w14:val="tx1"/>
            </w14:solidFill>
          </w14:textFill>
        </w:rPr>
        <w:t>ˊ</w:t>
      </w:r>
      <w:r>
        <w:rPr>
          <w:color w:val="000000" w:themeColor="text1"/>
          <w14:textFill>
            <w14:solidFill>
              <w14:schemeClr w14:val="tx1"/>
            </w14:solidFill>
          </w14:textFill>
        </w:rPr>
        <w:t>，北纬24°19</w:t>
      </w:r>
      <w:r>
        <w:rPr>
          <w:rFonts w:hint="eastAsia" w:ascii="宋体" w:hAnsi="宋体" w:eastAsia="宋体" w:cs="宋体"/>
          <w:color w:val="000000" w:themeColor="text1"/>
          <w14:textFill>
            <w14:solidFill>
              <w14:schemeClr w14:val="tx1"/>
            </w14:solidFill>
          </w14:textFill>
        </w:rPr>
        <w:t>ˊ</w:t>
      </w:r>
      <w:r>
        <w:rPr>
          <w:color w:val="000000" w:themeColor="text1"/>
          <w14:textFill>
            <w14:solidFill>
              <w14:schemeClr w14:val="tx1"/>
            </w14:solidFill>
          </w14:textFill>
        </w:rPr>
        <w:t>～24°57</w:t>
      </w:r>
      <w:r>
        <w:rPr>
          <w:rFonts w:hint="eastAsia" w:ascii="宋体" w:hAnsi="宋体" w:eastAsia="宋体" w:cs="宋体"/>
          <w:color w:val="000000" w:themeColor="text1"/>
          <w14:textFill>
            <w14:solidFill>
              <w14:schemeClr w14:val="tx1"/>
            </w14:solidFill>
          </w14:textFill>
        </w:rPr>
        <w:t>ˊ</w:t>
      </w:r>
      <w:r>
        <w:rPr>
          <w:color w:val="000000" w:themeColor="text1"/>
          <w14:textFill>
            <w14:solidFill>
              <w14:schemeClr w14:val="tx1"/>
            </w14:solidFill>
          </w14:textFill>
        </w:rPr>
        <w:t>之间。流域北接禄丰、东邻安宁、南毗峨山、西邻绿汁江，是绿汁江左岸一条相对较大的一级支流，属红河流域元江水系。</w:t>
      </w:r>
    </w:p>
    <w:p w14:paraId="3E1FECF8">
      <w:pPr>
        <w:ind w:firstLine="640"/>
        <w:rPr>
          <w:color w:val="000000" w:themeColor="text1"/>
          <w14:textFill>
            <w14:solidFill>
              <w14:schemeClr w14:val="tx1"/>
            </w14:solidFill>
          </w14:textFill>
        </w:rPr>
      </w:pPr>
      <w:r>
        <w:rPr>
          <w:color w:val="000000" w:themeColor="text1"/>
          <w14:textFill>
            <w14:solidFill>
              <w14:schemeClr w14:val="tx1"/>
            </w14:solidFill>
          </w14:textFill>
        </w:rPr>
        <w:t>扒河发源于易门县与禄丰县交界的老黑山东北麓，水流自北向南流经易门县的小街、六街、龙泉、浦贝、十街五个乡（镇），贯穿易门县境。在与峨山交界的图库房村下游约1 km处汇入绿汁江，全长104km，总落差984m,比降9.46‰。集水面积1585 k㎡，其中易门县境内约970 k㎡，安宁、峨山、晋宁县境内615 k㎡ 。其主要的支流有罗尹河、米苴河、王家滩河、“三五”大河（即大龙泉河）、浦贝河、甸中河、大龙潭河、老吾河等。除王家滩河大部分属安宁（易门境内27 k㎡）、甸中河大部分属峨山（易门境内30 k㎡）、大龙潭河全属峨山外，其余支流都属易门境内，易门县城就坐落在扒河中游的河谷盆地之中。</w:t>
      </w:r>
    </w:p>
    <w:p w14:paraId="35F54BAD">
      <w:pPr>
        <w:ind w:firstLine="640"/>
        <w:rPr>
          <w:color w:val="000000" w:themeColor="text1"/>
          <w:spacing w:val="-8"/>
          <w14:textFill>
            <w14:solidFill>
              <w14:schemeClr w14:val="tx1"/>
            </w14:solidFill>
          </w14:textFill>
        </w:rPr>
      </w:pPr>
      <w:r>
        <w:rPr>
          <w:color w:val="000000" w:themeColor="text1"/>
          <w14:textFill>
            <w14:solidFill>
              <w14:schemeClr w14:val="tx1"/>
            </w14:solidFill>
          </w14:textFill>
        </w:rPr>
        <w:t>（2）</w:t>
      </w:r>
      <w:r>
        <w:rPr>
          <w:color w:val="000000" w:themeColor="text1"/>
          <w:spacing w:val="-8"/>
          <w14:textFill>
            <w14:solidFill>
              <w14:schemeClr w14:val="tx1"/>
            </w14:solidFill>
          </w14:textFill>
        </w:rPr>
        <w:t>绿汁江</w:t>
      </w:r>
    </w:p>
    <w:p w14:paraId="56904DDE">
      <w:pPr>
        <w:ind w:firstLine="608"/>
        <w:rPr>
          <w:color w:val="000000" w:themeColor="text1"/>
          <w:spacing w:val="-3"/>
          <w14:textFill>
            <w14:solidFill>
              <w14:schemeClr w14:val="tx1"/>
            </w14:solidFill>
          </w14:textFill>
        </w:rPr>
      </w:pPr>
      <w:r>
        <w:rPr>
          <w:color w:val="000000" w:themeColor="text1"/>
          <w:spacing w:val="-8"/>
          <w14:textFill>
            <w14:solidFill>
              <w14:schemeClr w14:val="tx1"/>
            </w14:solidFill>
          </w14:textFill>
        </w:rPr>
        <w:t>绿汁江位于云南省易门县西南部的绿汁镇内，古称丁葵江或星宿</w:t>
      </w:r>
      <w:r>
        <w:rPr>
          <w:color w:val="000000" w:themeColor="text1"/>
          <w:spacing w:val="-17"/>
          <w14:textFill>
            <w14:solidFill>
              <w14:schemeClr w14:val="tx1"/>
            </w14:solidFill>
          </w14:textFill>
        </w:rPr>
        <w:t xml:space="preserve">江。地理位置东经 </w:t>
      </w:r>
      <w:r>
        <w:rPr>
          <w:rFonts w:cs="Calibri"/>
          <w:color w:val="000000" w:themeColor="text1"/>
          <w14:textFill>
            <w14:solidFill>
              <w14:schemeClr w14:val="tx1"/>
            </w14:solidFill>
          </w14:textFill>
        </w:rPr>
        <w:t>101</w:t>
      </w:r>
      <w:r>
        <w:rPr>
          <w:rFonts w:cs="Calibri"/>
          <w:color w:val="000000" w:themeColor="text1"/>
          <w:spacing w:val="-1"/>
          <w14:textFill>
            <w14:solidFill>
              <w14:schemeClr w14:val="tx1"/>
            </w14:solidFill>
          </w14:textFill>
        </w:rPr>
        <w:t xml:space="preserve">° </w:t>
      </w:r>
      <w:r>
        <w:rPr>
          <w:rFonts w:cs="Calibri"/>
          <w:color w:val="000000" w:themeColor="text1"/>
          <w14:textFill>
            <w14:solidFill>
              <w14:schemeClr w14:val="tx1"/>
            </w14:solidFill>
          </w14:textFill>
        </w:rPr>
        <w:t>30' ~102° 20'</w:t>
      </w:r>
      <w:r>
        <w:rPr>
          <w:color w:val="000000" w:themeColor="text1"/>
          <w:spacing w:val="-19"/>
          <w14:textFill>
            <w14:solidFill>
              <w14:schemeClr w14:val="tx1"/>
            </w14:solidFill>
          </w14:textFill>
        </w:rPr>
        <w:t xml:space="preserve">及北纬 </w:t>
      </w:r>
      <w:r>
        <w:rPr>
          <w:rFonts w:cs="Calibri"/>
          <w:color w:val="000000" w:themeColor="text1"/>
          <w14:textFill>
            <w14:solidFill>
              <w14:schemeClr w14:val="tx1"/>
            </w14:solidFill>
          </w14:textFill>
        </w:rPr>
        <w:t>24</w:t>
      </w:r>
      <w:r>
        <w:rPr>
          <w:rFonts w:cs="Calibri"/>
          <w:color w:val="000000" w:themeColor="text1"/>
          <w:spacing w:val="-1"/>
          <w14:textFill>
            <w14:solidFill>
              <w14:schemeClr w14:val="tx1"/>
            </w14:solidFill>
          </w14:textFill>
        </w:rPr>
        <w:t xml:space="preserve">° </w:t>
      </w:r>
      <w:r>
        <w:rPr>
          <w:rFonts w:cs="Calibri"/>
          <w:color w:val="000000" w:themeColor="text1"/>
          <w14:textFill>
            <w14:solidFill>
              <w14:schemeClr w14:val="tx1"/>
            </w14:solidFill>
          </w14:textFill>
        </w:rPr>
        <w:t xml:space="preserve">00' </w:t>
      </w:r>
      <w:r>
        <w:rPr>
          <w:rFonts w:cs="Times New Roman"/>
          <w:color w:val="000000" w:themeColor="text1"/>
          <w14:textFill>
            <w14:solidFill>
              <w14:schemeClr w14:val="tx1"/>
            </w14:solidFill>
          </w14:textFill>
        </w:rPr>
        <w:t>~</w:t>
      </w:r>
      <w:r>
        <w:rPr>
          <w:rFonts w:cs="Calibri"/>
          <w:color w:val="000000" w:themeColor="text1"/>
          <w14:textFill>
            <w14:solidFill>
              <w14:schemeClr w14:val="tx1"/>
            </w14:solidFill>
          </w14:textFill>
        </w:rPr>
        <w:t>25°30'</w:t>
      </w:r>
      <w:r>
        <w:rPr>
          <w:color w:val="000000" w:themeColor="text1"/>
          <w:spacing w:val="-12"/>
          <w14:textFill>
            <w14:solidFill>
              <w14:schemeClr w14:val="tx1"/>
            </w14:solidFill>
          </w14:textFill>
        </w:rPr>
        <w:t>之间，绿汁</w:t>
      </w:r>
      <w:r>
        <w:rPr>
          <w:color w:val="000000" w:themeColor="text1"/>
          <w:spacing w:val="-14"/>
          <w14:textFill>
            <w14:solidFill>
              <w14:schemeClr w14:val="tx1"/>
            </w14:solidFill>
          </w14:textFill>
        </w:rPr>
        <w:t xml:space="preserve">江流域径流面积 </w:t>
      </w:r>
      <w:r>
        <w:rPr>
          <w:rFonts w:cs="Calibri"/>
          <w:color w:val="000000" w:themeColor="text1"/>
          <w14:textFill>
            <w14:solidFill>
              <w14:schemeClr w14:val="tx1"/>
            </w14:solidFill>
          </w14:textFill>
        </w:rPr>
        <w:t>8613k㎡</w:t>
      </w:r>
      <w:r>
        <w:rPr>
          <w:color w:val="000000" w:themeColor="text1"/>
          <w:spacing w:val="-15"/>
          <w14:textFill>
            <w14:solidFill>
              <w14:schemeClr w14:val="tx1"/>
            </w14:solidFill>
          </w14:textFill>
        </w:rPr>
        <w:t xml:space="preserve">，总河长 </w:t>
      </w:r>
      <w:r>
        <w:rPr>
          <w:rFonts w:cs="Calibri"/>
          <w:color w:val="000000" w:themeColor="text1"/>
          <w14:textFill>
            <w14:solidFill>
              <w14:schemeClr w14:val="tx1"/>
            </w14:solidFill>
          </w14:textFill>
        </w:rPr>
        <w:t>294km</w:t>
      </w:r>
      <w:r>
        <w:rPr>
          <w:color w:val="000000" w:themeColor="text1"/>
          <w:spacing w:val="-14"/>
          <w14:textFill>
            <w14:solidFill>
              <w14:schemeClr w14:val="tx1"/>
            </w14:solidFill>
          </w14:textFill>
        </w:rPr>
        <w:t xml:space="preserve">，河道比降 </w:t>
      </w:r>
      <w:r>
        <w:rPr>
          <w:rFonts w:cs="Calibri"/>
          <w:color w:val="000000" w:themeColor="text1"/>
          <w14:textFill>
            <w14:solidFill>
              <w14:schemeClr w14:val="tx1"/>
            </w14:solidFill>
          </w14:textFill>
        </w:rPr>
        <w:t>4.4‰</w:t>
      </w:r>
      <w:r>
        <w:rPr>
          <w:color w:val="000000" w:themeColor="text1"/>
          <w:spacing w:val="-2"/>
          <w14:textFill>
            <w14:solidFill>
              <w14:schemeClr w14:val="tx1"/>
            </w14:solidFill>
          </w14:textFill>
        </w:rPr>
        <w:t>。离县城</w:t>
      </w:r>
      <w:r>
        <w:rPr>
          <w:rFonts w:cs="Calibri" w:eastAsiaTheme="minorEastAsia"/>
          <w:color w:val="000000" w:themeColor="text1"/>
          <w14:textFill>
            <w14:solidFill>
              <w14:schemeClr w14:val="tx1"/>
            </w14:solidFill>
          </w14:textFill>
        </w:rPr>
        <w:t>40km</w:t>
      </w:r>
      <w:r>
        <w:rPr>
          <w:color w:val="000000" w:themeColor="text1"/>
          <w:spacing w:val="-13"/>
          <w14:textFill>
            <w14:solidFill>
              <w14:schemeClr w14:val="tx1"/>
            </w14:solidFill>
          </w14:textFill>
        </w:rPr>
        <w:t xml:space="preserve">，距省会昆明 </w:t>
      </w:r>
      <w:r>
        <w:rPr>
          <w:rFonts w:cs="Calibri"/>
          <w:color w:val="000000" w:themeColor="text1"/>
          <w14:textFill>
            <w14:solidFill>
              <w14:schemeClr w14:val="tx1"/>
            </w14:solidFill>
          </w14:textFill>
        </w:rPr>
        <w:t>120km</w:t>
      </w:r>
      <w:r>
        <w:rPr>
          <w:color w:val="000000" w:themeColor="text1"/>
          <w:spacing w:val="-3"/>
          <w14:textFill>
            <w14:solidFill>
              <w14:schemeClr w14:val="tx1"/>
            </w14:solidFill>
          </w14:textFill>
        </w:rPr>
        <w:t>，与楚雄、禄丰两地毗邻。绿汁江属于红</w:t>
      </w:r>
      <w:r>
        <w:rPr>
          <w:color w:val="000000" w:themeColor="text1"/>
          <w:spacing w:val="-16"/>
          <w14:textFill>
            <w14:solidFill>
              <w14:schemeClr w14:val="tx1"/>
            </w14:solidFill>
          </w14:textFill>
        </w:rPr>
        <w:t>河干流上游段元江左岸一级支流，江面宽处开阔平坦，窄处宛如小巷。</w:t>
      </w:r>
      <w:r>
        <w:rPr>
          <w:color w:val="000000" w:themeColor="text1"/>
          <w:spacing w:val="-12"/>
          <w14:textFill>
            <w14:solidFill>
              <w14:schemeClr w14:val="tx1"/>
            </w14:solidFill>
          </w14:textFill>
        </w:rPr>
        <w:t>由北向南纵贯全县，支流一般为东西向，或先南北向后折为东西向流入主流，流域呈南北长、东西窄的“木叶形”。绿汁江发源于楚雄州</w:t>
      </w:r>
      <w:r>
        <w:rPr>
          <w:color w:val="000000" w:themeColor="text1"/>
          <w:spacing w:val="-17"/>
          <w14:textFill>
            <w14:solidFill>
              <w14:schemeClr w14:val="tx1"/>
            </w14:solidFill>
          </w14:textFill>
        </w:rPr>
        <w:t>武定县猫街镇干沙沟村西麋，自北向南流经禄丰、双柏、易门、峨山，</w:t>
      </w:r>
      <w:r>
        <w:rPr>
          <w:color w:val="000000" w:themeColor="text1"/>
          <w:spacing w:val="-14"/>
          <w14:textFill>
            <w14:solidFill>
              <w14:schemeClr w14:val="tx1"/>
            </w14:solidFill>
          </w14:textFill>
        </w:rPr>
        <w:t>新平等县后，在双柏县的爱尼山乡汇入元江干流，为跨地</w:t>
      </w:r>
      <w:r>
        <w:rPr>
          <w:color w:val="000000" w:themeColor="text1"/>
          <w:spacing w:val="-3"/>
          <w14:textFill>
            <w14:solidFill>
              <w14:schemeClr w14:val="tx1"/>
            </w14:solidFill>
          </w14:textFill>
        </w:rPr>
        <w:t>（</w:t>
      </w:r>
      <w:r>
        <w:rPr>
          <w:color w:val="000000" w:themeColor="text1"/>
          <w14:textFill>
            <w14:solidFill>
              <w14:schemeClr w14:val="tx1"/>
            </w14:solidFill>
          </w14:textFill>
        </w:rPr>
        <w:t>州</w:t>
      </w:r>
      <w:r>
        <w:rPr>
          <w:color w:val="000000" w:themeColor="text1"/>
          <w:spacing w:val="-61"/>
          <w14:textFill>
            <w14:solidFill>
              <w14:schemeClr w14:val="tx1"/>
            </w14:solidFill>
          </w14:textFill>
        </w:rPr>
        <w:t>）</w:t>
      </w:r>
      <w:r>
        <w:rPr>
          <w:color w:val="000000" w:themeColor="text1"/>
          <w:spacing w:val="-2"/>
          <w14:textFill>
            <w14:solidFill>
              <w14:schemeClr w14:val="tx1"/>
            </w14:solidFill>
          </w14:textFill>
        </w:rPr>
        <w:t>河流。</w:t>
      </w:r>
      <w:r>
        <w:rPr>
          <w:color w:val="000000" w:themeColor="text1"/>
          <w:spacing w:val="-3"/>
          <w14:textFill>
            <w14:solidFill>
              <w14:schemeClr w14:val="tx1"/>
            </w14:solidFill>
          </w14:textFill>
        </w:rPr>
        <w:t>属于绿汁江易门开发利用区、绿汁江易门工业、农业用水区。</w:t>
      </w:r>
    </w:p>
    <w:p w14:paraId="52CDC80D">
      <w:pPr>
        <w:ind w:firstLine="640"/>
        <w:rPr>
          <w:color w:val="000000" w:themeColor="text1"/>
          <w14:textFill>
            <w14:solidFill>
              <w14:schemeClr w14:val="tx1"/>
            </w14:solidFill>
          </w14:textFill>
        </w:rPr>
      </w:pPr>
      <w:r>
        <w:rPr>
          <w:color w:val="000000" w:themeColor="text1"/>
          <w14:textFill>
            <w14:solidFill>
              <w14:schemeClr w14:val="tx1"/>
            </w14:solidFill>
          </w14:textFill>
        </w:rPr>
        <w:t xml:space="preserve">绿汁江易门段在易门县境内控制径流面积 </w:t>
      </w:r>
      <w:r>
        <w:rPr>
          <w:rFonts w:cs="Calibri"/>
          <w:color w:val="000000" w:themeColor="text1"/>
          <w14:textFill>
            <w14:solidFill>
              <w14:schemeClr w14:val="tx1"/>
            </w14:solidFill>
          </w14:textFill>
        </w:rPr>
        <w:t>2632.48k㎡</w:t>
      </w:r>
      <w:r>
        <w:rPr>
          <w:color w:val="000000" w:themeColor="text1"/>
          <w14:textFill>
            <w14:solidFill>
              <w14:schemeClr w14:val="tx1"/>
            </w14:solidFill>
          </w14:textFill>
        </w:rPr>
        <w:t>，长度</w:t>
      </w:r>
    </w:p>
    <w:p w14:paraId="3448A198">
      <w:pPr>
        <w:ind w:firstLine="616"/>
        <w:rPr>
          <w:color w:val="000000" w:themeColor="text1"/>
          <w14:textFill>
            <w14:solidFill>
              <w14:schemeClr w14:val="tx1"/>
            </w14:solidFill>
          </w14:textFill>
        </w:rPr>
      </w:pPr>
      <w:r>
        <w:rPr>
          <w:rFonts w:cs="Calibri" w:eastAsiaTheme="minorEastAsia"/>
          <w:color w:val="000000" w:themeColor="text1"/>
          <w:spacing w:val="-6"/>
          <w14:textFill>
            <w14:solidFill>
              <w14:schemeClr w14:val="tx1"/>
            </w14:solidFill>
          </w14:textFill>
        </w:rPr>
        <w:t>64.8km</w:t>
      </w:r>
      <w:r>
        <w:rPr>
          <w:color w:val="000000" w:themeColor="text1"/>
          <w:spacing w:val="-10"/>
          <w14:textFill>
            <w14:solidFill>
              <w14:schemeClr w14:val="tx1"/>
            </w14:solidFill>
          </w14:textFill>
        </w:rPr>
        <w:t xml:space="preserve">，多年平均水量达 </w:t>
      </w:r>
      <w:r>
        <w:rPr>
          <w:rFonts w:cs="Calibri"/>
          <w:color w:val="000000" w:themeColor="text1"/>
          <w14:textFill>
            <w14:solidFill>
              <w14:schemeClr w14:val="tx1"/>
            </w14:solidFill>
          </w14:textFill>
        </w:rPr>
        <w:t xml:space="preserve">16 </w:t>
      </w:r>
      <w:r>
        <w:rPr>
          <w:color w:val="000000" w:themeColor="text1"/>
          <w:spacing w:val="69"/>
          <w14:textFill>
            <w14:solidFill>
              <w14:schemeClr w14:val="tx1"/>
            </w14:solidFill>
          </w14:textFill>
        </w:rPr>
        <w:t>亿</w:t>
      </w:r>
      <w:r>
        <w:rPr>
          <w:rFonts w:cs="Calibri"/>
          <w:color w:val="000000" w:themeColor="text1"/>
          <w:spacing w:val="-14"/>
          <w14:textFill>
            <w14:solidFill>
              <w14:schemeClr w14:val="tx1"/>
            </w14:solidFill>
          </w14:textFill>
        </w:rPr>
        <w:t>m³</w:t>
      </w:r>
      <w:r>
        <w:rPr>
          <w:color w:val="000000" w:themeColor="text1"/>
          <w:spacing w:val="-4"/>
          <w14:textFill>
            <w14:solidFill>
              <w14:schemeClr w14:val="tx1"/>
            </w14:solidFill>
          </w14:textFill>
        </w:rPr>
        <w:t>，河流多年平均径流量和最大过流</w:t>
      </w:r>
      <w:r>
        <w:rPr>
          <w:color w:val="000000" w:themeColor="text1"/>
          <w:spacing w:val="-12"/>
          <w14:textFill>
            <w14:solidFill>
              <w14:schemeClr w14:val="tx1"/>
            </w14:solidFill>
          </w14:textFill>
        </w:rPr>
        <w:t xml:space="preserve">量：平均径流量 </w:t>
      </w:r>
      <w:r>
        <w:rPr>
          <w:rFonts w:cs="Calibri"/>
          <w:color w:val="000000" w:themeColor="text1"/>
          <w14:textFill>
            <w14:solidFill>
              <w14:schemeClr w14:val="tx1"/>
            </w14:solidFill>
          </w14:textFill>
        </w:rPr>
        <w:t xml:space="preserve">1.152 </w:t>
      </w:r>
      <w:r>
        <w:rPr>
          <w:color w:val="000000" w:themeColor="text1"/>
          <w:spacing w:val="69"/>
          <w14:textFill>
            <w14:solidFill>
              <w14:schemeClr w14:val="tx1"/>
            </w14:solidFill>
          </w14:textFill>
        </w:rPr>
        <w:t>亿</w:t>
      </w:r>
      <w:r>
        <w:rPr>
          <w:rFonts w:cs="Calibri"/>
          <w:color w:val="000000" w:themeColor="text1"/>
          <w14:textFill>
            <w14:solidFill>
              <w14:schemeClr w14:val="tx1"/>
            </w14:solidFill>
          </w14:textFill>
        </w:rPr>
        <w:t>m³</w:t>
      </w:r>
      <w:r>
        <w:rPr>
          <w:color w:val="000000" w:themeColor="text1"/>
          <w:spacing w:val="-14"/>
          <w14:textFill>
            <w14:solidFill>
              <w14:schemeClr w14:val="tx1"/>
            </w14:solidFill>
          </w14:textFill>
        </w:rPr>
        <w:t xml:space="preserve">、最小流量 </w:t>
      </w:r>
      <w:r>
        <w:rPr>
          <w:rFonts w:cs="Calibri"/>
          <w:color w:val="000000" w:themeColor="text1"/>
          <w14:textFill>
            <w14:solidFill>
              <w14:schemeClr w14:val="tx1"/>
            </w14:solidFill>
          </w14:textFill>
        </w:rPr>
        <w:t>9.4m³/s</w:t>
      </w:r>
      <w:r>
        <w:rPr>
          <w:color w:val="000000" w:themeColor="text1"/>
          <w14:textFill>
            <w14:solidFill>
              <w14:schemeClr w14:val="tx1"/>
            </w14:solidFill>
          </w14:textFill>
        </w:rPr>
        <w:t>。河流流经的乡镇： 小街乡、铜厂乡、绿汁镇、十街乡，该河防洪标准：</w:t>
      </w:r>
      <w:r>
        <w:rPr>
          <w:rFonts w:cs="Calibri"/>
          <w:color w:val="000000" w:themeColor="text1"/>
          <w14:textFill>
            <w14:solidFill>
              <w14:schemeClr w14:val="tx1"/>
            </w14:solidFill>
          </w14:textFill>
        </w:rPr>
        <w:t xml:space="preserve">10 </w:t>
      </w:r>
      <w:r>
        <w:rPr>
          <w:color w:val="000000" w:themeColor="text1"/>
          <w:spacing w:val="-2"/>
          <w14:textFill>
            <w14:solidFill>
              <w14:schemeClr w14:val="tx1"/>
            </w14:solidFill>
          </w14:textFill>
        </w:rPr>
        <w:t>年一遇，平均坡降：</w:t>
      </w:r>
      <w:r>
        <w:rPr>
          <w:rFonts w:cs="Calibri"/>
          <w:color w:val="000000" w:themeColor="text1"/>
          <w14:textFill>
            <w14:solidFill>
              <w14:schemeClr w14:val="tx1"/>
            </w14:solidFill>
          </w14:textFill>
        </w:rPr>
        <w:t>4.4</w:t>
      </w:r>
      <w:r>
        <w:rPr>
          <w:color w:val="000000" w:themeColor="text1"/>
          <w:spacing w:val="-1"/>
          <w14:textFill>
            <w14:solidFill>
              <w14:schemeClr w14:val="tx1"/>
            </w14:solidFill>
          </w14:textFill>
        </w:rPr>
        <w:t>‰，绿汁江</w:t>
      </w:r>
      <w:r>
        <w:rPr>
          <w:color w:val="000000" w:themeColor="text1"/>
          <w14:textFill>
            <w14:solidFill>
              <w14:schemeClr w14:val="tx1"/>
            </w14:solidFill>
          </w14:textFill>
        </w:rPr>
        <w:t>（</w:t>
      </w:r>
      <w:r>
        <w:rPr>
          <w:color w:val="000000" w:themeColor="text1"/>
          <w:spacing w:val="-1"/>
          <w14:textFill>
            <w14:solidFill>
              <w14:schemeClr w14:val="tx1"/>
            </w14:solidFill>
          </w14:textFill>
        </w:rPr>
        <w:t>易门段</w:t>
      </w:r>
      <w:r>
        <w:rPr>
          <w:color w:val="000000" w:themeColor="text1"/>
          <w14:textFill>
            <w14:solidFill>
              <w14:schemeClr w14:val="tx1"/>
            </w14:solidFill>
          </w14:textFill>
        </w:rPr>
        <w:t>）</w:t>
      </w:r>
      <w:r>
        <w:rPr>
          <w:color w:val="000000" w:themeColor="text1"/>
          <w:spacing w:val="-2"/>
          <w14:textFill>
            <w14:solidFill>
              <w14:schemeClr w14:val="tx1"/>
            </w14:solidFill>
          </w14:textFill>
        </w:rPr>
        <w:t>治理长度：</w:t>
      </w:r>
      <w:r>
        <w:rPr>
          <w:rFonts w:cs="Calibri"/>
          <w:color w:val="000000" w:themeColor="text1"/>
          <w14:textFill>
            <w14:solidFill>
              <w14:schemeClr w14:val="tx1"/>
            </w14:solidFill>
          </w14:textFill>
        </w:rPr>
        <w:t>7.161km</w:t>
      </w:r>
      <w:r>
        <w:rPr>
          <w:color w:val="000000" w:themeColor="text1"/>
          <w14:textFill>
            <w14:solidFill>
              <w14:schemeClr w14:val="tx1"/>
            </w14:solidFill>
          </w14:textFill>
        </w:rPr>
        <w:t>。</w:t>
      </w:r>
    </w:p>
    <w:p w14:paraId="1435E295">
      <w:pPr>
        <w:pStyle w:val="47"/>
        <w:rPr>
          <w:color w:val="000000" w:themeColor="text1"/>
          <w14:textFill>
            <w14:solidFill>
              <w14:schemeClr w14:val="tx1"/>
            </w14:solidFill>
          </w14:textFill>
        </w:rPr>
      </w:pPr>
      <w:r>
        <w:rPr>
          <w:color w:val="000000" w:themeColor="text1"/>
          <w14:textFill>
            <w14:solidFill>
              <w14:schemeClr w14:val="tx1"/>
            </w14:solidFill>
          </w14:textFill>
        </w:rPr>
        <w:t>社会经济</w:t>
      </w:r>
      <w:bookmarkEnd w:id="14"/>
      <w:bookmarkEnd w:id="15"/>
      <w:bookmarkEnd w:id="16"/>
    </w:p>
    <w:p w14:paraId="3658BE3D">
      <w:pPr>
        <w:pStyle w:val="76"/>
        <w:rPr>
          <w:color w:val="000000" w:themeColor="text1"/>
          <w14:textFill>
            <w14:solidFill>
              <w14:schemeClr w14:val="tx1"/>
            </w14:solidFill>
          </w14:textFill>
        </w:rPr>
      </w:pPr>
      <w:r>
        <w:rPr>
          <w:color w:val="000000" w:themeColor="text1"/>
          <w14:textFill>
            <w14:solidFill>
              <w14:schemeClr w14:val="tx1"/>
            </w14:solidFill>
          </w14:textFill>
        </w:rPr>
        <w:t>（1）行政区划与人口</w:t>
      </w:r>
    </w:p>
    <w:p w14:paraId="2E41B6A7">
      <w:pPr>
        <w:ind w:firstLine="64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据公安户籍人口统计年报，2020年末全县总户数59700户，总人口164993人，其中：城镇人口71778人，占总人口的43.5%，乡村人口93215人，占总人口的56.5%。在总人口中，男性83791人，女性81202人。少数民族人口56245人，占总人口的34.1%，上升0.1个百分点。</w:t>
      </w:r>
    </w:p>
    <w:p w14:paraId="36C72053">
      <w:pPr>
        <w:ind w:firstLine="640"/>
        <w:rPr>
          <w:rFonts w:eastAsia="微软雅黑" w:cs="宋体"/>
          <w:color w:val="000000" w:themeColor="text1"/>
          <w:kern w:val="0"/>
          <w:sz w:val="24"/>
          <w14:textFill>
            <w14:solidFill>
              <w14:schemeClr w14:val="tx1"/>
            </w14:solidFill>
          </w14:textFill>
        </w:rPr>
      </w:pPr>
      <w:r>
        <w:rPr>
          <w:color w:val="000000" w:themeColor="text1"/>
          <w14:textFill>
            <w14:solidFill>
              <w14:schemeClr w14:val="tx1"/>
            </w14:solidFill>
          </w14:textFill>
        </w:rPr>
        <w:t>据县卫生健康局统计，</w:t>
      </w:r>
      <w:r>
        <w:rPr>
          <w:rFonts w:eastAsia="微软雅黑"/>
          <w:color w:val="000000" w:themeColor="text1"/>
          <w14:textFill>
            <w14:solidFill>
              <w14:schemeClr w14:val="tx1"/>
            </w14:solidFill>
          </w14:textFill>
        </w:rPr>
        <w:t>2020</w:t>
      </w:r>
      <w:r>
        <w:rPr>
          <w:color w:val="000000" w:themeColor="text1"/>
          <w14:textFill>
            <w14:solidFill>
              <w14:schemeClr w14:val="tx1"/>
            </w14:solidFill>
          </w14:textFill>
        </w:rPr>
        <w:t>年全县出生人口</w:t>
      </w:r>
      <w:r>
        <w:rPr>
          <w:rFonts w:eastAsia="微软雅黑"/>
          <w:color w:val="000000" w:themeColor="text1"/>
          <w14:textFill>
            <w14:solidFill>
              <w14:schemeClr w14:val="tx1"/>
            </w14:solidFill>
          </w14:textFill>
        </w:rPr>
        <w:t>1178</w:t>
      </w:r>
      <w:r>
        <w:rPr>
          <w:color w:val="000000" w:themeColor="text1"/>
          <w14:textFill>
            <w14:solidFill>
              <w14:schemeClr w14:val="tx1"/>
            </w14:solidFill>
          </w14:textFill>
        </w:rPr>
        <w:t>人，出生率为</w:t>
      </w:r>
      <w:r>
        <w:rPr>
          <w:rFonts w:eastAsia="微软雅黑"/>
          <w:color w:val="000000" w:themeColor="text1"/>
          <w14:textFill>
            <w14:solidFill>
              <w14:schemeClr w14:val="tx1"/>
            </w14:solidFill>
          </w14:textFill>
        </w:rPr>
        <w:t>6.95‰</w:t>
      </w:r>
      <w:r>
        <w:rPr>
          <w:color w:val="000000" w:themeColor="text1"/>
          <w14:textFill>
            <w14:solidFill>
              <w14:schemeClr w14:val="tx1"/>
            </w14:solidFill>
          </w14:textFill>
        </w:rPr>
        <w:t>；年内死亡人口</w:t>
      </w:r>
      <w:r>
        <w:rPr>
          <w:rFonts w:eastAsia="微软雅黑"/>
          <w:color w:val="000000" w:themeColor="text1"/>
          <w14:textFill>
            <w14:solidFill>
              <w14:schemeClr w14:val="tx1"/>
            </w14:solidFill>
          </w14:textFill>
        </w:rPr>
        <w:t>1151</w:t>
      </w:r>
      <w:r>
        <w:rPr>
          <w:color w:val="000000" w:themeColor="text1"/>
          <w14:textFill>
            <w14:solidFill>
              <w14:schemeClr w14:val="tx1"/>
            </w14:solidFill>
          </w14:textFill>
        </w:rPr>
        <w:t>人，死亡率</w:t>
      </w:r>
      <w:r>
        <w:rPr>
          <w:rFonts w:eastAsia="微软雅黑"/>
          <w:color w:val="000000" w:themeColor="text1"/>
          <w14:textFill>
            <w14:solidFill>
              <w14:schemeClr w14:val="tx1"/>
            </w14:solidFill>
          </w14:textFill>
        </w:rPr>
        <w:t>6.79‰</w:t>
      </w:r>
      <w:r>
        <w:rPr>
          <w:color w:val="000000" w:themeColor="text1"/>
          <w14:textFill>
            <w14:solidFill>
              <w14:schemeClr w14:val="tx1"/>
            </w14:solidFill>
          </w14:textFill>
        </w:rPr>
        <w:t>；自然增长人口</w:t>
      </w:r>
      <w:r>
        <w:rPr>
          <w:rFonts w:eastAsia="微软雅黑"/>
          <w:color w:val="000000" w:themeColor="text1"/>
          <w14:textFill>
            <w14:solidFill>
              <w14:schemeClr w14:val="tx1"/>
            </w14:solidFill>
          </w14:textFill>
        </w:rPr>
        <w:t>27</w:t>
      </w:r>
      <w:r>
        <w:rPr>
          <w:color w:val="000000" w:themeColor="text1"/>
          <w14:textFill>
            <w14:solidFill>
              <w14:schemeClr w14:val="tx1"/>
            </w14:solidFill>
          </w14:textFill>
        </w:rPr>
        <w:t>人，自然增长率</w:t>
      </w:r>
      <w:r>
        <w:rPr>
          <w:rFonts w:eastAsia="微软雅黑"/>
          <w:color w:val="000000" w:themeColor="text1"/>
          <w14:textFill>
            <w14:solidFill>
              <w14:schemeClr w14:val="tx1"/>
            </w14:solidFill>
          </w14:textFill>
        </w:rPr>
        <w:t>0.16‰</w:t>
      </w:r>
      <w:r>
        <w:rPr>
          <w:color w:val="000000" w:themeColor="text1"/>
          <w14:textFill>
            <w14:solidFill>
              <w14:schemeClr w14:val="tx1"/>
            </w14:solidFill>
          </w14:textFill>
        </w:rPr>
        <w:t>，比上年下降</w:t>
      </w:r>
      <w:r>
        <w:rPr>
          <w:rFonts w:eastAsia="微软雅黑"/>
          <w:color w:val="000000" w:themeColor="text1"/>
          <w14:textFill>
            <w14:solidFill>
              <w14:schemeClr w14:val="tx1"/>
            </w14:solidFill>
          </w14:textFill>
        </w:rPr>
        <w:t>2.1</w:t>
      </w:r>
      <w:r>
        <w:rPr>
          <w:color w:val="000000" w:themeColor="text1"/>
          <w14:textFill>
            <w14:solidFill>
              <w14:schemeClr w14:val="tx1"/>
            </w14:solidFill>
          </w14:textFill>
        </w:rPr>
        <w:t>个千分点。</w:t>
      </w:r>
    </w:p>
    <w:p w14:paraId="223353BF">
      <w:pPr>
        <w:ind w:firstLine="640"/>
        <w:rPr>
          <w:color w:val="000000" w:themeColor="text1"/>
          <w14:textFill>
            <w14:solidFill>
              <w14:schemeClr w14:val="tx1"/>
            </w14:solidFill>
          </w14:textFill>
        </w:rPr>
      </w:pPr>
      <w:r>
        <w:rPr>
          <w:rFonts w:eastAsia="方正楷体_GBK"/>
          <w:color w:val="000000" w:themeColor="text1"/>
          <w14:textFill>
            <w14:solidFill>
              <w14:schemeClr w14:val="tx1"/>
            </w14:solidFill>
          </w14:textFill>
        </w:rPr>
        <w:t>城乡居民生活：</w:t>
      </w:r>
      <w:r>
        <w:rPr>
          <w:color w:val="000000" w:themeColor="text1"/>
          <w14:textFill>
            <w14:solidFill>
              <w14:schemeClr w14:val="tx1"/>
            </w14:solidFill>
          </w14:textFill>
        </w:rPr>
        <w:t>城镇常住居民人均可支配收入达</w:t>
      </w:r>
      <w:r>
        <w:rPr>
          <w:rFonts w:eastAsia="微软雅黑"/>
          <w:color w:val="000000" w:themeColor="text1"/>
          <w14:textFill>
            <w14:solidFill>
              <w14:schemeClr w14:val="tx1"/>
            </w14:solidFill>
          </w14:textFill>
        </w:rPr>
        <w:t>41881</w:t>
      </w:r>
      <w:r>
        <w:rPr>
          <w:color w:val="000000" w:themeColor="text1"/>
          <w14:textFill>
            <w14:solidFill>
              <w14:schemeClr w14:val="tx1"/>
            </w14:solidFill>
          </w14:textFill>
        </w:rPr>
        <w:t>元，比上年增长</w:t>
      </w:r>
      <w:r>
        <w:rPr>
          <w:rFonts w:eastAsia="微软雅黑"/>
          <w:color w:val="000000" w:themeColor="text1"/>
          <w14:textFill>
            <w14:solidFill>
              <w14:schemeClr w14:val="tx1"/>
            </w14:solidFill>
          </w14:textFill>
        </w:rPr>
        <w:t>3.5%</w:t>
      </w:r>
      <w:r>
        <w:rPr>
          <w:color w:val="000000" w:themeColor="text1"/>
          <w14:textFill>
            <w14:solidFill>
              <w14:schemeClr w14:val="tx1"/>
            </w14:solidFill>
          </w14:textFill>
        </w:rPr>
        <w:t>；农村常住居民人均可支配收入达</w:t>
      </w:r>
      <w:r>
        <w:rPr>
          <w:rFonts w:eastAsia="微软雅黑"/>
          <w:color w:val="000000" w:themeColor="text1"/>
          <w14:textFill>
            <w14:solidFill>
              <w14:schemeClr w14:val="tx1"/>
            </w14:solidFill>
          </w14:textFill>
        </w:rPr>
        <w:t>16220</w:t>
      </w:r>
      <w:r>
        <w:rPr>
          <w:color w:val="000000" w:themeColor="text1"/>
          <w14:textFill>
            <w14:solidFill>
              <w14:schemeClr w14:val="tx1"/>
            </w14:solidFill>
          </w14:textFill>
        </w:rPr>
        <w:t>元，比上年增长</w:t>
      </w:r>
      <w:r>
        <w:rPr>
          <w:rFonts w:eastAsia="微软雅黑"/>
          <w:color w:val="000000" w:themeColor="text1"/>
          <w14:textFill>
            <w14:solidFill>
              <w14:schemeClr w14:val="tx1"/>
            </w14:solidFill>
          </w14:textFill>
        </w:rPr>
        <w:t>7.4%</w:t>
      </w:r>
      <w:r>
        <w:rPr>
          <w:color w:val="000000" w:themeColor="text1"/>
          <w14:textFill>
            <w14:solidFill>
              <w14:schemeClr w14:val="tx1"/>
            </w14:solidFill>
          </w14:textFill>
        </w:rPr>
        <w:t>。城镇常住居民人均消费性支出</w:t>
      </w:r>
      <w:r>
        <w:rPr>
          <w:rFonts w:eastAsia="微软雅黑"/>
          <w:color w:val="000000" w:themeColor="text1"/>
          <w14:textFill>
            <w14:solidFill>
              <w14:schemeClr w14:val="tx1"/>
            </w14:solidFill>
          </w14:textFill>
        </w:rPr>
        <w:t>22778</w:t>
      </w:r>
      <w:r>
        <w:rPr>
          <w:color w:val="000000" w:themeColor="text1"/>
          <w14:textFill>
            <w14:solidFill>
              <w14:schemeClr w14:val="tx1"/>
            </w14:solidFill>
          </w14:textFill>
        </w:rPr>
        <w:t>元，增长</w:t>
      </w:r>
      <w:r>
        <w:rPr>
          <w:rFonts w:eastAsia="微软雅黑"/>
          <w:color w:val="000000" w:themeColor="text1"/>
          <w14:textFill>
            <w14:solidFill>
              <w14:schemeClr w14:val="tx1"/>
            </w14:solidFill>
          </w14:textFill>
        </w:rPr>
        <w:t>0.7%</w:t>
      </w:r>
      <w:r>
        <w:rPr>
          <w:color w:val="000000" w:themeColor="text1"/>
          <w14:textFill>
            <w14:solidFill>
              <w14:schemeClr w14:val="tx1"/>
            </w14:solidFill>
          </w14:textFill>
        </w:rPr>
        <w:t>；农村常住居民人均生活消费支出</w:t>
      </w:r>
      <w:r>
        <w:rPr>
          <w:rFonts w:eastAsia="微软雅黑"/>
          <w:color w:val="000000" w:themeColor="text1"/>
          <w14:textFill>
            <w14:solidFill>
              <w14:schemeClr w14:val="tx1"/>
            </w14:solidFill>
          </w14:textFill>
        </w:rPr>
        <w:t>11839</w:t>
      </w:r>
      <w:r>
        <w:rPr>
          <w:color w:val="000000" w:themeColor="text1"/>
          <w14:textFill>
            <w14:solidFill>
              <w14:schemeClr w14:val="tx1"/>
            </w14:solidFill>
          </w14:textFill>
        </w:rPr>
        <w:t>元，下降</w:t>
      </w:r>
      <w:r>
        <w:rPr>
          <w:rFonts w:eastAsia="微软雅黑"/>
          <w:color w:val="000000" w:themeColor="text1"/>
          <w14:textFill>
            <w14:solidFill>
              <w14:schemeClr w14:val="tx1"/>
            </w14:solidFill>
          </w14:textFill>
        </w:rPr>
        <w:t>8.4%</w:t>
      </w:r>
      <w:r>
        <w:rPr>
          <w:color w:val="000000" w:themeColor="text1"/>
          <w14:textFill>
            <w14:solidFill>
              <w14:schemeClr w14:val="tx1"/>
            </w14:solidFill>
          </w14:textFill>
        </w:rPr>
        <w:t>。</w:t>
      </w:r>
    </w:p>
    <w:p w14:paraId="34C6DEF9">
      <w:pPr>
        <w:ind w:firstLine="640"/>
        <w:rPr>
          <w:color w:val="000000" w:themeColor="text1"/>
          <w14:textFill>
            <w14:solidFill>
              <w14:schemeClr w14:val="tx1"/>
            </w14:solidFill>
          </w14:textFill>
        </w:rPr>
      </w:pPr>
      <w:r>
        <w:rPr>
          <w:rFonts w:eastAsia="方正楷体_GBK"/>
          <w:color w:val="000000" w:themeColor="text1"/>
          <w:szCs w:val="32"/>
          <w14:textFill>
            <w14:solidFill>
              <w14:schemeClr w14:val="tx1"/>
            </w14:solidFill>
          </w14:textFill>
        </w:rPr>
        <w:t>2020年耕地面积：</w:t>
      </w:r>
      <w:r>
        <w:rPr>
          <w:color w:val="000000" w:themeColor="text1"/>
          <w:szCs w:val="32"/>
          <w14:textFill>
            <w14:solidFill>
              <w14:schemeClr w14:val="tx1"/>
            </w14:solidFill>
          </w14:textFill>
        </w:rPr>
        <w:t>年末常用耕地面积</w:t>
      </w:r>
      <w:r>
        <w:rPr>
          <w:rFonts w:eastAsia="微软雅黑"/>
          <w:color w:val="000000" w:themeColor="text1"/>
          <w:szCs w:val="32"/>
          <w14:textFill>
            <w14:solidFill>
              <w14:schemeClr w14:val="tx1"/>
            </w14:solidFill>
          </w14:textFill>
        </w:rPr>
        <w:t>196629</w:t>
      </w:r>
      <w:r>
        <w:rPr>
          <w:color w:val="000000" w:themeColor="text1"/>
          <w:szCs w:val="32"/>
          <w14:textFill>
            <w14:solidFill>
              <w14:schemeClr w14:val="tx1"/>
            </w14:solidFill>
          </w14:textFill>
        </w:rPr>
        <w:t>亩，比上年减少</w:t>
      </w:r>
      <w:r>
        <w:rPr>
          <w:rFonts w:eastAsia="微软雅黑"/>
          <w:color w:val="000000" w:themeColor="text1"/>
          <w:szCs w:val="32"/>
          <w14:textFill>
            <w14:solidFill>
              <w14:schemeClr w14:val="tx1"/>
            </w14:solidFill>
          </w14:textFill>
        </w:rPr>
        <w:t>1809</w:t>
      </w:r>
      <w:r>
        <w:rPr>
          <w:color w:val="000000" w:themeColor="text1"/>
          <w:szCs w:val="32"/>
          <w14:textFill>
            <w14:solidFill>
              <w14:schemeClr w14:val="tx1"/>
            </w14:solidFill>
          </w14:textFill>
        </w:rPr>
        <w:t>亩。其中：田</w:t>
      </w:r>
      <w:r>
        <w:rPr>
          <w:rFonts w:eastAsia="微软雅黑"/>
          <w:color w:val="000000" w:themeColor="text1"/>
          <w:szCs w:val="32"/>
          <w14:textFill>
            <w14:solidFill>
              <w14:schemeClr w14:val="tx1"/>
            </w14:solidFill>
          </w14:textFill>
        </w:rPr>
        <w:t>81663</w:t>
      </w:r>
      <w:r>
        <w:rPr>
          <w:color w:val="000000" w:themeColor="text1"/>
          <w:szCs w:val="32"/>
          <w14:textFill>
            <w14:solidFill>
              <w14:schemeClr w14:val="tx1"/>
            </w14:solidFill>
          </w14:textFill>
        </w:rPr>
        <w:t>亩，减</w:t>
      </w:r>
      <w:r>
        <w:rPr>
          <w:rFonts w:eastAsia="微软雅黑"/>
          <w:color w:val="000000" w:themeColor="text1"/>
          <w:szCs w:val="32"/>
          <w14:textFill>
            <w14:solidFill>
              <w14:schemeClr w14:val="tx1"/>
            </w14:solidFill>
          </w14:textFill>
        </w:rPr>
        <w:t>3400</w:t>
      </w:r>
      <w:r>
        <w:rPr>
          <w:color w:val="000000" w:themeColor="text1"/>
          <w:szCs w:val="32"/>
          <w14:textFill>
            <w14:solidFill>
              <w14:schemeClr w14:val="tx1"/>
            </w14:solidFill>
          </w14:textFill>
        </w:rPr>
        <w:t>亩；地</w:t>
      </w:r>
      <w:r>
        <w:rPr>
          <w:rFonts w:eastAsia="微软雅黑"/>
          <w:color w:val="000000" w:themeColor="text1"/>
          <w:szCs w:val="32"/>
          <w14:textFill>
            <w14:solidFill>
              <w14:schemeClr w14:val="tx1"/>
            </w14:solidFill>
          </w14:textFill>
        </w:rPr>
        <w:t>114965</w:t>
      </w:r>
      <w:r>
        <w:rPr>
          <w:color w:val="000000" w:themeColor="text1"/>
          <w:szCs w:val="32"/>
          <w14:textFill>
            <w14:solidFill>
              <w14:schemeClr w14:val="tx1"/>
            </w14:solidFill>
          </w14:textFill>
        </w:rPr>
        <w:t>亩，增</w:t>
      </w:r>
      <w:r>
        <w:rPr>
          <w:rFonts w:eastAsia="微软雅黑"/>
          <w:color w:val="000000" w:themeColor="text1"/>
          <w:szCs w:val="32"/>
          <w14:textFill>
            <w14:solidFill>
              <w14:schemeClr w14:val="tx1"/>
            </w14:solidFill>
          </w14:textFill>
        </w:rPr>
        <w:t>1591</w:t>
      </w:r>
      <w:r>
        <w:rPr>
          <w:color w:val="000000" w:themeColor="text1"/>
          <w:szCs w:val="32"/>
          <w14:textFill>
            <w14:solidFill>
              <w14:schemeClr w14:val="tx1"/>
            </w14:solidFill>
          </w14:textFill>
        </w:rPr>
        <w:t>亩。</w:t>
      </w:r>
    </w:p>
    <w:p w14:paraId="5E5C14CB">
      <w:pPr>
        <w:pStyle w:val="76"/>
        <w:rPr>
          <w:color w:val="000000" w:themeColor="text1"/>
          <w14:textFill>
            <w14:solidFill>
              <w14:schemeClr w14:val="tx1"/>
            </w14:solidFill>
          </w14:textFill>
        </w:rPr>
      </w:pPr>
      <w:r>
        <w:rPr>
          <w:color w:val="000000" w:themeColor="text1"/>
          <w14:textFill>
            <w14:solidFill>
              <w14:schemeClr w14:val="tx1"/>
            </w14:solidFill>
          </w14:textFill>
        </w:rPr>
        <w:t>（2）主要经济指标</w:t>
      </w:r>
    </w:p>
    <w:p w14:paraId="30770C1B">
      <w:pPr>
        <w:pStyle w:val="7"/>
        <w:ind w:firstLine="640"/>
        <w:rPr>
          <w:rFonts w:ascii="Times New Roman"/>
          <w:color w:val="000000" w:themeColor="text1"/>
          <w14:textFill>
            <w14:solidFill>
              <w14:schemeClr w14:val="tx1"/>
            </w14:solidFill>
          </w14:textFill>
        </w:rPr>
      </w:pPr>
      <w:r>
        <w:rPr>
          <w:rFonts w:ascii="Times New Roman" w:eastAsia="方正仿宋_GBK"/>
          <w:color w:val="000000" w:themeColor="text1"/>
          <w:szCs w:val="32"/>
          <w:shd w:val="clear" w:color="auto" w:fill="FFFFFF"/>
          <w14:textFill>
            <w14:solidFill>
              <w14:schemeClr w14:val="tx1"/>
            </w14:solidFill>
          </w14:textFill>
        </w:rPr>
        <w:t>初步核算，</w:t>
      </w:r>
      <w:r>
        <w:rPr>
          <w:rFonts w:ascii="Times New Roman"/>
          <w:color w:val="000000" w:themeColor="text1"/>
          <w:szCs w:val="32"/>
          <w:shd w:val="clear" w:color="auto" w:fill="FFFFFF"/>
          <w14:textFill>
            <w14:solidFill>
              <w14:schemeClr w14:val="tx1"/>
            </w14:solidFill>
          </w14:textFill>
        </w:rPr>
        <w:t>2020</w:t>
      </w:r>
      <w:r>
        <w:rPr>
          <w:rFonts w:ascii="Times New Roman" w:eastAsia="方正仿宋_GBK"/>
          <w:color w:val="000000" w:themeColor="text1"/>
          <w:szCs w:val="32"/>
          <w:shd w:val="clear" w:color="auto" w:fill="FFFFFF"/>
          <w14:textFill>
            <w14:solidFill>
              <w14:schemeClr w14:val="tx1"/>
            </w14:solidFill>
          </w14:textFill>
        </w:rPr>
        <w:t>年全县现价生产总值（</w:t>
      </w:r>
      <w:r>
        <w:rPr>
          <w:rFonts w:ascii="Times New Roman"/>
          <w:color w:val="000000" w:themeColor="text1"/>
          <w:szCs w:val="32"/>
          <w:shd w:val="clear" w:color="auto" w:fill="FFFFFF"/>
          <w14:textFill>
            <w14:solidFill>
              <w14:schemeClr w14:val="tx1"/>
            </w14:solidFill>
          </w14:textFill>
        </w:rPr>
        <w:t>GDP</w:t>
      </w:r>
      <w:r>
        <w:rPr>
          <w:rFonts w:ascii="Times New Roman" w:eastAsia="方正仿宋_GBK"/>
          <w:color w:val="000000" w:themeColor="text1"/>
          <w:szCs w:val="32"/>
          <w:shd w:val="clear" w:color="auto" w:fill="FFFFFF"/>
          <w14:textFill>
            <w14:solidFill>
              <w14:schemeClr w14:val="tx1"/>
            </w14:solidFill>
          </w14:textFill>
        </w:rPr>
        <w:t>）</w:t>
      </w:r>
      <w:r>
        <w:rPr>
          <w:rFonts w:ascii="Times New Roman"/>
          <w:color w:val="000000" w:themeColor="text1"/>
          <w:szCs w:val="32"/>
          <w:shd w:val="clear" w:color="auto" w:fill="FFFFFF"/>
          <w14:textFill>
            <w14:solidFill>
              <w14:schemeClr w14:val="tx1"/>
            </w14:solidFill>
          </w14:textFill>
        </w:rPr>
        <w:t>1325161</w:t>
      </w:r>
      <w:r>
        <w:rPr>
          <w:rFonts w:ascii="Times New Roman" w:eastAsia="方正仿宋_GBK"/>
          <w:color w:val="000000" w:themeColor="text1"/>
          <w:szCs w:val="32"/>
          <w:shd w:val="clear" w:color="auto" w:fill="FFFFFF"/>
          <w14:textFill>
            <w14:solidFill>
              <w14:schemeClr w14:val="tx1"/>
            </w14:solidFill>
          </w14:textFill>
        </w:rPr>
        <w:t>万元，按可比价格计算，比上年下降</w:t>
      </w:r>
      <w:r>
        <w:rPr>
          <w:rFonts w:ascii="Times New Roman"/>
          <w:color w:val="000000" w:themeColor="text1"/>
          <w:szCs w:val="32"/>
          <w:shd w:val="clear" w:color="auto" w:fill="FFFFFF"/>
          <w14:textFill>
            <w14:solidFill>
              <w14:schemeClr w14:val="tx1"/>
            </w14:solidFill>
          </w14:textFill>
        </w:rPr>
        <w:t>6.0%</w:t>
      </w:r>
      <w:r>
        <w:rPr>
          <w:rFonts w:ascii="Times New Roman" w:eastAsia="方正仿宋_GBK"/>
          <w:color w:val="000000" w:themeColor="text1"/>
          <w:szCs w:val="32"/>
          <w:shd w:val="clear" w:color="auto" w:fill="FFFFFF"/>
          <w14:textFill>
            <w14:solidFill>
              <w14:schemeClr w14:val="tx1"/>
            </w14:solidFill>
          </w14:textFill>
        </w:rPr>
        <w:t>。分产业看，第一产业增加值</w:t>
      </w:r>
      <w:r>
        <w:rPr>
          <w:rFonts w:ascii="Times New Roman"/>
          <w:color w:val="000000" w:themeColor="text1"/>
          <w:szCs w:val="32"/>
          <w:shd w:val="clear" w:color="auto" w:fill="FFFFFF"/>
          <w14:textFill>
            <w14:solidFill>
              <w14:schemeClr w14:val="tx1"/>
            </w14:solidFill>
          </w14:textFill>
        </w:rPr>
        <w:t>155298</w:t>
      </w:r>
      <w:r>
        <w:rPr>
          <w:rFonts w:ascii="Times New Roman" w:eastAsia="方正仿宋_GBK"/>
          <w:color w:val="000000" w:themeColor="text1"/>
          <w:szCs w:val="32"/>
          <w:shd w:val="clear" w:color="auto" w:fill="FFFFFF"/>
          <w14:textFill>
            <w14:solidFill>
              <w14:schemeClr w14:val="tx1"/>
            </w14:solidFill>
          </w14:textFill>
        </w:rPr>
        <w:t>万元，增长</w:t>
      </w:r>
      <w:r>
        <w:rPr>
          <w:rFonts w:ascii="Times New Roman"/>
          <w:color w:val="000000" w:themeColor="text1"/>
          <w:szCs w:val="32"/>
          <w:shd w:val="clear" w:color="auto" w:fill="FFFFFF"/>
          <w14:textFill>
            <w14:solidFill>
              <w14:schemeClr w14:val="tx1"/>
            </w14:solidFill>
          </w14:textFill>
        </w:rPr>
        <w:t>5.8%</w:t>
      </w:r>
      <w:r>
        <w:rPr>
          <w:rFonts w:ascii="Times New Roman" w:eastAsia="方正仿宋_GBK"/>
          <w:color w:val="000000" w:themeColor="text1"/>
          <w:szCs w:val="32"/>
          <w:shd w:val="clear" w:color="auto" w:fill="FFFFFF"/>
          <w14:textFill>
            <w14:solidFill>
              <w14:schemeClr w14:val="tx1"/>
            </w14:solidFill>
          </w14:textFill>
        </w:rPr>
        <w:t>；第二产业增加值</w:t>
      </w:r>
      <w:r>
        <w:rPr>
          <w:rFonts w:ascii="Times New Roman"/>
          <w:color w:val="000000" w:themeColor="text1"/>
          <w:szCs w:val="32"/>
          <w:shd w:val="clear" w:color="auto" w:fill="FFFFFF"/>
          <w14:textFill>
            <w14:solidFill>
              <w14:schemeClr w14:val="tx1"/>
            </w14:solidFill>
          </w14:textFill>
        </w:rPr>
        <w:t>475109</w:t>
      </w:r>
      <w:r>
        <w:rPr>
          <w:rFonts w:ascii="Times New Roman" w:eastAsia="方正仿宋_GBK"/>
          <w:color w:val="000000" w:themeColor="text1"/>
          <w:szCs w:val="32"/>
          <w:shd w:val="clear" w:color="auto" w:fill="FFFFFF"/>
          <w14:textFill>
            <w14:solidFill>
              <w14:schemeClr w14:val="tx1"/>
            </w14:solidFill>
          </w14:textFill>
        </w:rPr>
        <w:t>万元，下降</w:t>
      </w:r>
      <w:r>
        <w:rPr>
          <w:rFonts w:ascii="Times New Roman"/>
          <w:color w:val="000000" w:themeColor="text1"/>
          <w:szCs w:val="32"/>
          <w:shd w:val="clear" w:color="auto" w:fill="FFFFFF"/>
          <w14:textFill>
            <w14:solidFill>
              <w14:schemeClr w14:val="tx1"/>
            </w14:solidFill>
          </w14:textFill>
        </w:rPr>
        <w:t>20.6%</w:t>
      </w:r>
      <w:r>
        <w:rPr>
          <w:rFonts w:ascii="Times New Roman" w:eastAsia="方正仿宋_GBK"/>
          <w:color w:val="000000" w:themeColor="text1"/>
          <w:szCs w:val="32"/>
          <w:shd w:val="clear" w:color="auto" w:fill="FFFFFF"/>
          <w14:textFill>
            <w14:solidFill>
              <w14:schemeClr w14:val="tx1"/>
            </w14:solidFill>
          </w14:textFill>
        </w:rPr>
        <w:t>；第三产业增加值</w:t>
      </w:r>
      <w:r>
        <w:rPr>
          <w:rFonts w:ascii="Times New Roman"/>
          <w:color w:val="000000" w:themeColor="text1"/>
          <w:szCs w:val="32"/>
          <w:shd w:val="clear" w:color="auto" w:fill="FFFFFF"/>
          <w14:textFill>
            <w14:solidFill>
              <w14:schemeClr w14:val="tx1"/>
            </w14:solidFill>
          </w14:textFill>
        </w:rPr>
        <w:t>694754</w:t>
      </w:r>
      <w:r>
        <w:rPr>
          <w:rFonts w:ascii="Times New Roman" w:eastAsia="方正仿宋_GBK"/>
          <w:color w:val="000000" w:themeColor="text1"/>
          <w:szCs w:val="32"/>
          <w:shd w:val="clear" w:color="auto" w:fill="FFFFFF"/>
          <w14:textFill>
            <w14:solidFill>
              <w14:schemeClr w14:val="tx1"/>
            </w14:solidFill>
          </w14:textFill>
        </w:rPr>
        <w:t>万元，增长</w:t>
      </w:r>
      <w:r>
        <w:rPr>
          <w:rFonts w:ascii="Times New Roman"/>
          <w:color w:val="000000" w:themeColor="text1"/>
          <w:szCs w:val="32"/>
          <w:shd w:val="clear" w:color="auto" w:fill="FFFFFF"/>
          <w14:textFill>
            <w14:solidFill>
              <w14:schemeClr w14:val="tx1"/>
            </w14:solidFill>
          </w14:textFill>
        </w:rPr>
        <w:t>8.3%</w:t>
      </w:r>
      <w:r>
        <w:rPr>
          <w:rFonts w:ascii="Times New Roman" w:eastAsia="方正仿宋_GBK"/>
          <w:color w:val="000000" w:themeColor="text1"/>
          <w:szCs w:val="32"/>
          <w:shd w:val="clear" w:color="auto" w:fill="FFFFFF"/>
          <w14:textFill>
            <w14:solidFill>
              <w14:schemeClr w14:val="tx1"/>
            </w14:solidFill>
          </w14:textFill>
        </w:rPr>
        <w:t>。三次产业结构由</w:t>
      </w:r>
      <w:r>
        <w:rPr>
          <w:rFonts w:ascii="Times New Roman"/>
          <w:color w:val="000000" w:themeColor="text1"/>
          <w:szCs w:val="32"/>
          <w:shd w:val="clear" w:color="auto" w:fill="FFFFFF"/>
          <w14:textFill>
            <w14:solidFill>
              <w14:schemeClr w14:val="tx1"/>
            </w14:solidFill>
          </w14:textFill>
        </w:rPr>
        <w:t>2019</w:t>
      </w:r>
      <w:r>
        <w:rPr>
          <w:rFonts w:ascii="Times New Roman" w:eastAsia="方正仿宋_GBK"/>
          <w:color w:val="000000" w:themeColor="text1"/>
          <w:szCs w:val="32"/>
          <w:shd w:val="clear" w:color="auto" w:fill="FFFFFF"/>
          <w14:textFill>
            <w14:solidFill>
              <w14:schemeClr w14:val="tx1"/>
            </w14:solidFill>
          </w14:textFill>
        </w:rPr>
        <w:t>年的</w:t>
      </w:r>
      <w:r>
        <w:rPr>
          <w:rFonts w:ascii="Times New Roman"/>
          <w:color w:val="000000" w:themeColor="text1"/>
          <w:szCs w:val="32"/>
          <w:shd w:val="clear" w:color="auto" w:fill="FFFFFF"/>
          <w14:textFill>
            <w14:solidFill>
              <w14:schemeClr w14:val="tx1"/>
            </w14:solidFill>
          </w14:textFill>
        </w:rPr>
        <w:t>10.6</w:t>
      </w:r>
      <w:r>
        <w:rPr>
          <w:rFonts w:ascii="Times New Roman" w:eastAsia="方正仿宋_GBK"/>
          <w:color w:val="000000" w:themeColor="text1"/>
          <w:szCs w:val="32"/>
          <w:shd w:val="clear" w:color="auto" w:fill="FFFFFF"/>
          <w14:textFill>
            <w14:solidFill>
              <w14:schemeClr w14:val="tx1"/>
            </w14:solidFill>
          </w14:textFill>
        </w:rPr>
        <w:t>：</w:t>
      </w:r>
      <w:r>
        <w:rPr>
          <w:rFonts w:ascii="Times New Roman"/>
          <w:color w:val="000000" w:themeColor="text1"/>
          <w:szCs w:val="32"/>
          <w:shd w:val="clear" w:color="auto" w:fill="FFFFFF"/>
          <w14:textFill>
            <w14:solidFill>
              <w14:schemeClr w14:val="tx1"/>
            </w14:solidFill>
          </w14:textFill>
        </w:rPr>
        <w:t>42.8</w:t>
      </w:r>
      <w:r>
        <w:rPr>
          <w:rFonts w:ascii="Times New Roman" w:eastAsia="方正仿宋_GBK"/>
          <w:color w:val="000000" w:themeColor="text1"/>
          <w:szCs w:val="32"/>
          <w:shd w:val="clear" w:color="auto" w:fill="FFFFFF"/>
          <w14:textFill>
            <w14:solidFill>
              <w14:schemeClr w14:val="tx1"/>
            </w14:solidFill>
          </w14:textFill>
        </w:rPr>
        <w:t>：</w:t>
      </w:r>
      <w:r>
        <w:rPr>
          <w:rFonts w:ascii="Times New Roman"/>
          <w:color w:val="000000" w:themeColor="text1"/>
          <w:szCs w:val="32"/>
          <w:shd w:val="clear" w:color="auto" w:fill="FFFFFF"/>
          <w14:textFill>
            <w14:solidFill>
              <w14:schemeClr w14:val="tx1"/>
            </w14:solidFill>
          </w14:textFill>
        </w:rPr>
        <w:t>46.6</w:t>
      </w:r>
      <w:r>
        <w:rPr>
          <w:rFonts w:ascii="Times New Roman" w:eastAsia="方正仿宋_GBK"/>
          <w:color w:val="000000" w:themeColor="text1"/>
          <w:szCs w:val="32"/>
          <w:shd w:val="clear" w:color="auto" w:fill="FFFFFF"/>
          <w14:textFill>
            <w14:solidFill>
              <w14:schemeClr w14:val="tx1"/>
            </w14:solidFill>
          </w14:textFill>
        </w:rPr>
        <w:t>发展变化为</w:t>
      </w:r>
      <w:r>
        <w:rPr>
          <w:rFonts w:ascii="Times New Roman"/>
          <w:color w:val="000000" w:themeColor="text1"/>
          <w:szCs w:val="32"/>
          <w:shd w:val="clear" w:color="auto" w:fill="FFFFFF"/>
          <w14:textFill>
            <w14:solidFill>
              <w14:schemeClr w14:val="tx1"/>
            </w14:solidFill>
          </w14:textFill>
        </w:rPr>
        <w:t>2020</w:t>
      </w:r>
      <w:r>
        <w:rPr>
          <w:rFonts w:ascii="Times New Roman" w:eastAsia="方正仿宋_GBK"/>
          <w:color w:val="000000" w:themeColor="text1"/>
          <w:szCs w:val="32"/>
          <w:shd w:val="clear" w:color="auto" w:fill="FFFFFF"/>
          <w14:textFill>
            <w14:solidFill>
              <w14:schemeClr w14:val="tx1"/>
            </w14:solidFill>
          </w14:textFill>
        </w:rPr>
        <w:t>年的</w:t>
      </w:r>
      <w:r>
        <w:rPr>
          <w:rFonts w:ascii="Times New Roman"/>
          <w:color w:val="000000" w:themeColor="text1"/>
          <w:szCs w:val="32"/>
          <w:shd w:val="clear" w:color="auto" w:fill="FFFFFF"/>
          <w14:textFill>
            <w14:solidFill>
              <w14:schemeClr w14:val="tx1"/>
            </w14:solidFill>
          </w14:textFill>
        </w:rPr>
        <w:t>11.7</w:t>
      </w:r>
      <w:r>
        <w:rPr>
          <w:rFonts w:ascii="Times New Roman" w:eastAsia="方正仿宋_GBK"/>
          <w:color w:val="000000" w:themeColor="text1"/>
          <w:szCs w:val="32"/>
          <w:shd w:val="clear" w:color="auto" w:fill="FFFFFF"/>
          <w14:textFill>
            <w14:solidFill>
              <w14:schemeClr w14:val="tx1"/>
            </w14:solidFill>
          </w14:textFill>
        </w:rPr>
        <w:t>：</w:t>
      </w:r>
      <w:r>
        <w:rPr>
          <w:rFonts w:ascii="Times New Roman"/>
          <w:color w:val="000000" w:themeColor="text1"/>
          <w:szCs w:val="32"/>
          <w:shd w:val="clear" w:color="auto" w:fill="FFFFFF"/>
          <w14:textFill>
            <w14:solidFill>
              <w14:schemeClr w14:val="tx1"/>
            </w14:solidFill>
          </w14:textFill>
        </w:rPr>
        <w:t>35.9</w:t>
      </w:r>
      <w:r>
        <w:rPr>
          <w:rFonts w:ascii="Times New Roman" w:eastAsia="方正仿宋_GBK"/>
          <w:color w:val="000000" w:themeColor="text1"/>
          <w:szCs w:val="32"/>
          <w:shd w:val="clear" w:color="auto" w:fill="FFFFFF"/>
          <w14:textFill>
            <w14:solidFill>
              <w14:schemeClr w14:val="tx1"/>
            </w14:solidFill>
          </w14:textFill>
        </w:rPr>
        <w:t>：</w:t>
      </w:r>
      <w:r>
        <w:rPr>
          <w:rFonts w:ascii="Times New Roman"/>
          <w:color w:val="000000" w:themeColor="text1"/>
          <w:szCs w:val="32"/>
          <w:shd w:val="clear" w:color="auto" w:fill="FFFFFF"/>
          <w14:textFill>
            <w14:solidFill>
              <w14:schemeClr w14:val="tx1"/>
            </w14:solidFill>
          </w14:textFill>
        </w:rPr>
        <w:t>52.4</w:t>
      </w:r>
      <w:r>
        <w:rPr>
          <w:rFonts w:ascii="Times New Roman" w:eastAsia="方正仿宋_GBK"/>
          <w:color w:val="000000" w:themeColor="text1"/>
          <w:szCs w:val="32"/>
          <w:shd w:val="clear" w:color="auto" w:fill="FFFFFF"/>
          <w14:textFill>
            <w14:solidFill>
              <w14:schemeClr w14:val="tx1"/>
            </w14:solidFill>
          </w14:textFill>
        </w:rPr>
        <w:t>，一、二、三产业分别拉动</w:t>
      </w:r>
      <w:r>
        <w:rPr>
          <w:rFonts w:ascii="Times New Roman"/>
          <w:color w:val="000000" w:themeColor="text1"/>
          <w:szCs w:val="32"/>
          <w:shd w:val="clear" w:color="auto" w:fill="FFFFFF"/>
          <w14:textFill>
            <w14:solidFill>
              <w14:schemeClr w14:val="tx1"/>
            </w14:solidFill>
          </w14:textFill>
        </w:rPr>
        <w:t>GDP</w:t>
      </w:r>
      <w:r>
        <w:rPr>
          <w:rFonts w:ascii="Times New Roman" w:eastAsia="方正仿宋_GBK"/>
          <w:color w:val="000000" w:themeColor="text1"/>
          <w:szCs w:val="32"/>
          <w:shd w:val="clear" w:color="auto" w:fill="FFFFFF"/>
          <w14:textFill>
            <w14:solidFill>
              <w14:schemeClr w14:val="tx1"/>
            </w14:solidFill>
          </w14:textFill>
        </w:rPr>
        <w:t>增长</w:t>
      </w:r>
      <w:r>
        <w:rPr>
          <w:rFonts w:ascii="Times New Roman"/>
          <w:color w:val="000000" w:themeColor="text1"/>
          <w:szCs w:val="32"/>
          <w:shd w:val="clear" w:color="auto" w:fill="FFFFFF"/>
          <w14:textFill>
            <w14:solidFill>
              <w14:schemeClr w14:val="tx1"/>
            </w14:solidFill>
          </w14:textFill>
        </w:rPr>
        <w:t>0.6</w:t>
      </w:r>
      <w:r>
        <w:rPr>
          <w:rFonts w:ascii="Times New Roman" w:eastAsia="方正仿宋_GBK"/>
          <w:color w:val="000000" w:themeColor="text1"/>
          <w:szCs w:val="32"/>
          <w:shd w:val="clear" w:color="auto" w:fill="FFFFFF"/>
          <w14:textFill>
            <w14:solidFill>
              <w14:schemeClr w14:val="tx1"/>
            </w14:solidFill>
          </w14:textFill>
        </w:rPr>
        <w:t>、下降</w:t>
      </w:r>
      <w:r>
        <w:rPr>
          <w:rFonts w:ascii="Times New Roman"/>
          <w:color w:val="000000" w:themeColor="text1"/>
          <w:szCs w:val="32"/>
          <w:shd w:val="clear" w:color="auto" w:fill="FFFFFF"/>
          <w14:textFill>
            <w14:solidFill>
              <w14:schemeClr w14:val="tx1"/>
            </w14:solidFill>
          </w14:textFill>
        </w:rPr>
        <w:t>10.0</w:t>
      </w:r>
      <w:r>
        <w:rPr>
          <w:rFonts w:ascii="Times New Roman" w:eastAsia="方正仿宋_GBK"/>
          <w:color w:val="000000" w:themeColor="text1"/>
          <w:szCs w:val="32"/>
          <w:shd w:val="clear" w:color="auto" w:fill="FFFFFF"/>
          <w14:textFill>
            <w14:solidFill>
              <w14:schemeClr w14:val="tx1"/>
            </w14:solidFill>
          </w14:textFill>
        </w:rPr>
        <w:t>、增长</w:t>
      </w:r>
      <w:r>
        <w:rPr>
          <w:rFonts w:ascii="Times New Roman"/>
          <w:color w:val="000000" w:themeColor="text1"/>
          <w:szCs w:val="32"/>
          <w:shd w:val="clear" w:color="auto" w:fill="FFFFFF"/>
          <w14:textFill>
            <w14:solidFill>
              <w14:schemeClr w14:val="tx1"/>
            </w14:solidFill>
          </w14:textFill>
        </w:rPr>
        <w:t>3.4</w:t>
      </w:r>
      <w:r>
        <w:rPr>
          <w:rFonts w:ascii="Times New Roman" w:eastAsia="方正仿宋_GBK"/>
          <w:color w:val="000000" w:themeColor="text1"/>
          <w:szCs w:val="32"/>
          <w:shd w:val="clear" w:color="auto" w:fill="FFFFFF"/>
          <w14:textFill>
            <w14:solidFill>
              <w14:schemeClr w14:val="tx1"/>
            </w14:solidFill>
          </w14:textFill>
        </w:rPr>
        <w:t>个百分点。全县人均生产总值</w:t>
      </w:r>
      <w:r>
        <w:rPr>
          <w:rFonts w:ascii="Times New Roman"/>
          <w:color w:val="000000" w:themeColor="text1"/>
          <w:szCs w:val="32"/>
          <w:shd w:val="clear" w:color="auto" w:fill="FFFFFF"/>
          <w14:textFill>
            <w14:solidFill>
              <w14:schemeClr w14:val="tx1"/>
            </w14:solidFill>
          </w14:textFill>
        </w:rPr>
        <w:t>73133</w:t>
      </w:r>
      <w:r>
        <w:rPr>
          <w:rFonts w:ascii="Times New Roman" w:eastAsia="方正仿宋_GBK"/>
          <w:color w:val="000000" w:themeColor="text1"/>
          <w:szCs w:val="32"/>
          <w:shd w:val="clear" w:color="auto" w:fill="FFFFFF"/>
          <w14:textFill>
            <w14:solidFill>
              <w14:schemeClr w14:val="tx1"/>
            </w14:solidFill>
          </w14:textFill>
        </w:rPr>
        <w:t>元，比上年减少</w:t>
      </w:r>
      <w:r>
        <w:rPr>
          <w:rFonts w:ascii="Times New Roman"/>
          <w:color w:val="000000" w:themeColor="text1"/>
          <w:szCs w:val="32"/>
          <w:shd w:val="clear" w:color="auto" w:fill="FFFFFF"/>
          <w14:textFill>
            <w14:solidFill>
              <w14:schemeClr w14:val="tx1"/>
            </w14:solidFill>
          </w14:textFill>
        </w:rPr>
        <w:t>3391</w:t>
      </w:r>
      <w:r>
        <w:rPr>
          <w:rFonts w:ascii="Times New Roman" w:eastAsia="方正仿宋_GBK"/>
          <w:color w:val="000000" w:themeColor="text1"/>
          <w:szCs w:val="32"/>
          <w:shd w:val="clear" w:color="auto" w:fill="FFFFFF"/>
          <w14:textFill>
            <w14:solidFill>
              <w14:schemeClr w14:val="tx1"/>
            </w14:solidFill>
          </w14:textFill>
        </w:rPr>
        <w:t>元，按可比价格计算下降</w:t>
      </w:r>
      <w:r>
        <w:rPr>
          <w:rFonts w:ascii="Times New Roman"/>
          <w:color w:val="000000" w:themeColor="text1"/>
          <w:szCs w:val="32"/>
          <w:shd w:val="clear" w:color="auto" w:fill="FFFFFF"/>
          <w14:textFill>
            <w14:solidFill>
              <w14:schemeClr w14:val="tx1"/>
            </w14:solidFill>
          </w14:textFill>
        </w:rPr>
        <w:t>6.0%</w:t>
      </w:r>
      <w:r>
        <w:rPr>
          <w:rFonts w:ascii="Times New Roman" w:eastAsia="方正仿宋_GBK"/>
          <w:color w:val="000000" w:themeColor="text1"/>
          <w:szCs w:val="32"/>
          <w:shd w:val="clear" w:color="auto" w:fill="FFFFFF"/>
          <w14:textFill>
            <w14:solidFill>
              <w14:schemeClr w14:val="tx1"/>
            </w14:solidFill>
          </w14:textFill>
        </w:rPr>
        <w:t>。非公经济实现增加值</w:t>
      </w:r>
      <w:r>
        <w:rPr>
          <w:rFonts w:ascii="Times New Roman"/>
          <w:color w:val="000000" w:themeColor="text1"/>
          <w:szCs w:val="32"/>
          <w:shd w:val="clear" w:color="auto" w:fill="FFFFFF"/>
          <w14:textFill>
            <w14:solidFill>
              <w14:schemeClr w14:val="tx1"/>
            </w14:solidFill>
          </w14:textFill>
        </w:rPr>
        <w:t>799320</w:t>
      </w:r>
      <w:r>
        <w:rPr>
          <w:rFonts w:ascii="Times New Roman" w:eastAsia="方正仿宋_GBK"/>
          <w:color w:val="000000" w:themeColor="text1"/>
          <w:szCs w:val="32"/>
          <w:shd w:val="clear" w:color="auto" w:fill="FFFFFF"/>
          <w14:textFill>
            <w14:solidFill>
              <w14:schemeClr w14:val="tx1"/>
            </w14:solidFill>
          </w14:textFill>
        </w:rPr>
        <w:t>万元，下降</w:t>
      </w:r>
      <w:r>
        <w:rPr>
          <w:rFonts w:ascii="Times New Roman"/>
          <w:color w:val="000000" w:themeColor="text1"/>
          <w:szCs w:val="32"/>
          <w:shd w:val="clear" w:color="auto" w:fill="FFFFFF"/>
          <w14:textFill>
            <w14:solidFill>
              <w14:schemeClr w14:val="tx1"/>
            </w14:solidFill>
          </w14:textFill>
        </w:rPr>
        <w:t>5.5%</w:t>
      </w:r>
      <w:r>
        <w:rPr>
          <w:rFonts w:ascii="Times New Roman" w:eastAsia="方正仿宋_GBK"/>
          <w:color w:val="000000" w:themeColor="text1"/>
          <w:szCs w:val="32"/>
          <w:shd w:val="clear" w:color="auto" w:fill="FFFFFF"/>
          <w14:textFill>
            <w14:solidFill>
              <w14:schemeClr w14:val="tx1"/>
            </w14:solidFill>
          </w14:textFill>
        </w:rPr>
        <w:t>，占全县</w:t>
      </w:r>
      <w:r>
        <w:rPr>
          <w:rFonts w:ascii="Times New Roman"/>
          <w:color w:val="000000" w:themeColor="text1"/>
          <w:szCs w:val="32"/>
          <w:shd w:val="clear" w:color="auto" w:fill="FFFFFF"/>
          <w14:textFill>
            <w14:solidFill>
              <w14:schemeClr w14:val="tx1"/>
            </w14:solidFill>
          </w14:textFill>
        </w:rPr>
        <w:t>GDP</w:t>
      </w:r>
      <w:r>
        <w:rPr>
          <w:rFonts w:ascii="Times New Roman" w:eastAsia="方正仿宋_GBK"/>
          <w:color w:val="000000" w:themeColor="text1"/>
          <w:szCs w:val="32"/>
          <w:shd w:val="clear" w:color="auto" w:fill="FFFFFF"/>
          <w14:textFill>
            <w14:solidFill>
              <w14:schemeClr w14:val="tx1"/>
            </w14:solidFill>
          </w14:textFill>
        </w:rPr>
        <w:t>的比重为</w:t>
      </w:r>
      <w:r>
        <w:rPr>
          <w:rFonts w:ascii="Times New Roman"/>
          <w:color w:val="000000" w:themeColor="text1"/>
          <w:szCs w:val="32"/>
          <w:shd w:val="clear" w:color="auto" w:fill="FFFFFF"/>
          <w14:textFill>
            <w14:solidFill>
              <w14:schemeClr w14:val="tx1"/>
            </w14:solidFill>
          </w14:textFill>
        </w:rPr>
        <w:t>60.3%</w:t>
      </w:r>
      <w:r>
        <w:rPr>
          <w:rFonts w:ascii="Times New Roman" w:eastAsia="方正仿宋_GBK"/>
          <w:color w:val="000000" w:themeColor="text1"/>
          <w:szCs w:val="32"/>
          <w:shd w:val="clear" w:color="auto" w:fill="FFFFFF"/>
          <w14:textFill>
            <w14:solidFill>
              <w14:schemeClr w14:val="tx1"/>
            </w14:solidFill>
          </w14:textFill>
        </w:rPr>
        <w:t>，比上年提高</w:t>
      </w:r>
      <w:r>
        <w:rPr>
          <w:rFonts w:ascii="Times New Roman"/>
          <w:color w:val="000000" w:themeColor="text1"/>
          <w:szCs w:val="32"/>
          <w:shd w:val="clear" w:color="auto" w:fill="FFFFFF"/>
          <w14:textFill>
            <w14:solidFill>
              <w14:schemeClr w14:val="tx1"/>
            </w14:solidFill>
          </w14:textFill>
        </w:rPr>
        <w:t>0.5</w:t>
      </w:r>
      <w:r>
        <w:rPr>
          <w:rFonts w:ascii="Times New Roman" w:eastAsia="方正仿宋_GBK"/>
          <w:color w:val="000000" w:themeColor="text1"/>
          <w:szCs w:val="32"/>
          <w:shd w:val="clear" w:color="auto" w:fill="FFFFFF"/>
          <w14:textFill>
            <w14:solidFill>
              <w14:schemeClr w14:val="tx1"/>
            </w14:solidFill>
          </w14:textFill>
        </w:rPr>
        <w:t>个百分点，下拉全县经济</w:t>
      </w:r>
      <w:r>
        <w:rPr>
          <w:rFonts w:ascii="Times New Roman"/>
          <w:color w:val="000000" w:themeColor="text1"/>
          <w:szCs w:val="32"/>
          <w:shd w:val="clear" w:color="auto" w:fill="FFFFFF"/>
          <w14:textFill>
            <w14:solidFill>
              <w14:schemeClr w14:val="tx1"/>
            </w14:solidFill>
          </w14:textFill>
        </w:rPr>
        <w:t>3.3</w:t>
      </w:r>
      <w:r>
        <w:rPr>
          <w:rFonts w:ascii="Times New Roman" w:eastAsia="方正仿宋_GBK"/>
          <w:color w:val="000000" w:themeColor="text1"/>
          <w:szCs w:val="32"/>
          <w:shd w:val="clear" w:color="auto" w:fill="FFFFFF"/>
          <w14:textFill>
            <w14:solidFill>
              <w14:schemeClr w14:val="tx1"/>
            </w14:solidFill>
          </w14:textFill>
        </w:rPr>
        <w:t>个百分点。分产业看，第一产业非公经济增加值拉动全县经济增长</w:t>
      </w:r>
      <w:r>
        <w:rPr>
          <w:rFonts w:ascii="Times New Roman"/>
          <w:color w:val="000000" w:themeColor="text1"/>
          <w:szCs w:val="32"/>
          <w:shd w:val="clear" w:color="auto" w:fill="FFFFFF"/>
          <w14:textFill>
            <w14:solidFill>
              <w14:schemeClr w14:val="tx1"/>
            </w14:solidFill>
          </w14:textFill>
        </w:rPr>
        <w:t>0.2</w:t>
      </w:r>
      <w:r>
        <w:rPr>
          <w:rFonts w:ascii="Times New Roman" w:eastAsia="方正仿宋_GBK"/>
          <w:color w:val="000000" w:themeColor="text1"/>
          <w:szCs w:val="32"/>
          <w:shd w:val="clear" w:color="auto" w:fill="FFFFFF"/>
          <w14:textFill>
            <w14:solidFill>
              <w14:schemeClr w14:val="tx1"/>
            </w14:solidFill>
          </w14:textFill>
        </w:rPr>
        <w:t>个百分点；第二产业非公经济增加值拉动全县经济下降</w:t>
      </w:r>
      <w:r>
        <w:rPr>
          <w:rFonts w:ascii="Times New Roman"/>
          <w:color w:val="000000" w:themeColor="text1"/>
          <w:szCs w:val="32"/>
          <w:shd w:val="clear" w:color="auto" w:fill="FFFFFF"/>
          <w14:textFill>
            <w14:solidFill>
              <w14:schemeClr w14:val="tx1"/>
            </w14:solidFill>
          </w14:textFill>
        </w:rPr>
        <w:t>5.9</w:t>
      </w:r>
      <w:r>
        <w:rPr>
          <w:rFonts w:ascii="Times New Roman" w:eastAsia="方正仿宋_GBK"/>
          <w:color w:val="000000" w:themeColor="text1"/>
          <w:szCs w:val="32"/>
          <w:shd w:val="clear" w:color="auto" w:fill="FFFFFF"/>
          <w14:textFill>
            <w14:solidFill>
              <w14:schemeClr w14:val="tx1"/>
            </w14:solidFill>
          </w14:textFill>
        </w:rPr>
        <w:t>个百分点；第三产业非公经济增加值拉动全县经济增长</w:t>
      </w:r>
      <w:r>
        <w:rPr>
          <w:rFonts w:ascii="Times New Roman"/>
          <w:color w:val="000000" w:themeColor="text1"/>
          <w:szCs w:val="32"/>
          <w:shd w:val="clear" w:color="auto" w:fill="FFFFFF"/>
          <w14:textFill>
            <w14:solidFill>
              <w14:schemeClr w14:val="tx1"/>
            </w14:solidFill>
          </w14:textFill>
        </w:rPr>
        <w:t>2.4</w:t>
      </w:r>
      <w:r>
        <w:rPr>
          <w:rFonts w:ascii="Times New Roman" w:eastAsia="方正仿宋_GBK"/>
          <w:color w:val="000000" w:themeColor="text1"/>
          <w:szCs w:val="32"/>
          <w:shd w:val="clear" w:color="auto" w:fill="FFFFFF"/>
          <w14:textFill>
            <w14:solidFill>
              <w14:schemeClr w14:val="tx1"/>
            </w14:solidFill>
          </w14:textFill>
        </w:rPr>
        <w:t>个百分点。</w:t>
      </w:r>
    </w:p>
    <w:p w14:paraId="07A3FAB2">
      <w:pPr>
        <w:ind w:firstLine="640"/>
        <w:rPr>
          <w:color w:val="000000" w:themeColor="text1"/>
          <w14:textFill>
            <w14:solidFill>
              <w14:schemeClr w14:val="tx1"/>
            </w14:solidFill>
          </w14:textFill>
        </w:rPr>
      </w:pPr>
      <w:r>
        <w:rPr>
          <w:color w:val="000000" w:themeColor="text1"/>
          <w14:textFill>
            <w14:solidFill>
              <w14:schemeClr w14:val="tx1"/>
            </w14:solidFill>
          </w14:textFill>
        </w:rPr>
        <w:t>2020年全县实现农林牧渔业现价总产值249036万元，按可比价格计算增长5.9%，其中：种植业产值114979万元，增长5.3%；林业产值8204万元，增长6.3%；牧业产值116351万元，增长6.5%；渔业产值1104万元，增长5.4%；农林牧渔服务业产值8398万元，增长5.6%。</w:t>
      </w:r>
    </w:p>
    <w:p w14:paraId="3E73B40C">
      <w:pPr>
        <w:ind w:firstLine="640"/>
        <w:rPr>
          <w:color w:val="000000" w:themeColor="text1"/>
          <w14:textFill>
            <w14:solidFill>
              <w14:schemeClr w14:val="tx1"/>
            </w14:solidFill>
          </w14:textFill>
        </w:rPr>
      </w:pPr>
      <w:r>
        <w:rPr>
          <w:color w:val="000000" w:themeColor="text1"/>
          <w14:textFill>
            <w14:solidFill>
              <w14:schemeClr w14:val="tx1"/>
            </w14:solidFill>
          </w14:textFill>
        </w:rPr>
        <w:t>种植业：全年农作物总播种面积414687亩，同比增加6873亩，增长1.7%。其中：粮食作物196543亩，增137亩，增0.1%；烤烟64882亩，增713亩，增1.1%；蔬菜110380亩，增3200亩，增3.0%；油料20970亩，减153亩，减0.7%。粮食作物播种面积与非粮食作物播种面积比例由上年的48.2：51.8调整为2020年的47.4：52.6，非粮食作物比重比上年提高0.8个百分点。</w:t>
      </w:r>
    </w:p>
    <w:p w14:paraId="1289702C">
      <w:pPr>
        <w:ind w:firstLine="640"/>
        <w:rPr>
          <w:color w:val="000000" w:themeColor="text1"/>
          <w14:textFill>
            <w14:solidFill>
              <w14:schemeClr w14:val="tx1"/>
            </w14:solidFill>
          </w14:textFill>
        </w:rPr>
      </w:pPr>
      <w:r>
        <w:rPr>
          <w:color w:val="000000" w:themeColor="text1"/>
          <w14:textFill>
            <w14:solidFill>
              <w14:schemeClr w14:val="tx1"/>
            </w14:solidFill>
          </w14:textFill>
        </w:rPr>
        <w:t>2020年全县粮食总产量6132.5万公斤，增长2.1%。其中大春粮食产量4992.2万公斤，增3.8%；小春粮食产量1140.3万公斤，减4.7%。烤烟总产量807.4万公斤，增3.2%；油料总产量236.2万公斤，增6.3%，其中：大春油料产量24.4万公斤，增87.7%，小春油料产量211.8万公斤，增1.2%；园林水果产量1012.0万公斤，增3.6%；蔬菜产量14305.6万公斤，增1.7%。</w:t>
      </w:r>
    </w:p>
    <w:p w14:paraId="53CD28AC">
      <w:pPr>
        <w:ind w:firstLine="640"/>
        <w:rPr>
          <w:color w:val="000000" w:themeColor="text1"/>
          <w14:textFill>
            <w14:solidFill>
              <w14:schemeClr w14:val="tx1"/>
            </w14:solidFill>
          </w14:textFill>
        </w:rPr>
      </w:pPr>
      <w:r>
        <w:rPr>
          <w:color w:val="000000" w:themeColor="text1"/>
          <w14:textFill>
            <w14:solidFill>
              <w14:schemeClr w14:val="tx1"/>
            </w14:solidFill>
          </w14:textFill>
        </w:rPr>
        <w:t>林业：年内培育各类苗木100余万株；完成人工造林0.26万亩、异地造林0.3万亩、全民义务植树33万株。完成6万株春季板栗良种嫁接改造工作。完成云南松切稍小蠹虫防治1.1万亩、经济林病虫害防治0.36万亩。组织实施0.3万亩板栗和0.7万亩核桃提质增效。办理林权抵押贷款登记21宗4608亩，贷款金额1104万元；办理林权流转26宗，流转面积1824.4亩，流转金额329万元。全县森林覆盖率66.53%。</w:t>
      </w:r>
    </w:p>
    <w:p w14:paraId="7BBAED50">
      <w:pPr>
        <w:ind w:firstLine="640"/>
        <w:rPr>
          <w:color w:val="000000" w:themeColor="text1"/>
          <w14:textFill>
            <w14:solidFill>
              <w14:schemeClr w14:val="tx1"/>
            </w14:solidFill>
          </w14:textFill>
        </w:rPr>
      </w:pPr>
      <w:r>
        <w:rPr>
          <w:color w:val="000000" w:themeColor="text1"/>
          <w14:textFill>
            <w14:solidFill>
              <w14:schemeClr w14:val="tx1"/>
            </w14:solidFill>
          </w14:textFill>
        </w:rPr>
        <w:t>畜牧业：2020年末，全县累计建成年出栏肉鸡10万只、存栏蛋鸡10万只、肉猪1万头、肉羊500只以上的畜禽养殖小区24个。累计发展畜禽规模养殖户485户，其中：常年存栏能繁母猪50头以上43户、年出栏肥猪500头以上规模户34户，常年存栏蛋禽5000只以上规模户8户、存栏肉禽5000只以上规模户392户，常年存栏肉羊200只以上规模户5户，常年存栏牛50头以上14户。</w:t>
      </w:r>
    </w:p>
    <w:p w14:paraId="7AA7A802">
      <w:pPr>
        <w:ind w:firstLine="640"/>
        <w:rPr>
          <w:color w:val="000000" w:themeColor="text1"/>
          <w14:textFill>
            <w14:solidFill>
              <w14:schemeClr w14:val="tx1"/>
            </w14:solidFill>
          </w14:textFill>
        </w:rPr>
      </w:pPr>
      <w:r>
        <w:rPr>
          <w:color w:val="000000" w:themeColor="text1"/>
          <w14:textFill>
            <w14:solidFill>
              <w14:schemeClr w14:val="tx1"/>
            </w14:solidFill>
          </w14:textFill>
        </w:rPr>
        <w:t>渔业：全县淡水养殖3545亩，稻田养鱼9000亩，产鱼799吨；生产鱼苗4300万尾。</w:t>
      </w:r>
    </w:p>
    <w:p w14:paraId="41A1F49C">
      <w:pPr>
        <w:ind w:firstLine="640"/>
        <w:rPr>
          <w:color w:val="000000" w:themeColor="text1"/>
          <w14:textFill>
            <w14:solidFill>
              <w14:schemeClr w14:val="tx1"/>
            </w14:solidFill>
          </w14:textFill>
        </w:rPr>
      </w:pPr>
      <w:r>
        <w:rPr>
          <w:color w:val="000000" w:themeColor="text1"/>
          <w14:textFill>
            <w14:solidFill>
              <w14:schemeClr w14:val="tx1"/>
            </w14:solidFill>
          </w14:textFill>
        </w:rPr>
        <w:t>农业基础设施：批复投资19981万元的岔河水库连通主体工程完工并通水，批复投资5041.92万元的第一、二批贫困地区农村饮水安全巩固提升工程和1149.03万元的2019年易门县扒河灌区节水改造项目竣工并投入使用。批复投资1040万元易门县灾后水利薄弱环节小型病险水库除险加固8件工程顺利推进，批复投资4223.23万元的大谷厂水库除险加固工程和1505.81万元的高标准农田建设项目开工建设。全年征收水资源费256.59万元，完成蓄水量4966.27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p>
    <w:p w14:paraId="1645360F">
      <w:pPr>
        <w:ind w:firstLine="640"/>
        <w:rPr>
          <w:color w:val="000000" w:themeColor="text1"/>
          <w14:textFill>
            <w14:solidFill>
              <w14:schemeClr w14:val="tx1"/>
            </w14:solidFill>
          </w14:textFill>
        </w:rPr>
      </w:pPr>
      <w:r>
        <w:rPr>
          <w:color w:val="000000" w:themeColor="text1"/>
          <w14:textFill>
            <w14:solidFill>
              <w14:schemeClr w14:val="tx1"/>
            </w14:solidFill>
          </w14:textFill>
        </w:rPr>
        <w:t>工业：2020年全县完成全部工业增加值370360万元，按可比价格计算下降24.5%。其中，规模以上工业增加值362826万元，比上年下降26.2%。从二大门类看，规模以上采矿业增加值增速下降47.8%，规模以上制造业增加值增速下降25.0%。</w:t>
      </w:r>
    </w:p>
    <w:p w14:paraId="239A292E">
      <w:pPr>
        <w:ind w:firstLine="640"/>
        <w:rPr>
          <w:color w:val="000000" w:themeColor="text1"/>
          <w14:textFill>
            <w14:solidFill>
              <w14:schemeClr w14:val="tx1"/>
            </w14:solidFill>
          </w14:textFill>
        </w:rPr>
      </w:pPr>
      <w:r>
        <w:rPr>
          <w:color w:val="000000" w:themeColor="text1"/>
          <w14:textFill>
            <w14:solidFill>
              <w14:schemeClr w14:val="tx1"/>
            </w14:solidFill>
          </w14:textFill>
        </w:rPr>
        <w:t>2020年全县规模以上工业企业54户实现营业收入1278938万元，下降15.3%；实现利税总额79222万元，下降7.6%；实现利润47392万元，下降13.1%。</w:t>
      </w:r>
    </w:p>
    <w:p w14:paraId="6ACBF357">
      <w:pPr>
        <w:ind w:firstLine="640"/>
        <w:rPr>
          <w:color w:val="000000" w:themeColor="text1"/>
          <w14:textFill>
            <w14:solidFill>
              <w14:schemeClr w14:val="tx1"/>
            </w14:solidFill>
          </w14:textFill>
        </w:rPr>
      </w:pPr>
      <w:r>
        <w:rPr>
          <w:color w:val="000000" w:themeColor="text1"/>
          <w14:textFill>
            <w14:solidFill>
              <w14:schemeClr w14:val="tx1"/>
            </w14:solidFill>
          </w14:textFill>
        </w:rPr>
        <w:t>建筑业：2020年全县联网直报资质以上建筑施工企业16户，总产值180326万元，按现行价格计算增长2.1%。企业期末人数3931人，其中工程技术人员620人，比重为15.8%。资质以上建筑企业房屋施工面积95430平方米，销售面积70729平方米。新建商品房成交555起，成交总面积69300平方米，成交金额38300万元，平均成交价格5527元/㎡，其中，住宅5400元/㎡。二手房成交708起，成交总面积78300平方米，成交金额43000万元，平均成交价格5492元/ ㎡，其中，住宅5200元/㎡。</w:t>
      </w:r>
    </w:p>
    <w:p w14:paraId="1271B0D6">
      <w:pPr>
        <w:ind w:firstLine="640"/>
        <w:rPr>
          <w:rFonts w:eastAsia="微软雅黑"/>
          <w:color w:val="000000" w:themeColor="text1"/>
          <w14:textFill>
            <w14:solidFill>
              <w14:schemeClr w14:val="tx1"/>
            </w14:solidFill>
          </w14:textFill>
        </w:rPr>
      </w:pPr>
      <w:r>
        <w:rPr>
          <w:color w:val="000000" w:themeColor="text1"/>
          <w14:textFill>
            <w14:solidFill>
              <w14:schemeClr w14:val="tx1"/>
            </w14:solidFill>
          </w14:textFill>
        </w:rPr>
        <w:t>脱贫攻坚成果进一步巩固提升。2019年底，3490户建档立卡户，12587人贫困人口全部脱贫，贫困发生率降至0，铜厂贫困乡摘帽，24个贫困村出列。2020年共投入专项扶贫资金2879.86万元，用于农业基础设施、产业发展、饮水安全、人居环境整治等直接与群众利益相关的项目建设，全面提升脱贫攻坚质量。</w:t>
      </w:r>
    </w:p>
    <w:p w14:paraId="7676CC5A">
      <w:pPr>
        <w:pStyle w:val="47"/>
        <w:rPr>
          <w:color w:val="000000" w:themeColor="text1"/>
          <w14:textFill>
            <w14:solidFill>
              <w14:schemeClr w14:val="tx1"/>
            </w14:solidFill>
          </w14:textFill>
        </w:rPr>
      </w:pPr>
      <w:r>
        <w:rPr>
          <w:color w:val="000000" w:themeColor="text1"/>
          <w14:textFill>
            <w14:solidFill>
              <w14:schemeClr w14:val="tx1"/>
            </w14:solidFill>
          </w14:textFill>
        </w:rPr>
        <w:t>水资源禀赋及开发利用</w:t>
      </w:r>
    </w:p>
    <w:p w14:paraId="75BC7943">
      <w:pPr>
        <w:pStyle w:val="76"/>
        <w:rPr>
          <w:color w:val="000000" w:themeColor="text1"/>
          <w14:textFill>
            <w14:solidFill>
              <w14:schemeClr w14:val="tx1"/>
            </w14:solidFill>
          </w14:textFill>
        </w:rPr>
      </w:pPr>
      <w:r>
        <w:rPr>
          <w:color w:val="000000" w:themeColor="text1"/>
          <w14:textFill>
            <w14:solidFill>
              <w14:schemeClr w14:val="tx1"/>
            </w14:solidFill>
          </w14:textFill>
        </w:rPr>
        <w:t>（1）水资源条件</w:t>
      </w:r>
    </w:p>
    <w:p w14:paraId="06BEFECA">
      <w:pPr>
        <w:ind w:firstLine="640"/>
        <w:rPr>
          <w:snapToGrid w:val="0"/>
          <w:color w:val="000000" w:themeColor="text1"/>
          <w:kern w:val="0"/>
          <w:szCs w:val="21"/>
          <w14:textFill>
            <w14:solidFill>
              <w14:schemeClr w14:val="tx1"/>
            </w14:solidFill>
          </w14:textFill>
        </w:rPr>
      </w:pPr>
      <w:r>
        <w:rPr>
          <w:color w:val="000000" w:themeColor="text1"/>
          <w14:textFill>
            <w14:solidFill>
              <w14:schemeClr w14:val="tx1"/>
            </w14:solidFill>
          </w14:textFill>
        </w:rPr>
        <w:t>根据《玉溪市水资源综合规划》中易门县地表水水资源量2.329亿m³，</w:t>
      </w:r>
      <w:r>
        <w:rPr>
          <w:color w:val="000000" w:themeColor="text1"/>
          <w:kern w:val="0"/>
          <w:szCs w:val="21"/>
          <w14:textFill>
            <w14:solidFill>
              <w14:schemeClr w14:val="tx1"/>
            </w14:solidFill>
          </w14:textFill>
        </w:rPr>
        <w:t>径流深153.7</w:t>
      </w:r>
      <w:r>
        <w:rPr>
          <w:color w:val="000000" w:themeColor="text1"/>
          <w14:textFill>
            <w14:solidFill>
              <w14:schemeClr w14:val="tx1"/>
            </w14:solidFill>
          </w14:textFill>
        </w:rPr>
        <w:t xml:space="preserve"> mm；其中绿汁江干流易门段：地表水资源量0.862亿m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，流深150.9mm；扒河上段：地表水资源量0.907亿m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ab/>
      </w:r>
      <w:r>
        <w:rPr>
          <w:color w:val="000000" w:themeColor="text1"/>
          <w14:textFill>
            <w14:solidFill>
              <w14:schemeClr w14:val="tx1"/>
            </w14:solidFill>
          </w14:textFill>
        </w:rPr>
        <w:t>，流深157.1mm；扒河下段：地表水资源量0.56亿m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ab/>
      </w:r>
      <w:r>
        <w:rPr>
          <w:color w:val="000000" w:themeColor="text1"/>
          <w14:textFill>
            <w14:solidFill>
              <w14:schemeClr w14:val="tx1"/>
            </w14:solidFill>
          </w14:textFill>
        </w:rPr>
        <w:t>，径流深152.7mm。</w:t>
      </w:r>
      <w:r>
        <w:rPr>
          <w:color w:val="000000" w:themeColor="text1"/>
          <w:kern w:val="0"/>
          <w:szCs w:val="21"/>
          <w14:textFill>
            <w14:solidFill>
              <w14:schemeClr w14:val="tx1"/>
            </w14:solidFill>
          </w14:textFill>
        </w:rPr>
        <w:t>地下水资源量0.8138</w:t>
      </w:r>
      <w:r>
        <w:rPr>
          <w:color w:val="000000" w:themeColor="text1"/>
          <w14:textFill>
            <w14:solidFill>
              <w14:schemeClr w14:val="tx1"/>
            </w14:solidFill>
          </w14:textFill>
        </w:rPr>
        <w:t>亿m³，</w:t>
      </w:r>
      <w:r>
        <w:rPr>
          <w:color w:val="000000" w:themeColor="text1"/>
          <w:kern w:val="0"/>
          <w:szCs w:val="21"/>
          <w14:textFill>
            <w14:solidFill>
              <w14:schemeClr w14:val="tx1"/>
            </w14:solidFill>
          </w14:textFill>
        </w:rPr>
        <w:t>地下水资源模数5.4</w:t>
      </w:r>
      <w:r>
        <w:rPr>
          <w:snapToGrid w:val="0"/>
          <w:color w:val="000000" w:themeColor="text1"/>
          <w:kern w:val="0"/>
          <w:szCs w:val="21"/>
          <w14:textFill>
            <w14:solidFill>
              <w14:schemeClr w14:val="tx1"/>
            </w14:solidFill>
          </w14:textFill>
        </w:rPr>
        <w:t>万m³/（k㎡·a），水资源总量为2.329</w:t>
      </w:r>
      <w:r>
        <w:rPr>
          <w:color w:val="000000" w:themeColor="text1"/>
          <w14:textFill>
            <w14:solidFill>
              <w14:schemeClr w14:val="tx1"/>
            </w14:solidFill>
          </w14:textFill>
        </w:rPr>
        <w:t>亿m³。</w:t>
      </w:r>
    </w:p>
    <w:p w14:paraId="3A1D5007">
      <w:pPr>
        <w:pStyle w:val="51"/>
        <w:rPr>
          <w:color w:val="000000" w:themeColor="text1"/>
          <w14:textFill>
            <w14:solidFill>
              <w14:schemeClr w14:val="tx1"/>
            </w14:solidFill>
          </w14:textFill>
        </w:rPr>
      </w:pPr>
      <w:r>
        <w:rPr>
          <w:color w:val="000000" w:themeColor="text1"/>
          <w14:textFill>
            <w14:solidFill>
              <w14:schemeClr w14:val="tx1"/>
            </w14:solidFill>
          </w14:textFill>
        </w:rPr>
        <w:t>表1.1.3-1   多年平均水资源总量成果表</w:t>
      </w:r>
    </w:p>
    <w:tbl>
      <w:tblPr>
        <w:tblStyle w:val="24"/>
        <w:tblpPr w:leftFromText="181" w:rightFromText="181" w:bottomFromText="284" w:vertAnchor="text" w:tblpXSpec="center" w:tblpY="1"/>
        <w:tblOverlap w:val="never"/>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939"/>
        <w:gridCol w:w="1939"/>
        <w:gridCol w:w="1940"/>
        <w:gridCol w:w="1938"/>
      </w:tblGrid>
      <w:tr w14:paraId="326A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41" w:type="dxa"/>
            <w:vAlign w:val="center"/>
          </w:tcPr>
          <w:p w14:paraId="2D101111">
            <w:pPr>
              <w:spacing w:line="240" w:lineRule="auto"/>
              <w:ind w:firstLine="0" w:firstLineChars="0"/>
              <w:jc w:val="center"/>
              <w:rPr>
                <w:color w:val="000000" w:themeColor="text1"/>
                <w:kern w:val="0"/>
                <w:sz w:val="30"/>
                <w:szCs w:val="30"/>
                <w14:textFill>
                  <w14:solidFill>
                    <w14:schemeClr w14:val="tx1"/>
                  </w14:solidFill>
                </w14:textFill>
              </w:rPr>
            </w:pPr>
            <w:r>
              <w:rPr>
                <w:color w:val="000000" w:themeColor="text1"/>
                <w:kern w:val="0"/>
                <w:sz w:val="30"/>
                <w:szCs w:val="30"/>
                <w14:textFill>
                  <w14:solidFill>
                    <w14:schemeClr w14:val="tx1"/>
                  </w14:solidFill>
                </w14:textFill>
              </w:rPr>
              <w:t>县级行政区</w:t>
            </w:r>
          </w:p>
        </w:tc>
        <w:tc>
          <w:tcPr>
            <w:tcW w:w="1939" w:type="dxa"/>
            <w:vAlign w:val="center"/>
          </w:tcPr>
          <w:p w14:paraId="22536C6E">
            <w:pPr>
              <w:spacing w:line="240" w:lineRule="auto"/>
              <w:ind w:firstLine="0" w:firstLineChars="0"/>
              <w:jc w:val="center"/>
              <w:rPr>
                <w:bCs/>
                <w:snapToGrid w:val="0"/>
                <w:color w:val="000000" w:themeColor="text1"/>
                <w:kern w:val="0"/>
                <w:sz w:val="30"/>
                <w:szCs w:val="30"/>
                <w14:textFill>
                  <w14:solidFill>
                    <w14:schemeClr w14:val="tx1"/>
                  </w14:solidFill>
                </w14:textFill>
              </w:rPr>
            </w:pPr>
            <w:r>
              <w:rPr>
                <w:bCs/>
                <w:snapToGrid w:val="0"/>
                <w:color w:val="000000" w:themeColor="text1"/>
                <w:kern w:val="0"/>
                <w:sz w:val="30"/>
                <w:szCs w:val="30"/>
                <w14:textFill>
                  <w14:solidFill>
                    <w14:schemeClr w14:val="tx1"/>
                  </w14:solidFill>
                </w14:textFill>
              </w:rPr>
              <w:t>地表水</w:t>
            </w:r>
          </w:p>
          <w:p w14:paraId="7F2BA36F">
            <w:pPr>
              <w:spacing w:line="240" w:lineRule="auto"/>
              <w:ind w:firstLine="0" w:firstLineChars="0"/>
              <w:jc w:val="center"/>
              <w:rPr>
                <w:bCs/>
                <w:snapToGrid w:val="0"/>
                <w:color w:val="000000" w:themeColor="text1"/>
                <w:kern w:val="0"/>
                <w:sz w:val="30"/>
                <w:szCs w:val="30"/>
                <w14:textFill>
                  <w14:solidFill>
                    <w14:schemeClr w14:val="tx1"/>
                  </w14:solidFill>
                </w14:textFill>
              </w:rPr>
            </w:pPr>
            <w:r>
              <w:rPr>
                <w:bCs/>
                <w:snapToGrid w:val="0"/>
                <w:color w:val="000000" w:themeColor="text1"/>
                <w:kern w:val="0"/>
                <w:sz w:val="30"/>
                <w:szCs w:val="30"/>
                <w14:textFill>
                  <w14:solidFill>
                    <w14:schemeClr w14:val="tx1"/>
                  </w14:solidFill>
                </w14:textFill>
              </w:rPr>
              <w:t>资源量</w:t>
            </w:r>
          </w:p>
          <w:p w14:paraId="1D167FE9">
            <w:pPr>
              <w:spacing w:line="240" w:lineRule="auto"/>
              <w:ind w:firstLine="0" w:firstLineChars="0"/>
              <w:jc w:val="center"/>
              <w:rPr>
                <w:bCs/>
                <w:snapToGrid w:val="0"/>
                <w:color w:val="000000" w:themeColor="text1"/>
                <w:kern w:val="0"/>
                <w:sz w:val="30"/>
                <w:szCs w:val="30"/>
                <w14:textFill>
                  <w14:solidFill>
                    <w14:schemeClr w14:val="tx1"/>
                  </w14:solidFill>
                </w14:textFill>
              </w:rPr>
            </w:pPr>
            <w:r>
              <w:rPr>
                <w:bCs/>
                <w:snapToGrid w:val="0"/>
                <w:color w:val="000000" w:themeColor="text1"/>
                <w:kern w:val="0"/>
                <w:sz w:val="30"/>
                <w:szCs w:val="30"/>
                <w14:textFill>
                  <w14:solidFill>
                    <w14:schemeClr w14:val="tx1"/>
                  </w14:solidFill>
                </w14:textFill>
              </w:rPr>
              <w:t>（亿m³）</w:t>
            </w:r>
          </w:p>
        </w:tc>
        <w:tc>
          <w:tcPr>
            <w:tcW w:w="1939" w:type="dxa"/>
            <w:vAlign w:val="center"/>
          </w:tcPr>
          <w:p w14:paraId="2CA9ACF3">
            <w:pPr>
              <w:spacing w:line="240" w:lineRule="auto"/>
              <w:ind w:firstLine="0" w:firstLineChars="0"/>
              <w:jc w:val="center"/>
              <w:rPr>
                <w:bCs/>
                <w:snapToGrid w:val="0"/>
                <w:color w:val="000000" w:themeColor="text1"/>
                <w:kern w:val="0"/>
                <w:sz w:val="30"/>
                <w:szCs w:val="30"/>
                <w14:textFill>
                  <w14:solidFill>
                    <w14:schemeClr w14:val="tx1"/>
                  </w14:solidFill>
                </w14:textFill>
              </w:rPr>
            </w:pPr>
            <w:r>
              <w:rPr>
                <w:bCs/>
                <w:snapToGrid w:val="0"/>
                <w:color w:val="000000" w:themeColor="text1"/>
                <w:kern w:val="0"/>
                <w:sz w:val="30"/>
                <w:szCs w:val="30"/>
                <w14:textFill>
                  <w14:solidFill>
                    <w14:schemeClr w14:val="tx1"/>
                  </w14:solidFill>
                </w14:textFill>
              </w:rPr>
              <w:t>地下水</w:t>
            </w:r>
          </w:p>
          <w:p w14:paraId="7AC4BA89">
            <w:pPr>
              <w:spacing w:line="240" w:lineRule="auto"/>
              <w:ind w:firstLine="0" w:firstLineChars="0"/>
              <w:jc w:val="center"/>
              <w:rPr>
                <w:bCs/>
                <w:snapToGrid w:val="0"/>
                <w:color w:val="000000" w:themeColor="text1"/>
                <w:kern w:val="0"/>
                <w:sz w:val="30"/>
                <w:szCs w:val="30"/>
                <w14:textFill>
                  <w14:solidFill>
                    <w14:schemeClr w14:val="tx1"/>
                  </w14:solidFill>
                </w14:textFill>
              </w:rPr>
            </w:pPr>
            <w:r>
              <w:rPr>
                <w:bCs/>
                <w:snapToGrid w:val="0"/>
                <w:color w:val="000000" w:themeColor="text1"/>
                <w:kern w:val="0"/>
                <w:sz w:val="30"/>
                <w:szCs w:val="30"/>
                <w14:textFill>
                  <w14:solidFill>
                    <w14:schemeClr w14:val="tx1"/>
                  </w14:solidFill>
                </w14:textFill>
              </w:rPr>
              <w:t>资源量</w:t>
            </w:r>
          </w:p>
          <w:p w14:paraId="641FEAA4">
            <w:pPr>
              <w:spacing w:line="240" w:lineRule="auto"/>
              <w:ind w:firstLine="0" w:firstLineChars="0"/>
              <w:jc w:val="center"/>
              <w:rPr>
                <w:bCs/>
                <w:snapToGrid w:val="0"/>
                <w:color w:val="000000" w:themeColor="text1"/>
                <w:kern w:val="0"/>
                <w:sz w:val="30"/>
                <w:szCs w:val="30"/>
                <w14:textFill>
                  <w14:solidFill>
                    <w14:schemeClr w14:val="tx1"/>
                  </w14:solidFill>
                </w14:textFill>
              </w:rPr>
            </w:pPr>
            <w:r>
              <w:rPr>
                <w:bCs/>
                <w:snapToGrid w:val="0"/>
                <w:color w:val="000000" w:themeColor="text1"/>
                <w:kern w:val="0"/>
                <w:sz w:val="30"/>
                <w:szCs w:val="30"/>
                <w14:textFill>
                  <w14:solidFill>
                    <w14:schemeClr w14:val="tx1"/>
                  </w14:solidFill>
                </w14:textFill>
              </w:rPr>
              <w:t>（亿m³）</w:t>
            </w:r>
          </w:p>
        </w:tc>
        <w:tc>
          <w:tcPr>
            <w:tcW w:w="1940" w:type="dxa"/>
            <w:vAlign w:val="center"/>
          </w:tcPr>
          <w:p w14:paraId="4F500AC5">
            <w:pPr>
              <w:spacing w:line="240" w:lineRule="auto"/>
              <w:ind w:firstLine="0" w:firstLineChars="0"/>
              <w:jc w:val="center"/>
              <w:rPr>
                <w:bCs/>
                <w:snapToGrid w:val="0"/>
                <w:color w:val="000000" w:themeColor="text1"/>
                <w:kern w:val="0"/>
                <w:sz w:val="30"/>
                <w:szCs w:val="30"/>
                <w14:textFill>
                  <w14:solidFill>
                    <w14:schemeClr w14:val="tx1"/>
                  </w14:solidFill>
                </w14:textFill>
              </w:rPr>
            </w:pPr>
            <w:r>
              <w:rPr>
                <w:bCs/>
                <w:snapToGrid w:val="0"/>
                <w:color w:val="000000" w:themeColor="text1"/>
                <w:kern w:val="0"/>
                <w:sz w:val="30"/>
                <w:szCs w:val="30"/>
                <w14:textFill>
                  <w14:solidFill>
                    <w14:schemeClr w14:val="tx1"/>
                  </w14:solidFill>
                </w14:textFill>
              </w:rPr>
              <w:t>重复</w:t>
            </w:r>
          </w:p>
          <w:p w14:paraId="66D4E749">
            <w:pPr>
              <w:spacing w:line="240" w:lineRule="auto"/>
              <w:ind w:firstLine="0" w:firstLineChars="0"/>
              <w:jc w:val="center"/>
              <w:rPr>
                <w:bCs/>
                <w:snapToGrid w:val="0"/>
                <w:color w:val="000000" w:themeColor="text1"/>
                <w:kern w:val="0"/>
                <w:sz w:val="30"/>
                <w:szCs w:val="30"/>
                <w14:textFill>
                  <w14:solidFill>
                    <w14:schemeClr w14:val="tx1"/>
                  </w14:solidFill>
                </w14:textFill>
              </w:rPr>
            </w:pPr>
            <w:r>
              <w:rPr>
                <w:bCs/>
                <w:snapToGrid w:val="0"/>
                <w:color w:val="000000" w:themeColor="text1"/>
                <w:kern w:val="0"/>
                <w:sz w:val="30"/>
                <w:szCs w:val="30"/>
                <w14:textFill>
                  <w14:solidFill>
                    <w14:schemeClr w14:val="tx1"/>
                  </w14:solidFill>
                </w14:textFill>
              </w:rPr>
              <w:t>计算量</w:t>
            </w:r>
          </w:p>
          <w:p w14:paraId="309DFA6F">
            <w:pPr>
              <w:spacing w:line="240" w:lineRule="auto"/>
              <w:ind w:firstLine="0" w:firstLineChars="0"/>
              <w:jc w:val="center"/>
              <w:rPr>
                <w:bCs/>
                <w:snapToGrid w:val="0"/>
                <w:color w:val="000000" w:themeColor="text1"/>
                <w:kern w:val="0"/>
                <w:sz w:val="30"/>
                <w:szCs w:val="30"/>
                <w14:textFill>
                  <w14:solidFill>
                    <w14:schemeClr w14:val="tx1"/>
                  </w14:solidFill>
                </w14:textFill>
              </w:rPr>
            </w:pPr>
            <w:r>
              <w:rPr>
                <w:bCs/>
                <w:snapToGrid w:val="0"/>
                <w:color w:val="000000" w:themeColor="text1"/>
                <w:kern w:val="0"/>
                <w:sz w:val="30"/>
                <w:szCs w:val="30"/>
                <w14:textFill>
                  <w14:solidFill>
                    <w14:schemeClr w14:val="tx1"/>
                  </w14:solidFill>
                </w14:textFill>
              </w:rPr>
              <w:t>（亿m³）</w:t>
            </w:r>
          </w:p>
        </w:tc>
        <w:tc>
          <w:tcPr>
            <w:tcW w:w="1938" w:type="dxa"/>
            <w:vAlign w:val="center"/>
          </w:tcPr>
          <w:p w14:paraId="209960B0">
            <w:pPr>
              <w:spacing w:line="240" w:lineRule="auto"/>
              <w:ind w:firstLine="0" w:firstLineChars="0"/>
              <w:jc w:val="center"/>
              <w:rPr>
                <w:bCs/>
                <w:snapToGrid w:val="0"/>
                <w:color w:val="000000" w:themeColor="text1"/>
                <w:kern w:val="0"/>
                <w:sz w:val="30"/>
                <w:szCs w:val="30"/>
                <w14:textFill>
                  <w14:solidFill>
                    <w14:schemeClr w14:val="tx1"/>
                  </w14:solidFill>
                </w14:textFill>
              </w:rPr>
            </w:pPr>
            <w:r>
              <w:rPr>
                <w:bCs/>
                <w:snapToGrid w:val="0"/>
                <w:color w:val="000000" w:themeColor="text1"/>
                <w:kern w:val="0"/>
                <w:sz w:val="30"/>
                <w:szCs w:val="30"/>
                <w14:textFill>
                  <w14:solidFill>
                    <w14:schemeClr w14:val="tx1"/>
                  </w14:solidFill>
                </w14:textFill>
              </w:rPr>
              <w:t>水资源</w:t>
            </w:r>
          </w:p>
          <w:p w14:paraId="7A5C26B4">
            <w:pPr>
              <w:spacing w:line="240" w:lineRule="auto"/>
              <w:ind w:firstLine="0" w:firstLineChars="0"/>
              <w:jc w:val="center"/>
              <w:rPr>
                <w:bCs/>
                <w:snapToGrid w:val="0"/>
                <w:color w:val="000000" w:themeColor="text1"/>
                <w:kern w:val="0"/>
                <w:sz w:val="30"/>
                <w:szCs w:val="30"/>
                <w14:textFill>
                  <w14:solidFill>
                    <w14:schemeClr w14:val="tx1"/>
                  </w14:solidFill>
                </w14:textFill>
              </w:rPr>
            </w:pPr>
            <w:r>
              <w:rPr>
                <w:bCs/>
                <w:snapToGrid w:val="0"/>
                <w:color w:val="000000" w:themeColor="text1"/>
                <w:kern w:val="0"/>
                <w:sz w:val="30"/>
                <w:szCs w:val="30"/>
                <w14:textFill>
                  <w14:solidFill>
                    <w14:schemeClr w14:val="tx1"/>
                  </w14:solidFill>
                </w14:textFill>
              </w:rPr>
              <w:t>总量</w:t>
            </w:r>
          </w:p>
          <w:p w14:paraId="66E8DD9B">
            <w:pPr>
              <w:spacing w:line="240" w:lineRule="auto"/>
              <w:ind w:firstLine="0" w:firstLineChars="0"/>
              <w:jc w:val="center"/>
              <w:rPr>
                <w:bCs/>
                <w:snapToGrid w:val="0"/>
                <w:color w:val="000000" w:themeColor="text1"/>
                <w:kern w:val="0"/>
                <w:sz w:val="30"/>
                <w:szCs w:val="30"/>
                <w14:textFill>
                  <w14:solidFill>
                    <w14:schemeClr w14:val="tx1"/>
                  </w14:solidFill>
                </w14:textFill>
              </w:rPr>
            </w:pPr>
            <w:r>
              <w:rPr>
                <w:bCs/>
                <w:snapToGrid w:val="0"/>
                <w:color w:val="000000" w:themeColor="text1"/>
                <w:kern w:val="0"/>
                <w:sz w:val="30"/>
                <w:szCs w:val="30"/>
                <w14:textFill>
                  <w14:solidFill>
                    <w14:schemeClr w14:val="tx1"/>
                  </w14:solidFill>
                </w14:textFill>
              </w:rPr>
              <w:t>（亿m³）</w:t>
            </w:r>
          </w:p>
        </w:tc>
      </w:tr>
      <w:tr w14:paraId="2B17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1" w:type="dxa"/>
            <w:vAlign w:val="center"/>
          </w:tcPr>
          <w:p w14:paraId="7264CF58">
            <w:pPr>
              <w:widowControl/>
              <w:spacing w:line="240" w:lineRule="auto"/>
              <w:ind w:firstLine="0" w:firstLineChars="0"/>
              <w:jc w:val="center"/>
              <w:rPr>
                <w:color w:val="000000" w:themeColor="text1"/>
                <w:kern w:val="0"/>
                <w:sz w:val="30"/>
                <w:szCs w:val="30"/>
                <w14:textFill>
                  <w14:solidFill>
                    <w14:schemeClr w14:val="tx1"/>
                  </w14:solidFill>
                </w14:textFill>
              </w:rPr>
            </w:pPr>
            <w:r>
              <w:rPr>
                <w:color w:val="000000" w:themeColor="text1"/>
                <w:kern w:val="0"/>
                <w:sz w:val="30"/>
                <w:szCs w:val="30"/>
                <w14:textFill>
                  <w14:solidFill>
                    <w14:schemeClr w14:val="tx1"/>
                  </w14:solidFill>
                </w14:textFill>
              </w:rPr>
              <w:t>易门县</w:t>
            </w:r>
          </w:p>
        </w:tc>
        <w:tc>
          <w:tcPr>
            <w:tcW w:w="1939" w:type="dxa"/>
            <w:vAlign w:val="center"/>
          </w:tcPr>
          <w:p w14:paraId="7B34B86E">
            <w:pPr>
              <w:spacing w:line="240" w:lineRule="auto"/>
              <w:ind w:firstLine="0" w:firstLineChars="0"/>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2.329</w:t>
            </w:r>
          </w:p>
        </w:tc>
        <w:tc>
          <w:tcPr>
            <w:tcW w:w="1939" w:type="dxa"/>
            <w:vAlign w:val="center"/>
          </w:tcPr>
          <w:p w14:paraId="0ED2B6E5">
            <w:pPr>
              <w:spacing w:line="240" w:lineRule="auto"/>
              <w:ind w:firstLine="0" w:firstLineChars="0"/>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0.8138</w:t>
            </w:r>
          </w:p>
        </w:tc>
        <w:tc>
          <w:tcPr>
            <w:tcW w:w="1940" w:type="dxa"/>
            <w:vAlign w:val="center"/>
          </w:tcPr>
          <w:p w14:paraId="203399A0">
            <w:pPr>
              <w:spacing w:line="240" w:lineRule="auto"/>
              <w:ind w:firstLine="0" w:firstLineChars="0"/>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0.8138</w:t>
            </w:r>
          </w:p>
        </w:tc>
        <w:tc>
          <w:tcPr>
            <w:tcW w:w="1938" w:type="dxa"/>
            <w:vAlign w:val="center"/>
          </w:tcPr>
          <w:p w14:paraId="6F5B5AE3">
            <w:pPr>
              <w:spacing w:line="240" w:lineRule="auto"/>
              <w:ind w:firstLine="0" w:firstLineChars="0"/>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2.329</w:t>
            </w:r>
          </w:p>
        </w:tc>
      </w:tr>
    </w:tbl>
    <w:p w14:paraId="6B7F73E6">
      <w:pPr>
        <w:pStyle w:val="76"/>
        <w:rPr>
          <w:color w:val="000000" w:themeColor="text1"/>
          <w14:textFill>
            <w14:solidFill>
              <w14:schemeClr w14:val="tx1"/>
            </w14:solidFill>
          </w14:textFill>
        </w:rPr>
      </w:pPr>
      <w:bookmarkStart w:id="17" w:name="_Toc493864435"/>
      <w:r>
        <w:rPr>
          <w:color w:val="000000" w:themeColor="text1"/>
          <w14:textFill>
            <w14:solidFill>
              <w14:schemeClr w14:val="tx1"/>
            </w14:solidFill>
          </w14:textFill>
        </w:rPr>
        <w:t>（2）供用水现状</w:t>
      </w:r>
      <w:bookmarkEnd w:id="17"/>
    </w:p>
    <w:p w14:paraId="198004D4">
      <w:pPr>
        <w:ind w:firstLine="640"/>
        <w:rPr>
          <w:color w:val="000000" w:themeColor="text1"/>
          <w14:textFill>
            <w14:solidFill>
              <w14:schemeClr w14:val="tx1"/>
            </w14:solidFill>
          </w14:textFill>
        </w:rPr>
      </w:pPr>
      <w:r>
        <w:rPr>
          <w:color w:val="000000" w:themeColor="text1"/>
          <w:szCs w:val="30"/>
          <w14:textFill>
            <w14:solidFill>
              <w14:schemeClr w14:val="tx1"/>
            </w14:solidFill>
          </w14:textFill>
        </w:rPr>
        <w:t>至2020年底，全县已建成中型水库2座、小（1）型水库10座、小（2）型水库62座、小塘坝133座、水池水窖6.3万个，引水工程617件，提水工程62件，年蓄水能力10545.92万m³，年可供水能力达1.2亿m³。现状供水主要以蓄水、引水和提水工程供水为主。</w:t>
      </w:r>
    </w:p>
    <w:p w14:paraId="16917699">
      <w:pPr>
        <w:pStyle w:val="76"/>
        <w:rPr>
          <w:color w:val="000000" w:themeColor="text1"/>
          <w14:textFill>
            <w14:solidFill>
              <w14:schemeClr w14:val="tx1"/>
            </w14:solidFill>
          </w14:textFill>
        </w:rPr>
      </w:pPr>
      <w:r>
        <w:rPr>
          <w:color w:val="000000" w:themeColor="text1"/>
          <w14:textFill>
            <w14:solidFill>
              <w14:schemeClr w14:val="tx1"/>
            </w14:solidFill>
          </w14:textFill>
        </w:rPr>
        <w:t>（3）水资源开发利用程度</w:t>
      </w:r>
    </w:p>
    <w:p w14:paraId="48C625C6">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各乡镇水资源条件和经济社会的差异，导致各地水资源开发利用程度不同，地形平缓、耕地连片、城镇化水平高、水资源条件相对较好的地区，水资源开发利用程度相对较高；高山峡谷区，人口分散，耕地零星分布，水低田高，供水成本与效益不相应，水资源开发利用较为困难的地区，水资源的开发利用程度较低。全县水资源总量为2.329</w:t>
      </w:r>
      <w:r>
        <w:rPr>
          <w:bCs/>
          <w:snapToGrid w:val="0"/>
          <w:color w:val="000000" w:themeColor="text1"/>
          <w:kern w:val="0"/>
          <w:sz w:val="30"/>
          <w:szCs w:val="30"/>
          <w14:textFill>
            <w14:solidFill>
              <w14:schemeClr w14:val="tx1"/>
            </w14:solidFill>
          </w14:textFill>
        </w:rPr>
        <w:t>亿m³，现在</w:t>
      </w:r>
      <w:r>
        <w:rPr>
          <w:color w:val="000000" w:themeColor="text1"/>
          <w:sz w:val="30"/>
          <w:szCs w:val="30"/>
          <w14:textFill>
            <w14:solidFill>
              <w14:schemeClr w14:val="tx1"/>
            </w14:solidFill>
          </w14:textFill>
        </w:rPr>
        <w:t>供水量为0.69亿</w:t>
      </w:r>
      <w:r>
        <w:rPr>
          <w:bCs/>
          <w:snapToGrid w:val="0"/>
          <w:color w:val="000000" w:themeColor="text1"/>
          <w:kern w:val="0"/>
          <w:sz w:val="30"/>
          <w:szCs w:val="30"/>
          <w14:textFill>
            <w14:solidFill>
              <w14:schemeClr w14:val="tx1"/>
            </w14:solidFill>
          </w14:textFill>
        </w:rPr>
        <w:t>m³，</w:t>
      </w:r>
      <w:r>
        <w:rPr>
          <w:color w:val="000000" w:themeColor="text1"/>
          <w:sz w:val="30"/>
          <w:szCs w:val="30"/>
          <w14:textFill>
            <w14:solidFill>
              <w14:schemeClr w14:val="tx1"/>
            </w14:solidFill>
          </w14:textFill>
        </w:rPr>
        <w:t>现状水资源开发利用率29.71%</w:t>
      </w:r>
    </w:p>
    <w:p w14:paraId="6056F130">
      <w:pPr>
        <w:pStyle w:val="51"/>
        <w:rPr>
          <w:color w:val="000000" w:themeColor="text1"/>
          <w14:textFill>
            <w14:solidFill>
              <w14:schemeClr w14:val="tx1"/>
            </w14:solidFill>
          </w14:textFill>
        </w:rPr>
      </w:pPr>
      <w:r>
        <w:rPr>
          <w:color w:val="000000" w:themeColor="text1"/>
          <w14:textFill>
            <w14:solidFill>
              <w14:schemeClr w14:val="tx1"/>
            </w14:solidFill>
          </w14:textFill>
        </w:rPr>
        <w:t>表1.1.3-2   多年平均水资源总量成果表</w:t>
      </w:r>
    </w:p>
    <w:tbl>
      <w:tblPr>
        <w:tblStyle w:val="24"/>
        <w:tblpPr w:leftFromText="181" w:rightFromText="181" w:bottomFromText="284" w:vertAnchor="text" w:tblpXSpec="center" w:tblpY="1"/>
        <w:tblOverlap w:val="never"/>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7"/>
        <w:gridCol w:w="2307"/>
        <w:gridCol w:w="2476"/>
        <w:gridCol w:w="3308"/>
      </w:tblGrid>
      <w:tr w14:paraId="44A6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217" w:type="dxa"/>
            <w:noWrap/>
            <w:vAlign w:val="center"/>
          </w:tcPr>
          <w:p w14:paraId="2E4E7860">
            <w:pPr>
              <w:spacing w:line="240" w:lineRule="auto"/>
              <w:ind w:firstLine="0" w:firstLineChars="0"/>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县区</w:t>
            </w:r>
          </w:p>
        </w:tc>
        <w:tc>
          <w:tcPr>
            <w:tcW w:w="2307" w:type="dxa"/>
            <w:vAlign w:val="center"/>
          </w:tcPr>
          <w:p w14:paraId="4EF00717">
            <w:pPr>
              <w:spacing w:line="240" w:lineRule="auto"/>
              <w:ind w:firstLine="0" w:firstLineChars="0"/>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水资源量（亿m³）</w:t>
            </w:r>
          </w:p>
        </w:tc>
        <w:tc>
          <w:tcPr>
            <w:tcW w:w="2476" w:type="dxa"/>
            <w:vAlign w:val="center"/>
          </w:tcPr>
          <w:p w14:paraId="6E8390B8">
            <w:pPr>
              <w:spacing w:line="240" w:lineRule="auto"/>
              <w:ind w:firstLine="0" w:firstLineChars="0"/>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现状供水量（亿m³）</w:t>
            </w:r>
          </w:p>
        </w:tc>
        <w:tc>
          <w:tcPr>
            <w:tcW w:w="3308" w:type="dxa"/>
            <w:vAlign w:val="center"/>
          </w:tcPr>
          <w:p w14:paraId="29B5A339">
            <w:pPr>
              <w:spacing w:line="240" w:lineRule="auto"/>
              <w:ind w:firstLine="0" w:firstLineChars="0"/>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现状水资源开发利用率</w:t>
            </w:r>
          </w:p>
        </w:tc>
      </w:tr>
      <w:tr w14:paraId="02B9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17" w:type="dxa"/>
            <w:vAlign w:val="center"/>
          </w:tcPr>
          <w:p w14:paraId="762D2CB2">
            <w:pPr>
              <w:spacing w:line="240" w:lineRule="auto"/>
              <w:ind w:firstLine="0" w:firstLineChars="0"/>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易门</w:t>
            </w:r>
          </w:p>
        </w:tc>
        <w:tc>
          <w:tcPr>
            <w:tcW w:w="2307" w:type="dxa"/>
            <w:vAlign w:val="center"/>
          </w:tcPr>
          <w:p w14:paraId="76366E4C">
            <w:pPr>
              <w:spacing w:line="240" w:lineRule="auto"/>
              <w:ind w:firstLine="0" w:firstLineChars="0"/>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2.329</w:t>
            </w:r>
          </w:p>
        </w:tc>
        <w:tc>
          <w:tcPr>
            <w:tcW w:w="2476" w:type="dxa"/>
            <w:vAlign w:val="center"/>
          </w:tcPr>
          <w:p w14:paraId="7C603A35">
            <w:pPr>
              <w:spacing w:line="240" w:lineRule="auto"/>
              <w:ind w:firstLine="0" w:firstLineChars="0"/>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 xml:space="preserve">0.69 </w:t>
            </w:r>
          </w:p>
        </w:tc>
        <w:tc>
          <w:tcPr>
            <w:tcW w:w="3308" w:type="dxa"/>
            <w:vAlign w:val="center"/>
          </w:tcPr>
          <w:p w14:paraId="4B6B99E2">
            <w:pPr>
              <w:spacing w:line="240" w:lineRule="auto"/>
              <w:ind w:firstLine="0" w:firstLineChars="0"/>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29.71%</w:t>
            </w:r>
          </w:p>
        </w:tc>
      </w:tr>
    </w:tbl>
    <w:p w14:paraId="0009B538">
      <w:pPr>
        <w:pStyle w:val="47"/>
        <w:rPr>
          <w:color w:val="000000" w:themeColor="text1"/>
          <w14:textFill>
            <w14:solidFill>
              <w14:schemeClr w14:val="tx1"/>
            </w14:solidFill>
          </w14:textFill>
        </w:rPr>
      </w:pPr>
      <w:bookmarkStart w:id="18" w:name="_Toc65250956"/>
      <w:bookmarkStart w:id="19" w:name="_Toc65225568"/>
      <w:bookmarkStart w:id="20" w:name="_Toc59732513"/>
      <w:bookmarkStart w:id="21" w:name="_Toc65251977"/>
      <w:bookmarkStart w:id="22" w:name="_Toc26587"/>
      <w:bookmarkStart w:id="23" w:name="_Toc18916"/>
      <w:bookmarkStart w:id="24" w:name="_Toc22325"/>
      <w:bookmarkStart w:id="25" w:name="_Toc29229"/>
      <w:r>
        <w:rPr>
          <w:color w:val="000000" w:themeColor="text1"/>
          <w14:textFill>
            <w14:solidFill>
              <w14:schemeClr w14:val="tx1"/>
            </w14:solidFill>
          </w14:textFill>
        </w:rPr>
        <w:t>水量供需平衡分析及评价</w:t>
      </w:r>
      <w:bookmarkEnd w:id="18"/>
      <w:bookmarkEnd w:id="19"/>
      <w:bookmarkEnd w:id="20"/>
      <w:bookmarkEnd w:id="21"/>
      <w:bookmarkEnd w:id="22"/>
    </w:p>
    <w:p w14:paraId="2E1CDC31">
      <w:pPr>
        <w:ind w:firstLine="640"/>
        <w:rPr>
          <w:color w:val="000000" w:themeColor="text1"/>
          <w14:textFill>
            <w14:solidFill>
              <w14:schemeClr w14:val="tx1"/>
            </w14:solidFill>
          </w14:textFill>
        </w:rPr>
      </w:pPr>
      <w:r>
        <w:rPr>
          <w:color w:val="000000" w:themeColor="text1"/>
          <w:szCs w:val="30"/>
          <w14:textFill>
            <w14:solidFill>
              <w14:schemeClr w14:val="tx1"/>
            </w14:solidFill>
          </w14:textFill>
        </w:rPr>
        <w:t>《易门县“十四五”水安全保障规划》</w:t>
      </w:r>
      <w:r>
        <w:rPr>
          <w:color w:val="000000" w:themeColor="text1"/>
          <w14:textFill>
            <w14:solidFill>
              <w14:schemeClr w14:val="tx1"/>
            </w14:solidFill>
          </w14:textFill>
        </w:rPr>
        <w:t>水量供需平衡分析拟采用《玉溪市水资源综合规划》水资源配置与评价结论。</w:t>
      </w:r>
    </w:p>
    <w:p w14:paraId="5B52B75F">
      <w:pPr>
        <w:pStyle w:val="76"/>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现状年水资源供需分析</w:t>
      </w:r>
    </w:p>
    <w:p w14:paraId="22EEF9A9">
      <w:pPr>
        <w:ind w:firstLine="640"/>
        <w:rPr>
          <w:color w:val="000000" w:themeColor="text1"/>
          <w14:textFill>
            <w14:solidFill>
              <w14:schemeClr w14:val="tx1"/>
            </w14:solidFill>
          </w14:textFill>
        </w:rPr>
      </w:pPr>
      <w:r>
        <w:rPr>
          <w:color w:val="000000" w:themeColor="text1"/>
          <w14:textFill>
            <w14:solidFill>
              <w14:schemeClr w14:val="tx1"/>
            </w14:solidFill>
          </w14:textFill>
        </w:rPr>
        <w:t>根据各个片区的现状工农业生产、城乡居民生活、生态环境需水量分析，以及水利工程可供水量成果，进行各个计算单元内1961～2017年长系列的现状水资源供需分析。</w:t>
      </w:r>
    </w:p>
    <w:p w14:paraId="41F408DB">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易门县基准年多年平均总需水9140万m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，多年平均总供水8714万m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，缺水率为4.65%。从供需调节计算结果来看，丰水年和平水年份水资源供需是基本平衡的，基本不缺水。但在枯水年份，开始缺水，P=75%来水频率下缺水率为3.04%。</w:t>
      </w:r>
    </w:p>
    <w:p w14:paraId="6C8F60E8">
      <w:pPr>
        <w:ind w:firstLine="640"/>
        <w:rPr>
          <w:color w:val="000000" w:themeColor="text1"/>
          <w14:textFill>
            <w14:solidFill>
              <w14:schemeClr w14:val="tx1"/>
            </w14:solidFill>
          </w14:textFill>
        </w:rPr>
      </w:pPr>
      <w:r>
        <w:rPr>
          <w:color w:val="000000" w:themeColor="text1"/>
          <w14:textFill>
            <w14:solidFill>
              <w14:schemeClr w14:val="tx1"/>
            </w14:solidFill>
          </w14:textFill>
        </w:rPr>
        <w:t>从用水部门上看，生活基本不缺水，工业缺水较少，能够满足供水保证率的要求，缺水的还是农业，特别是在75%枯水年份，农业用水保证率很低，缺水率在3.04%。</w:t>
      </w:r>
    </w:p>
    <w:p w14:paraId="5E4F644F">
      <w:pPr>
        <w:ind w:firstLine="640"/>
        <w:rPr>
          <w:color w:val="000000" w:themeColor="text1"/>
          <w14:textFill>
            <w14:solidFill>
              <w14:schemeClr w14:val="tx1"/>
            </w14:solidFill>
          </w14:textFill>
        </w:rPr>
      </w:pPr>
      <w:r>
        <w:rPr>
          <w:color w:val="000000" w:themeColor="text1"/>
          <w14:textFill>
            <w14:solidFill>
              <w14:schemeClr w14:val="tx1"/>
            </w14:solidFill>
          </w14:textFill>
        </w:rPr>
        <w:t>总体来说，在现状的供用水条件下，易门县的生活和工业用水保证率相对较高，基本能够满足用水要求，但农业用水的供水保证率相对较低，达不到75%的要求。其主要原因一是缺乏大型水库，供水保障能力低；二是水资源利用率低，用水浪费，特别是农业用水。因此，易门县水资源配置的方向是：一方面进行“开源”，大力修建、扩建蓄水工程和调水工程等，提高供水保障能力；另一方面进行“节流”，强化节水型社会建设，调整地区产业结构，压缩用水规模。</w:t>
      </w:r>
    </w:p>
    <w:p w14:paraId="23515199">
      <w:pPr>
        <w:pStyle w:val="8"/>
        <w:keepNext/>
        <w:ind w:firstLine="643"/>
        <w:rPr>
          <w:rFonts w:ascii="Times New Roman" w:hAnsi="Times New Roman" w:eastAsia="方正仿宋_GBK"/>
          <w:b/>
          <w:color w:val="000000" w:themeColor="text1"/>
          <w:sz w:val="32"/>
          <w:szCs w:val="32"/>
          <w14:textFill>
            <w14:solidFill>
              <w14:schemeClr w14:val="tx1"/>
            </w14:solidFill>
          </w14:textFill>
        </w:rPr>
        <w:sectPr>
          <w:headerReference r:id="rId11" w:type="default"/>
          <w:footerReference r:id="rId12" w:type="default"/>
          <w:pgSz w:w="11906" w:h="16838"/>
          <w:pgMar w:top="1871" w:right="1304" w:bottom="1418" w:left="1304" w:header="851" w:footer="850" w:gutter="0"/>
          <w:pgNumType w:fmt="numberInDash" w:start="1"/>
          <w:cols w:space="425" w:num="1"/>
          <w:docGrid w:linePitch="435" w:charSpace="0"/>
        </w:sectPr>
      </w:pPr>
    </w:p>
    <w:p w14:paraId="1CF36F34">
      <w:pPr>
        <w:pStyle w:val="51"/>
        <w:rPr>
          <w:color w:val="000000" w:themeColor="text1"/>
          <w14:textFill>
            <w14:solidFill>
              <w14:schemeClr w14:val="tx1"/>
            </w14:solidFill>
          </w14:textFill>
        </w:rPr>
      </w:pPr>
      <w:r>
        <w:rPr>
          <w:color w:val="000000" w:themeColor="text1"/>
          <w14:textFill>
            <w14:solidFill>
              <w14:schemeClr w14:val="tx1"/>
            </w14:solidFill>
          </w14:textFill>
        </w:rPr>
        <w:t>表1.1.4-1        基准年水资源供需平衡分析成果表                   单位：万m³</w:t>
      </w:r>
    </w:p>
    <w:tbl>
      <w:tblPr>
        <w:tblStyle w:val="24"/>
        <w:tblW w:w="14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2"/>
        <w:gridCol w:w="973"/>
        <w:gridCol w:w="677"/>
        <w:gridCol w:w="752"/>
        <w:gridCol w:w="752"/>
        <w:gridCol w:w="677"/>
        <w:gridCol w:w="823"/>
        <w:gridCol w:w="752"/>
        <w:gridCol w:w="823"/>
        <w:gridCol w:w="823"/>
        <w:gridCol w:w="677"/>
        <w:gridCol w:w="677"/>
        <w:gridCol w:w="752"/>
        <w:gridCol w:w="677"/>
        <w:gridCol w:w="677"/>
        <w:gridCol w:w="752"/>
        <w:gridCol w:w="677"/>
        <w:gridCol w:w="752"/>
        <w:gridCol w:w="829"/>
      </w:tblGrid>
      <w:tr w14:paraId="68DA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blHeader/>
        </w:trPr>
        <w:tc>
          <w:tcPr>
            <w:tcW w:w="822" w:type="dxa"/>
            <w:vMerge w:val="restart"/>
            <w:vAlign w:val="center"/>
          </w:tcPr>
          <w:p w14:paraId="390847A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县区</w:t>
            </w:r>
          </w:p>
        </w:tc>
        <w:tc>
          <w:tcPr>
            <w:tcW w:w="973" w:type="dxa"/>
            <w:vMerge w:val="restart"/>
            <w:noWrap/>
            <w:vAlign w:val="center"/>
          </w:tcPr>
          <w:p w14:paraId="15AFFE9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频率</w:t>
            </w:r>
          </w:p>
        </w:tc>
        <w:tc>
          <w:tcPr>
            <w:tcW w:w="3681" w:type="dxa"/>
            <w:gridSpan w:val="5"/>
            <w:noWrap/>
            <w:vAlign w:val="center"/>
          </w:tcPr>
          <w:p w14:paraId="36D5112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需水量</w:t>
            </w:r>
          </w:p>
        </w:tc>
        <w:tc>
          <w:tcPr>
            <w:tcW w:w="4504" w:type="dxa"/>
            <w:gridSpan w:val="6"/>
            <w:noWrap/>
            <w:vAlign w:val="center"/>
          </w:tcPr>
          <w:p w14:paraId="7371BA4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可供水量</w:t>
            </w:r>
          </w:p>
        </w:tc>
        <w:tc>
          <w:tcPr>
            <w:tcW w:w="3535" w:type="dxa"/>
            <w:gridSpan w:val="5"/>
            <w:noWrap/>
            <w:vAlign w:val="center"/>
          </w:tcPr>
          <w:p w14:paraId="6D9308E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w:t>
            </w:r>
          </w:p>
        </w:tc>
        <w:tc>
          <w:tcPr>
            <w:tcW w:w="829" w:type="dxa"/>
            <w:vMerge w:val="restart"/>
            <w:noWrap/>
            <w:vAlign w:val="center"/>
          </w:tcPr>
          <w:p w14:paraId="554F5FB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缺水率</w:t>
            </w:r>
          </w:p>
        </w:tc>
      </w:tr>
      <w:tr w14:paraId="6841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blHeader/>
        </w:trPr>
        <w:tc>
          <w:tcPr>
            <w:tcW w:w="822" w:type="dxa"/>
            <w:vMerge w:val="continue"/>
            <w:vAlign w:val="center"/>
          </w:tcPr>
          <w:p w14:paraId="63389409">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973" w:type="dxa"/>
            <w:vMerge w:val="continue"/>
            <w:vAlign w:val="center"/>
          </w:tcPr>
          <w:p w14:paraId="31501D54">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677" w:type="dxa"/>
            <w:noWrap/>
            <w:vAlign w:val="center"/>
          </w:tcPr>
          <w:p w14:paraId="60A9846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752" w:type="dxa"/>
            <w:noWrap/>
            <w:vAlign w:val="center"/>
          </w:tcPr>
          <w:p w14:paraId="653732F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752" w:type="dxa"/>
            <w:noWrap/>
            <w:vAlign w:val="center"/>
          </w:tcPr>
          <w:p w14:paraId="28126FB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77" w:type="dxa"/>
            <w:noWrap/>
            <w:vAlign w:val="center"/>
          </w:tcPr>
          <w:p w14:paraId="681F61B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823" w:type="dxa"/>
            <w:noWrap/>
            <w:vAlign w:val="center"/>
          </w:tcPr>
          <w:p w14:paraId="6B06162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752" w:type="dxa"/>
            <w:noWrap/>
            <w:vAlign w:val="center"/>
          </w:tcPr>
          <w:p w14:paraId="07F80A8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蓄水</w:t>
            </w:r>
          </w:p>
        </w:tc>
        <w:tc>
          <w:tcPr>
            <w:tcW w:w="823" w:type="dxa"/>
            <w:noWrap/>
            <w:vAlign w:val="center"/>
          </w:tcPr>
          <w:p w14:paraId="13856FE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引提水</w:t>
            </w:r>
          </w:p>
        </w:tc>
        <w:tc>
          <w:tcPr>
            <w:tcW w:w="823" w:type="dxa"/>
            <w:noWrap/>
            <w:vAlign w:val="center"/>
          </w:tcPr>
          <w:p w14:paraId="02D8D1B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地下水</w:t>
            </w:r>
          </w:p>
        </w:tc>
        <w:tc>
          <w:tcPr>
            <w:tcW w:w="677" w:type="dxa"/>
            <w:noWrap/>
            <w:vAlign w:val="center"/>
          </w:tcPr>
          <w:p w14:paraId="4452A40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调水</w:t>
            </w:r>
          </w:p>
        </w:tc>
        <w:tc>
          <w:tcPr>
            <w:tcW w:w="677" w:type="dxa"/>
            <w:noWrap/>
            <w:vAlign w:val="center"/>
          </w:tcPr>
          <w:p w14:paraId="1366075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其他</w:t>
            </w:r>
          </w:p>
        </w:tc>
        <w:tc>
          <w:tcPr>
            <w:tcW w:w="752" w:type="dxa"/>
            <w:noWrap/>
            <w:vAlign w:val="center"/>
          </w:tcPr>
          <w:p w14:paraId="224E008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677" w:type="dxa"/>
            <w:noWrap/>
            <w:vAlign w:val="center"/>
          </w:tcPr>
          <w:p w14:paraId="16C65A1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677" w:type="dxa"/>
            <w:noWrap/>
            <w:vAlign w:val="center"/>
          </w:tcPr>
          <w:p w14:paraId="262DD1D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752" w:type="dxa"/>
            <w:noWrap/>
            <w:vAlign w:val="center"/>
          </w:tcPr>
          <w:p w14:paraId="442CA1F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77" w:type="dxa"/>
            <w:noWrap/>
            <w:vAlign w:val="center"/>
          </w:tcPr>
          <w:p w14:paraId="1D211D7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752" w:type="dxa"/>
            <w:noWrap/>
            <w:vAlign w:val="center"/>
          </w:tcPr>
          <w:p w14:paraId="1BB5C5D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829" w:type="dxa"/>
            <w:vMerge w:val="continue"/>
            <w:vAlign w:val="center"/>
          </w:tcPr>
          <w:p w14:paraId="10865A70">
            <w:pPr>
              <w:widowControl/>
              <w:spacing w:line="240" w:lineRule="auto"/>
              <w:ind w:firstLine="0" w:firstLineChars="0"/>
              <w:jc w:val="center"/>
              <w:rPr>
                <w:color w:val="000000" w:themeColor="text1"/>
                <w:kern w:val="0"/>
                <w:sz w:val="20"/>
                <w:szCs w:val="20"/>
                <w14:textFill>
                  <w14:solidFill>
                    <w14:schemeClr w14:val="tx1"/>
                  </w14:solidFill>
                </w14:textFill>
              </w:rPr>
            </w:pPr>
          </w:p>
        </w:tc>
      </w:tr>
      <w:tr w14:paraId="7716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822" w:type="dxa"/>
            <w:noWrap/>
            <w:vAlign w:val="center"/>
          </w:tcPr>
          <w:p w14:paraId="0952C66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w:t>
            </w:r>
          </w:p>
        </w:tc>
        <w:tc>
          <w:tcPr>
            <w:tcW w:w="973" w:type="dxa"/>
            <w:noWrap/>
            <w:vAlign w:val="center"/>
          </w:tcPr>
          <w:p w14:paraId="0EC8DC9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50%</w:t>
            </w:r>
          </w:p>
        </w:tc>
        <w:tc>
          <w:tcPr>
            <w:tcW w:w="677" w:type="dxa"/>
            <w:noWrap/>
            <w:vAlign w:val="center"/>
          </w:tcPr>
          <w:p w14:paraId="467DF7E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639</w:t>
            </w:r>
          </w:p>
        </w:tc>
        <w:tc>
          <w:tcPr>
            <w:tcW w:w="752" w:type="dxa"/>
            <w:noWrap/>
            <w:vAlign w:val="center"/>
          </w:tcPr>
          <w:p w14:paraId="70B0DD8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2097</w:t>
            </w:r>
          </w:p>
        </w:tc>
        <w:tc>
          <w:tcPr>
            <w:tcW w:w="752" w:type="dxa"/>
            <w:noWrap/>
            <w:vAlign w:val="center"/>
          </w:tcPr>
          <w:p w14:paraId="00F2C88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6122</w:t>
            </w:r>
          </w:p>
        </w:tc>
        <w:tc>
          <w:tcPr>
            <w:tcW w:w="677" w:type="dxa"/>
            <w:noWrap/>
            <w:vAlign w:val="center"/>
          </w:tcPr>
          <w:p w14:paraId="323C484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29</w:t>
            </w:r>
          </w:p>
        </w:tc>
        <w:tc>
          <w:tcPr>
            <w:tcW w:w="823" w:type="dxa"/>
            <w:noWrap/>
            <w:vAlign w:val="center"/>
          </w:tcPr>
          <w:p w14:paraId="7C4558A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8887</w:t>
            </w:r>
          </w:p>
        </w:tc>
        <w:tc>
          <w:tcPr>
            <w:tcW w:w="752" w:type="dxa"/>
            <w:noWrap/>
            <w:vAlign w:val="center"/>
          </w:tcPr>
          <w:p w14:paraId="7C53B4F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6284</w:t>
            </w:r>
          </w:p>
        </w:tc>
        <w:tc>
          <w:tcPr>
            <w:tcW w:w="823" w:type="dxa"/>
            <w:noWrap/>
            <w:vAlign w:val="center"/>
          </w:tcPr>
          <w:p w14:paraId="53CD9C2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2323</w:t>
            </w:r>
          </w:p>
        </w:tc>
        <w:tc>
          <w:tcPr>
            <w:tcW w:w="823" w:type="dxa"/>
            <w:noWrap/>
            <w:vAlign w:val="center"/>
          </w:tcPr>
          <w:p w14:paraId="2AD6FA0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677" w:type="dxa"/>
            <w:noWrap/>
            <w:vAlign w:val="center"/>
          </w:tcPr>
          <w:p w14:paraId="0A8F30B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77" w:type="dxa"/>
            <w:noWrap/>
            <w:vAlign w:val="center"/>
          </w:tcPr>
          <w:p w14:paraId="1FB815C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270</w:t>
            </w:r>
          </w:p>
        </w:tc>
        <w:tc>
          <w:tcPr>
            <w:tcW w:w="752" w:type="dxa"/>
            <w:noWrap/>
            <w:vAlign w:val="center"/>
          </w:tcPr>
          <w:p w14:paraId="495E151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8887</w:t>
            </w:r>
          </w:p>
        </w:tc>
        <w:tc>
          <w:tcPr>
            <w:tcW w:w="677" w:type="dxa"/>
            <w:noWrap/>
            <w:vAlign w:val="center"/>
          </w:tcPr>
          <w:p w14:paraId="2A0F03E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77" w:type="dxa"/>
            <w:noWrap/>
            <w:vAlign w:val="center"/>
          </w:tcPr>
          <w:p w14:paraId="0F5B965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52" w:type="dxa"/>
            <w:noWrap/>
            <w:vAlign w:val="center"/>
          </w:tcPr>
          <w:p w14:paraId="6160F54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77" w:type="dxa"/>
            <w:noWrap/>
            <w:vAlign w:val="center"/>
          </w:tcPr>
          <w:p w14:paraId="1324A59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52" w:type="dxa"/>
            <w:noWrap/>
            <w:vAlign w:val="center"/>
          </w:tcPr>
          <w:p w14:paraId="577BBD8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829" w:type="dxa"/>
            <w:noWrap/>
            <w:vAlign w:val="center"/>
          </w:tcPr>
          <w:p w14:paraId="7171F64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0.00%</w:t>
            </w:r>
          </w:p>
        </w:tc>
      </w:tr>
      <w:tr w14:paraId="29C6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822" w:type="dxa"/>
            <w:noWrap/>
            <w:vAlign w:val="center"/>
          </w:tcPr>
          <w:p w14:paraId="5FB75F1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w:t>
            </w:r>
          </w:p>
        </w:tc>
        <w:tc>
          <w:tcPr>
            <w:tcW w:w="973" w:type="dxa"/>
            <w:noWrap/>
            <w:vAlign w:val="center"/>
          </w:tcPr>
          <w:p w14:paraId="6F55EAB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75%</w:t>
            </w:r>
          </w:p>
        </w:tc>
        <w:tc>
          <w:tcPr>
            <w:tcW w:w="677" w:type="dxa"/>
            <w:noWrap/>
            <w:vAlign w:val="center"/>
          </w:tcPr>
          <w:p w14:paraId="616D28D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639</w:t>
            </w:r>
          </w:p>
        </w:tc>
        <w:tc>
          <w:tcPr>
            <w:tcW w:w="752" w:type="dxa"/>
            <w:noWrap/>
            <w:vAlign w:val="center"/>
          </w:tcPr>
          <w:p w14:paraId="4AB3BD0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2097</w:t>
            </w:r>
          </w:p>
        </w:tc>
        <w:tc>
          <w:tcPr>
            <w:tcW w:w="752" w:type="dxa"/>
            <w:noWrap/>
            <w:vAlign w:val="center"/>
          </w:tcPr>
          <w:p w14:paraId="0527FAC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6743</w:t>
            </w:r>
          </w:p>
        </w:tc>
        <w:tc>
          <w:tcPr>
            <w:tcW w:w="677" w:type="dxa"/>
            <w:noWrap/>
            <w:vAlign w:val="center"/>
          </w:tcPr>
          <w:p w14:paraId="0EB2B32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29</w:t>
            </w:r>
          </w:p>
        </w:tc>
        <w:tc>
          <w:tcPr>
            <w:tcW w:w="823" w:type="dxa"/>
            <w:noWrap/>
            <w:vAlign w:val="center"/>
          </w:tcPr>
          <w:p w14:paraId="3A535C2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9508</w:t>
            </w:r>
          </w:p>
        </w:tc>
        <w:tc>
          <w:tcPr>
            <w:tcW w:w="752" w:type="dxa"/>
            <w:noWrap/>
            <w:vAlign w:val="center"/>
          </w:tcPr>
          <w:p w14:paraId="71A1539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6623</w:t>
            </w:r>
          </w:p>
        </w:tc>
        <w:tc>
          <w:tcPr>
            <w:tcW w:w="823" w:type="dxa"/>
            <w:noWrap/>
            <w:vAlign w:val="center"/>
          </w:tcPr>
          <w:p w14:paraId="758D767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2315</w:t>
            </w:r>
          </w:p>
        </w:tc>
        <w:tc>
          <w:tcPr>
            <w:tcW w:w="823" w:type="dxa"/>
            <w:noWrap/>
            <w:vAlign w:val="center"/>
          </w:tcPr>
          <w:p w14:paraId="427ECDC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677" w:type="dxa"/>
            <w:noWrap/>
            <w:vAlign w:val="center"/>
          </w:tcPr>
          <w:p w14:paraId="53FEA55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77" w:type="dxa"/>
            <w:noWrap/>
            <w:vAlign w:val="center"/>
          </w:tcPr>
          <w:p w14:paraId="6689E91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270</w:t>
            </w:r>
          </w:p>
        </w:tc>
        <w:tc>
          <w:tcPr>
            <w:tcW w:w="752" w:type="dxa"/>
            <w:noWrap/>
            <w:vAlign w:val="center"/>
          </w:tcPr>
          <w:p w14:paraId="76B14D3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9219</w:t>
            </w:r>
          </w:p>
        </w:tc>
        <w:tc>
          <w:tcPr>
            <w:tcW w:w="677" w:type="dxa"/>
            <w:noWrap/>
            <w:vAlign w:val="center"/>
          </w:tcPr>
          <w:p w14:paraId="2D19C8E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77" w:type="dxa"/>
            <w:noWrap/>
            <w:vAlign w:val="center"/>
          </w:tcPr>
          <w:p w14:paraId="55074E8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52" w:type="dxa"/>
            <w:noWrap/>
            <w:vAlign w:val="center"/>
          </w:tcPr>
          <w:p w14:paraId="3D419DF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290</w:t>
            </w:r>
          </w:p>
        </w:tc>
        <w:tc>
          <w:tcPr>
            <w:tcW w:w="677" w:type="dxa"/>
            <w:noWrap/>
            <w:vAlign w:val="center"/>
          </w:tcPr>
          <w:p w14:paraId="74A5B63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52" w:type="dxa"/>
            <w:noWrap/>
            <w:vAlign w:val="center"/>
          </w:tcPr>
          <w:p w14:paraId="389FFF6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290</w:t>
            </w:r>
          </w:p>
        </w:tc>
        <w:tc>
          <w:tcPr>
            <w:tcW w:w="829" w:type="dxa"/>
            <w:noWrap/>
            <w:vAlign w:val="center"/>
          </w:tcPr>
          <w:p w14:paraId="6C66B33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3.04%</w:t>
            </w:r>
          </w:p>
        </w:tc>
      </w:tr>
      <w:tr w14:paraId="6CFF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822" w:type="dxa"/>
            <w:noWrap/>
            <w:vAlign w:val="center"/>
          </w:tcPr>
          <w:p w14:paraId="5FBA03F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w:t>
            </w:r>
          </w:p>
        </w:tc>
        <w:tc>
          <w:tcPr>
            <w:tcW w:w="973" w:type="dxa"/>
            <w:noWrap/>
            <w:vAlign w:val="center"/>
          </w:tcPr>
          <w:p w14:paraId="33DCB8F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95%</w:t>
            </w:r>
          </w:p>
        </w:tc>
        <w:tc>
          <w:tcPr>
            <w:tcW w:w="677" w:type="dxa"/>
            <w:noWrap/>
            <w:vAlign w:val="center"/>
          </w:tcPr>
          <w:p w14:paraId="212C0D7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639</w:t>
            </w:r>
          </w:p>
        </w:tc>
        <w:tc>
          <w:tcPr>
            <w:tcW w:w="752" w:type="dxa"/>
            <w:noWrap/>
            <w:vAlign w:val="center"/>
          </w:tcPr>
          <w:p w14:paraId="3B26F01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2097</w:t>
            </w:r>
          </w:p>
        </w:tc>
        <w:tc>
          <w:tcPr>
            <w:tcW w:w="752" w:type="dxa"/>
            <w:noWrap/>
            <w:vAlign w:val="center"/>
          </w:tcPr>
          <w:p w14:paraId="7219656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7881</w:t>
            </w:r>
          </w:p>
        </w:tc>
        <w:tc>
          <w:tcPr>
            <w:tcW w:w="677" w:type="dxa"/>
            <w:noWrap/>
            <w:vAlign w:val="center"/>
          </w:tcPr>
          <w:p w14:paraId="070D27E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29</w:t>
            </w:r>
          </w:p>
        </w:tc>
        <w:tc>
          <w:tcPr>
            <w:tcW w:w="823" w:type="dxa"/>
            <w:noWrap/>
            <w:vAlign w:val="center"/>
          </w:tcPr>
          <w:p w14:paraId="4F74292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10646</w:t>
            </w:r>
          </w:p>
        </w:tc>
        <w:tc>
          <w:tcPr>
            <w:tcW w:w="752" w:type="dxa"/>
            <w:noWrap/>
            <w:vAlign w:val="center"/>
          </w:tcPr>
          <w:p w14:paraId="29131A8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6011</w:t>
            </w:r>
          </w:p>
        </w:tc>
        <w:tc>
          <w:tcPr>
            <w:tcW w:w="823" w:type="dxa"/>
            <w:noWrap/>
            <w:vAlign w:val="center"/>
          </w:tcPr>
          <w:p w14:paraId="7E297C2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2096</w:t>
            </w:r>
          </w:p>
        </w:tc>
        <w:tc>
          <w:tcPr>
            <w:tcW w:w="823" w:type="dxa"/>
            <w:noWrap/>
            <w:vAlign w:val="center"/>
          </w:tcPr>
          <w:p w14:paraId="236A072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677" w:type="dxa"/>
            <w:noWrap/>
            <w:vAlign w:val="center"/>
          </w:tcPr>
          <w:p w14:paraId="515257D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77" w:type="dxa"/>
            <w:noWrap/>
            <w:vAlign w:val="center"/>
          </w:tcPr>
          <w:p w14:paraId="7D70D4B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270</w:t>
            </w:r>
          </w:p>
        </w:tc>
        <w:tc>
          <w:tcPr>
            <w:tcW w:w="752" w:type="dxa"/>
            <w:noWrap/>
            <w:vAlign w:val="center"/>
          </w:tcPr>
          <w:p w14:paraId="2C80425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8387</w:t>
            </w:r>
          </w:p>
        </w:tc>
        <w:tc>
          <w:tcPr>
            <w:tcW w:w="677" w:type="dxa"/>
            <w:noWrap/>
            <w:vAlign w:val="center"/>
          </w:tcPr>
          <w:p w14:paraId="568C576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677" w:type="dxa"/>
            <w:noWrap/>
            <w:vAlign w:val="center"/>
          </w:tcPr>
          <w:p w14:paraId="2CD1DA1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68</w:t>
            </w:r>
          </w:p>
        </w:tc>
        <w:tc>
          <w:tcPr>
            <w:tcW w:w="752" w:type="dxa"/>
            <w:noWrap/>
            <w:vAlign w:val="center"/>
          </w:tcPr>
          <w:p w14:paraId="1E10E46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2181</w:t>
            </w:r>
          </w:p>
        </w:tc>
        <w:tc>
          <w:tcPr>
            <w:tcW w:w="677" w:type="dxa"/>
            <w:noWrap/>
            <w:vAlign w:val="center"/>
          </w:tcPr>
          <w:p w14:paraId="279D2A0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52" w:type="dxa"/>
            <w:noWrap/>
            <w:vAlign w:val="center"/>
          </w:tcPr>
          <w:p w14:paraId="331DF0C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2259</w:t>
            </w:r>
          </w:p>
        </w:tc>
        <w:tc>
          <w:tcPr>
            <w:tcW w:w="829" w:type="dxa"/>
            <w:noWrap/>
            <w:vAlign w:val="center"/>
          </w:tcPr>
          <w:p w14:paraId="1A2FBDE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21.22%</w:t>
            </w:r>
          </w:p>
        </w:tc>
      </w:tr>
      <w:tr w14:paraId="0DDE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822" w:type="dxa"/>
            <w:noWrap/>
            <w:vAlign w:val="center"/>
          </w:tcPr>
          <w:p w14:paraId="12186BD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w:t>
            </w:r>
          </w:p>
        </w:tc>
        <w:tc>
          <w:tcPr>
            <w:tcW w:w="973" w:type="dxa"/>
            <w:noWrap/>
            <w:vAlign w:val="center"/>
          </w:tcPr>
          <w:p w14:paraId="6BDD6DE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多年平均</w:t>
            </w:r>
          </w:p>
        </w:tc>
        <w:tc>
          <w:tcPr>
            <w:tcW w:w="677" w:type="dxa"/>
            <w:noWrap/>
            <w:vAlign w:val="center"/>
          </w:tcPr>
          <w:p w14:paraId="600EEF7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639</w:t>
            </w:r>
          </w:p>
        </w:tc>
        <w:tc>
          <w:tcPr>
            <w:tcW w:w="752" w:type="dxa"/>
            <w:noWrap/>
            <w:vAlign w:val="center"/>
          </w:tcPr>
          <w:p w14:paraId="0D342DC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2097</w:t>
            </w:r>
          </w:p>
        </w:tc>
        <w:tc>
          <w:tcPr>
            <w:tcW w:w="752" w:type="dxa"/>
            <w:noWrap/>
            <w:vAlign w:val="center"/>
          </w:tcPr>
          <w:p w14:paraId="62767D3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6374</w:t>
            </w:r>
          </w:p>
        </w:tc>
        <w:tc>
          <w:tcPr>
            <w:tcW w:w="677" w:type="dxa"/>
            <w:noWrap/>
            <w:vAlign w:val="center"/>
          </w:tcPr>
          <w:p w14:paraId="37C2FA3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29</w:t>
            </w:r>
          </w:p>
        </w:tc>
        <w:tc>
          <w:tcPr>
            <w:tcW w:w="823" w:type="dxa"/>
            <w:noWrap/>
            <w:vAlign w:val="center"/>
          </w:tcPr>
          <w:p w14:paraId="29713BF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9140</w:t>
            </w:r>
          </w:p>
        </w:tc>
        <w:tc>
          <w:tcPr>
            <w:tcW w:w="752" w:type="dxa"/>
            <w:noWrap/>
            <w:vAlign w:val="center"/>
          </w:tcPr>
          <w:p w14:paraId="387EDA0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6169</w:t>
            </w:r>
          </w:p>
        </w:tc>
        <w:tc>
          <w:tcPr>
            <w:tcW w:w="823" w:type="dxa"/>
            <w:noWrap/>
            <w:vAlign w:val="center"/>
          </w:tcPr>
          <w:p w14:paraId="0F8A52D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2265</w:t>
            </w:r>
          </w:p>
        </w:tc>
        <w:tc>
          <w:tcPr>
            <w:tcW w:w="823" w:type="dxa"/>
            <w:noWrap/>
            <w:vAlign w:val="center"/>
          </w:tcPr>
          <w:p w14:paraId="3A6832F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677" w:type="dxa"/>
            <w:noWrap/>
            <w:vAlign w:val="center"/>
          </w:tcPr>
          <w:p w14:paraId="48962DB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77" w:type="dxa"/>
            <w:noWrap/>
            <w:vAlign w:val="center"/>
          </w:tcPr>
          <w:p w14:paraId="069EBF1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270</w:t>
            </w:r>
          </w:p>
        </w:tc>
        <w:tc>
          <w:tcPr>
            <w:tcW w:w="752" w:type="dxa"/>
            <w:noWrap/>
            <w:vAlign w:val="center"/>
          </w:tcPr>
          <w:p w14:paraId="3E66F10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8714</w:t>
            </w:r>
          </w:p>
        </w:tc>
        <w:tc>
          <w:tcPr>
            <w:tcW w:w="677" w:type="dxa"/>
            <w:noWrap/>
            <w:vAlign w:val="center"/>
          </w:tcPr>
          <w:p w14:paraId="3AEECA5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677" w:type="dxa"/>
            <w:noWrap/>
            <w:vAlign w:val="center"/>
          </w:tcPr>
          <w:p w14:paraId="782E970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w:t>
            </w:r>
          </w:p>
        </w:tc>
        <w:tc>
          <w:tcPr>
            <w:tcW w:w="752" w:type="dxa"/>
            <w:noWrap/>
            <w:vAlign w:val="center"/>
          </w:tcPr>
          <w:p w14:paraId="483FC99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421</w:t>
            </w:r>
          </w:p>
        </w:tc>
        <w:tc>
          <w:tcPr>
            <w:tcW w:w="677" w:type="dxa"/>
            <w:noWrap/>
            <w:vAlign w:val="center"/>
          </w:tcPr>
          <w:p w14:paraId="0005105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52" w:type="dxa"/>
            <w:noWrap/>
            <w:vAlign w:val="center"/>
          </w:tcPr>
          <w:p w14:paraId="2E0A4B4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425</w:t>
            </w:r>
          </w:p>
        </w:tc>
        <w:tc>
          <w:tcPr>
            <w:tcW w:w="829" w:type="dxa"/>
            <w:noWrap/>
            <w:vAlign w:val="center"/>
          </w:tcPr>
          <w:p w14:paraId="413F4C6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4.65%</w:t>
            </w:r>
          </w:p>
        </w:tc>
      </w:tr>
    </w:tbl>
    <w:p w14:paraId="362D7444">
      <w:pPr>
        <w:ind w:firstLine="640"/>
        <w:rPr>
          <w:color w:val="000000" w:themeColor="text1"/>
          <w14:textFill>
            <w14:solidFill>
              <w14:schemeClr w14:val="tx1"/>
            </w14:solidFill>
          </w14:textFill>
        </w:rPr>
        <w:sectPr>
          <w:pgSz w:w="16838" w:h="11906" w:orient="landscape"/>
          <w:pgMar w:top="1871" w:right="1304" w:bottom="1418" w:left="1304" w:header="851" w:footer="992" w:gutter="0"/>
          <w:pgNumType w:fmt="numberInDash"/>
          <w:cols w:space="425" w:num="1"/>
          <w:docGrid w:linePitch="312" w:charSpace="0"/>
        </w:sectPr>
      </w:pPr>
    </w:p>
    <w:p w14:paraId="56C9729B">
      <w:pPr>
        <w:pStyle w:val="76"/>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配置方案</w:t>
      </w:r>
    </w:p>
    <w:p w14:paraId="53EFE2E7">
      <w:pPr>
        <w:ind w:firstLine="640"/>
        <w:rPr>
          <w:color w:val="000000" w:themeColor="text1"/>
          <w14:textFill>
            <w14:solidFill>
              <w14:schemeClr w14:val="tx1"/>
            </w14:solidFill>
          </w14:textFill>
        </w:rPr>
      </w:pPr>
      <w:r>
        <w:rPr>
          <w:color w:val="000000" w:themeColor="text1"/>
          <w14:textFill>
            <w14:solidFill>
              <w14:schemeClr w14:val="tx1"/>
            </w14:solidFill>
          </w14:textFill>
        </w:rPr>
        <w:t>配置方案的确定主要以需水方案、供水方案为基础，结合玉溪市水资源开发利用的实际情况组合而成。需水方案主要考虑经济社会发展指标和需水定额，同时考虑河道内生态需水要求相应的最小流量和河道外城市绿地的生态用水要求等。</w:t>
      </w:r>
    </w:p>
    <w:p w14:paraId="79D934D6">
      <w:pPr>
        <w:ind w:firstLine="640"/>
        <w:rPr>
          <w:color w:val="000000" w:themeColor="text1"/>
          <w14:textFill>
            <w14:solidFill>
              <w14:schemeClr w14:val="tx1"/>
            </w14:solidFill>
          </w14:textFill>
        </w:rPr>
      </w:pPr>
      <w:r>
        <w:rPr>
          <w:color w:val="000000" w:themeColor="text1"/>
          <w14:textFill>
            <w14:solidFill>
              <w14:schemeClr w14:val="tx1"/>
            </w14:solidFill>
          </w14:textFill>
        </w:rPr>
        <w:t>规划供水方案包括在建的水源工程、地表水工程建设方案、地下水开发利用方案、污水处理再利用、非常规水源利用等。新增水源工程建设原则为：当地水资源利用工程优先，地表水利用工程优先，具有综合利用效益的工程优先，且充分考虑污水处理再利用的可能性。</w:t>
      </w:r>
    </w:p>
    <w:p w14:paraId="37FE9780">
      <w:pPr>
        <w:ind w:firstLine="640"/>
        <w:rPr>
          <w:color w:val="000000" w:themeColor="text1"/>
          <w14:textFill>
            <w14:solidFill>
              <w14:schemeClr w14:val="tx1"/>
            </w14:solidFill>
          </w14:textFill>
        </w:rPr>
      </w:pPr>
      <w:r>
        <w:rPr>
          <w:color w:val="000000" w:themeColor="text1"/>
          <w14:textFill>
            <w14:solidFill>
              <w14:schemeClr w14:val="tx1"/>
            </w14:solidFill>
          </w14:textFill>
        </w:rPr>
        <w:t>基于对易门县发展特点及今后对水资源需求方面的考虑，规划供水方案以当地现状水资源开发利用状况为基础，以当地水资源开发利用潜力分析为控制条件，通过“供水预测”规划的新建工程、现状工程挖潜改造，以及加上滇中引水工程等，即为规划水平年供水方案。</w:t>
      </w:r>
    </w:p>
    <w:p w14:paraId="072C5BBA">
      <w:pPr>
        <w:ind w:firstLine="640"/>
        <w:rPr>
          <w:color w:val="000000" w:themeColor="text1"/>
          <w14:textFill>
            <w14:solidFill>
              <w14:schemeClr w14:val="tx1"/>
            </w14:solidFill>
          </w14:textFill>
        </w:rPr>
      </w:pPr>
      <w:r>
        <w:rPr>
          <w:color w:val="000000" w:themeColor="text1"/>
          <w14:textFill>
            <w14:solidFill>
              <w14:schemeClr w14:val="tx1"/>
            </w14:solidFill>
          </w14:textFill>
        </w:rPr>
        <w:t>根据“三次平衡”分析的水资源配置思路，在多次供需反馈并协调平衡的基础上完成水资源的合理配置。“一次平衡”分析是考虑人口的增长、经济的发展，城镇化程度和人民生活水平的提高，在现状水资源开发利用格局和发挥现有供水工程潜力情况下的水资源供需平衡分析。若“一次平衡”有缺口，则在此基础上进行“二次平衡分析”，即考虑强化节水、挖潜配套、新建工程以及调整产业结构、合理抑制需水等措施进行水资源供需平衡分析。若“二次平衡”分析仍有缺口，则考虑实施跨流域调水-滇中引水工程。因此，为了符合实际和简化工作量，设置了3个水资源配置方案。即方案一~方案三。</w:t>
      </w:r>
    </w:p>
    <w:p w14:paraId="4E2A1B0E">
      <w:pPr>
        <w:pStyle w:val="51"/>
        <w:rPr>
          <w:color w:val="000000" w:themeColor="text1"/>
          <w14:textFill>
            <w14:solidFill>
              <w14:schemeClr w14:val="tx1"/>
            </w14:solidFill>
          </w14:textFill>
        </w:rPr>
      </w:pPr>
      <w:r>
        <w:rPr>
          <w:color w:val="000000" w:themeColor="text1"/>
          <w:szCs w:val="32"/>
          <w14:textFill>
            <w14:solidFill>
              <w14:schemeClr w14:val="tx1"/>
            </w14:solidFill>
          </w14:textFill>
        </w:rPr>
        <w:t xml:space="preserve">表1.1.4-2       </w:t>
      </w:r>
      <w:r>
        <w:rPr>
          <w:color w:val="000000" w:themeColor="text1"/>
          <w14:textFill>
            <w14:solidFill>
              <w14:schemeClr w14:val="tx1"/>
            </w14:solidFill>
          </w14:textFill>
        </w:rPr>
        <w:t>易门县水平年水资源配置方案设置表</w:t>
      </w:r>
    </w:p>
    <w:tbl>
      <w:tblPr>
        <w:tblStyle w:val="24"/>
        <w:tblpPr w:leftFromText="181" w:rightFromText="181" w:bottomFromText="284" w:vertAnchor="text" w:tblpXSpec="center" w:tblpY="1"/>
        <w:tblOverlap w:val="never"/>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33"/>
        <w:gridCol w:w="5352"/>
        <w:gridCol w:w="2046"/>
        <w:gridCol w:w="981"/>
      </w:tblGrid>
      <w:tr w14:paraId="791B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33" w:type="dxa"/>
            <w:noWrap/>
            <w:vAlign w:val="center"/>
          </w:tcPr>
          <w:p w14:paraId="608FE03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配置方案</w:t>
            </w:r>
          </w:p>
        </w:tc>
        <w:tc>
          <w:tcPr>
            <w:tcW w:w="5352" w:type="dxa"/>
            <w:noWrap/>
            <w:vAlign w:val="center"/>
          </w:tcPr>
          <w:p w14:paraId="2D8EFB3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供水方案</w:t>
            </w:r>
          </w:p>
        </w:tc>
        <w:tc>
          <w:tcPr>
            <w:tcW w:w="2046" w:type="dxa"/>
            <w:noWrap/>
            <w:vAlign w:val="center"/>
          </w:tcPr>
          <w:p w14:paraId="184C0BF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需水方案</w:t>
            </w:r>
          </w:p>
        </w:tc>
        <w:tc>
          <w:tcPr>
            <w:tcW w:w="981" w:type="dxa"/>
            <w:noWrap/>
            <w:vAlign w:val="center"/>
          </w:tcPr>
          <w:p w14:paraId="62F679A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备注</w:t>
            </w:r>
          </w:p>
        </w:tc>
      </w:tr>
      <w:tr w14:paraId="63E3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33" w:type="dxa"/>
            <w:noWrap/>
            <w:vAlign w:val="center"/>
          </w:tcPr>
          <w:p w14:paraId="1E133CB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方案一</w:t>
            </w:r>
          </w:p>
        </w:tc>
        <w:tc>
          <w:tcPr>
            <w:tcW w:w="5352" w:type="dxa"/>
            <w:noWrap/>
            <w:vAlign w:val="center"/>
          </w:tcPr>
          <w:p w14:paraId="570536FB">
            <w:pPr>
              <w:widowControl/>
              <w:spacing w:line="240" w:lineRule="auto"/>
              <w:ind w:firstLine="0" w:firstLineChars="0"/>
              <w:jc w:val="left"/>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方案a（现状工程）</w:t>
            </w:r>
          </w:p>
        </w:tc>
        <w:tc>
          <w:tcPr>
            <w:tcW w:w="2046" w:type="dxa"/>
            <w:noWrap/>
            <w:vAlign w:val="center"/>
          </w:tcPr>
          <w:p w14:paraId="2C4881D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方案A（基本方案）</w:t>
            </w:r>
          </w:p>
        </w:tc>
        <w:tc>
          <w:tcPr>
            <w:tcW w:w="981" w:type="dxa"/>
            <w:noWrap/>
            <w:vAlign w:val="center"/>
          </w:tcPr>
          <w:p w14:paraId="716D7D1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一次平衡</w:t>
            </w:r>
          </w:p>
        </w:tc>
      </w:tr>
      <w:tr w14:paraId="26F6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33" w:type="dxa"/>
            <w:noWrap/>
            <w:vAlign w:val="center"/>
          </w:tcPr>
          <w:p w14:paraId="1C23E5E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方案二</w:t>
            </w:r>
          </w:p>
        </w:tc>
        <w:tc>
          <w:tcPr>
            <w:tcW w:w="5352" w:type="dxa"/>
            <w:noWrap/>
            <w:vAlign w:val="center"/>
          </w:tcPr>
          <w:p w14:paraId="3F5CBDEE">
            <w:pPr>
              <w:widowControl/>
              <w:spacing w:line="240" w:lineRule="auto"/>
              <w:ind w:firstLine="0" w:firstLineChars="0"/>
              <w:jc w:val="left"/>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方案b（现状工程+内部挖潜+新建工程）</w:t>
            </w:r>
          </w:p>
        </w:tc>
        <w:tc>
          <w:tcPr>
            <w:tcW w:w="2046" w:type="dxa"/>
            <w:noWrap/>
            <w:vAlign w:val="center"/>
          </w:tcPr>
          <w:p w14:paraId="3A9FA3E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方案B（推荐方案）</w:t>
            </w:r>
          </w:p>
        </w:tc>
        <w:tc>
          <w:tcPr>
            <w:tcW w:w="981" w:type="dxa"/>
            <w:noWrap/>
            <w:vAlign w:val="center"/>
          </w:tcPr>
          <w:p w14:paraId="3DBD17E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二次平衡</w:t>
            </w:r>
          </w:p>
        </w:tc>
      </w:tr>
      <w:tr w14:paraId="3CE1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33" w:type="dxa"/>
            <w:noWrap/>
            <w:vAlign w:val="center"/>
          </w:tcPr>
          <w:p w14:paraId="7B2DAE9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方案三</w:t>
            </w:r>
          </w:p>
        </w:tc>
        <w:tc>
          <w:tcPr>
            <w:tcW w:w="5352" w:type="dxa"/>
            <w:noWrap/>
            <w:vAlign w:val="center"/>
          </w:tcPr>
          <w:p w14:paraId="4A92BF0C">
            <w:pPr>
              <w:widowControl/>
              <w:spacing w:line="240" w:lineRule="auto"/>
              <w:ind w:firstLine="0" w:firstLineChars="0"/>
              <w:jc w:val="left"/>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方案c（现状工程+内部挖潜+新建工程+滇中引水工程）</w:t>
            </w:r>
          </w:p>
        </w:tc>
        <w:tc>
          <w:tcPr>
            <w:tcW w:w="2046" w:type="dxa"/>
            <w:noWrap/>
            <w:vAlign w:val="center"/>
          </w:tcPr>
          <w:p w14:paraId="5019F21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方案B（推荐方案）</w:t>
            </w:r>
          </w:p>
        </w:tc>
        <w:tc>
          <w:tcPr>
            <w:tcW w:w="981" w:type="dxa"/>
            <w:noWrap/>
            <w:vAlign w:val="center"/>
          </w:tcPr>
          <w:p w14:paraId="62E3607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三次平衡</w:t>
            </w:r>
          </w:p>
        </w:tc>
      </w:tr>
    </w:tbl>
    <w:p w14:paraId="2D065D8F">
      <w:pPr>
        <w:pStyle w:val="76"/>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水资源一次供需平衡分析</w:t>
      </w:r>
    </w:p>
    <w:p w14:paraId="579B088F">
      <w:pPr>
        <w:ind w:firstLine="640"/>
        <w:rPr>
          <w:color w:val="000000" w:themeColor="text1"/>
          <w14:textFill>
            <w14:solidFill>
              <w14:schemeClr w14:val="tx1"/>
            </w14:solidFill>
          </w14:textFill>
        </w:rPr>
      </w:pPr>
      <w:r>
        <w:rPr>
          <w:color w:val="000000" w:themeColor="text1"/>
          <w14:textFill>
            <w14:solidFill>
              <w14:schemeClr w14:val="tx1"/>
            </w14:solidFill>
          </w14:textFill>
        </w:rPr>
        <w:t>规划水平年2020年易门县多年平均需水量11099万m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，可供水量8737万m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，缺水2362万m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，缺水率21%。到2030年，随着经济社会发展，需水增加至12346万m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，可供水量仅为8756万m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，缺水3590万m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缺水率高达29%。从供需调节计算结果来看，2020年、2030年计算单元平水年都开始缺水，到枯水年份，缺水更加严重。P=75%来水频率下2020年计算分区缺水率为20%，而到了2030年，P=75%来水频率下计算分区缺水率高达27%，完全不能满足用水需求。从用水部门来看，各片区2020、2030年各用水部门都存在缺水，缺水最严重的是农业，在2030年P=75%来水频率下农业缺水率高达51%，特别是那些为了保证工业压缩农业用水的计算分区。</w:t>
      </w:r>
    </w:p>
    <w:p w14:paraId="6C692F74">
      <w:pPr>
        <w:ind w:firstLine="640"/>
        <w:rPr>
          <w:color w:val="000000" w:themeColor="text1"/>
          <w14:textFill>
            <w14:solidFill>
              <w14:schemeClr w14:val="tx1"/>
            </w14:solidFill>
          </w14:textFill>
        </w:rPr>
      </w:pPr>
      <w:r>
        <w:rPr>
          <w:color w:val="000000" w:themeColor="text1"/>
          <w14:textFill>
            <w14:solidFill>
              <w14:schemeClr w14:val="tx1"/>
            </w14:solidFill>
          </w14:textFill>
        </w:rPr>
        <w:t>从以上成果和分析可以看出，现状工程的供水能力不能满足易门县2020年、2030年的经济社会用水需求，缺水形势严峻。为了提高易门县供水能力，保障经济社会发展用水要求，必须同时采取两条腿走路，一是挖潜改造现有水利工程的供水能力，新建必要的供水工程，提高供水保障能力；二是强化节水型社会建设，调整产业结构，抑制高耗水低产值行业发展，提高各行业用水效率，进一步合理抑制需水。</w:t>
      </w:r>
    </w:p>
    <w:p w14:paraId="3CE46FAE">
      <w:pPr>
        <w:pStyle w:val="12"/>
        <w:spacing w:after="0" w:line="520" w:lineRule="atLeast"/>
        <w:ind w:left="640" w:firstLine="0" w:firstLineChars="0"/>
        <w:rPr>
          <w:rFonts w:eastAsia="黑体"/>
          <w:color w:val="000000" w:themeColor="text1"/>
          <w14:textFill>
            <w14:solidFill>
              <w14:schemeClr w14:val="tx1"/>
            </w14:solidFill>
          </w14:textFill>
        </w:rPr>
        <w:sectPr>
          <w:pgSz w:w="11906" w:h="16838"/>
          <w:pgMar w:top="1871" w:right="1304" w:bottom="1418" w:left="1304" w:header="851" w:footer="992" w:gutter="0"/>
          <w:pgNumType w:fmt="numberInDash"/>
          <w:cols w:space="425" w:num="1"/>
          <w:docGrid w:linePitch="312" w:charSpace="0"/>
        </w:sectPr>
      </w:pPr>
    </w:p>
    <w:p w14:paraId="0B28478F">
      <w:pPr>
        <w:pStyle w:val="51"/>
        <w:rPr>
          <w:color w:val="000000" w:themeColor="text1"/>
          <w14:textFill>
            <w14:solidFill>
              <w14:schemeClr w14:val="tx1"/>
            </w14:solidFill>
          </w14:textFill>
        </w:rPr>
      </w:pPr>
      <w:r>
        <w:rPr>
          <w:color w:val="000000" w:themeColor="text1"/>
          <w:szCs w:val="32"/>
          <w14:textFill>
            <w14:solidFill>
              <w14:schemeClr w14:val="tx1"/>
            </w14:solidFill>
          </w14:textFill>
        </w:rPr>
        <w:t>表1.1.4-3</w:t>
      </w:r>
      <w:r>
        <w:rPr>
          <w:color w:val="000000" w:themeColor="text1"/>
          <w14:textFill>
            <w14:solidFill>
              <w14:schemeClr w14:val="tx1"/>
            </w14:solidFill>
          </w14:textFill>
        </w:rPr>
        <w:t xml:space="preserve">         2020年水资源供需一次平衡分析成果表      单位：万m³</w:t>
      </w:r>
    </w:p>
    <w:tbl>
      <w:tblPr>
        <w:tblStyle w:val="24"/>
        <w:tblW w:w="14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056"/>
        <w:gridCol w:w="747"/>
        <w:gridCol w:w="747"/>
        <w:gridCol w:w="747"/>
        <w:gridCol w:w="646"/>
        <w:gridCol w:w="857"/>
        <w:gridCol w:w="747"/>
        <w:gridCol w:w="854"/>
        <w:gridCol w:w="854"/>
        <w:gridCol w:w="649"/>
        <w:gridCol w:w="649"/>
        <w:gridCol w:w="750"/>
        <w:gridCol w:w="649"/>
        <w:gridCol w:w="650"/>
        <w:gridCol w:w="751"/>
        <w:gridCol w:w="650"/>
        <w:gridCol w:w="751"/>
        <w:gridCol w:w="832"/>
      </w:tblGrid>
      <w:tr w14:paraId="4FFD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43" w:type="dxa"/>
            <w:vMerge w:val="restart"/>
            <w:vAlign w:val="center"/>
          </w:tcPr>
          <w:p w14:paraId="7426C37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县区</w:t>
            </w:r>
          </w:p>
        </w:tc>
        <w:tc>
          <w:tcPr>
            <w:tcW w:w="1056" w:type="dxa"/>
            <w:vMerge w:val="restart"/>
            <w:noWrap/>
            <w:vAlign w:val="center"/>
          </w:tcPr>
          <w:p w14:paraId="708603C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频率</w:t>
            </w:r>
          </w:p>
        </w:tc>
        <w:tc>
          <w:tcPr>
            <w:tcW w:w="3744" w:type="dxa"/>
            <w:gridSpan w:val="5"/>
            <w:noWrap/>
            <w:vAlign w:val="center"/>
          </w:tcPr>
          <w:p w14:paraId="6BDD7C9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需水量</w:t>
            </w:r>
          </w:p>
        </w:tc>
        <w:tc>
          <w:tcPr>
            <w:tcW w:w="4503" w:type="dxa"/>
            <w:gridSpan w:val="6"/>
            <w:noWrap/>
            <w:vAlign w:val="center"/>
          </w:tcPr>
          <w:p w14:paraId="1F9D5FD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可供水量</w:t>
            </w:r>
          </w:p>
        </w:tc>
        <w:tc>
          <w:tcPr>
            <w:tcW w:w="3451" w:type="dxa"/>
            <w:gridSpan w:val="5"/>
            <w:noWrap/>
            <w:vAlign w:val="center"/>
          </w:tcPr>
          <w:p w14:paraId="2BFA54D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w:t>
            </w:r>
          </w:p>
        </w:tc>
        <w:tc>
          <w:tcPr>
            <w:tcW w:w="832" w:type="dxa"/>
            <w:vMerge w:val="restart"/>
            <w:noWrap/>
            <w:vAlign w:val="center"/>
          </w:tcPr>
          <w:p w14:paraId="2573285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缺水率</w:t>
            </w:r>
          </w:p>
        </w:tc>
      </w:tr>
      <w:tr w14:paraId="2D0C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43" w:type="dxa"/>
            <w:vMerge w:val="continue"/>
            <w:vAlign w:val="center"/>
          </w:tcPr>
          <w:p w14:paraId="39B2C2C5">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1056" w:type="dxa"/>
            <w:vMerge w:val="continue"/>
            <w:vAlign w:val="center"/>
          </w:tcPr>
          <w:p w14:paraId="2FDC02AB">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747" w:type="dxa"/>
            <w:noWrap/>
            <w:vAlign w:val="center"/>
          </w:tcPr>
          <w:p w14:paraId="628EA68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747" w:type="dxa"/>
            <w:noWrap/>
            <w:vAlign w:val="center"/>
          </w:tcPr>
          <w:p w14:paraId="6E2F0FF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747" w:type="dxa"/>
            <w:noWrap/>
            <w:vAlign w:val="center"/>
          </w:tcPr>
          <w:p w14:paraId="2F46C2C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46" w:type="dxa"/>
            <w:noWrap/>
            <w:vAlign w:val="center"/>
          </w:tcPr>
          <w:p w14:paraId="2BEBCA1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857" w:type="dxa"/>
            <w:noWrap/>
            <w:vAlign w:val="center"/>
          </w:tcPr>
          <w:p w14:paraId="3CF35EE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747" w:type="dxa"/>
            <w:noWrap/>
            <w:vAlign w:val="center"/>
          </w:tcPr>
          <w:p w14:paraId="4D31B4B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蓄水</w:t>
            </w:r>
          </w:p>
        </w:tc>
        <w:tc>
          <w:tcPr>
            <w:tcW w:w="854" w:type="dxa"/>
            <w:noWrap/>
            <w:vAlign w:val="center"/>
          </w:tcPr>
          <w:p w14:paraId="1EAD4D0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引提水</w:t>
            </w:r>
          </w:p>
        </w:tc>
        <w:tc>
          <w:tcPr>
            <w:tcW w:w="854" w:type="dxa"/>
            <w:noWrap/>
            <w:vAlign w:val="center"/>
          </w:tcPr>
          <w:p w14:paraId="753506A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地下水</w:t>
            </w:r>
          </w:p>
        </w:tc>
        <w:tc>
          <w:tcPr>
            <w:tcW w:w="649" w:type="dxa"/>
            <w:noWrap/>
            <w:vAlign w:val="center"/>
          </w:tcPr>
          <w:p w14:paraId="77C7D55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调水</w:t>
            </w:r>
          </w:p>
        </w:tc>
        <w:tc>
          <w:tcPr>
            <w:tcW w:w="649" w:type="dxa"/>
            <w:noWrap/>
            <w:vAlign w:val="center"/>
          </w:tcPr>
          <w:p w14:paraId="0ABFEAB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其他</w:t>
            </w:r>
          </w:p>
        </w:tc>
        <w:tc>
          <w:tcPr>
            <w:tcW w:w="750" w:type="dxa"/>
            <w:noWrap/>
            <w:vAlign w:val="center"/>
          </w:tcPr>
          <w:p w14:paraId="487CA1C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649" w:type="dxa"/>
            <w:noWrap/>
            <w:vAlign w:val="center"/>
          </w:tcPr>
          <w:p w14:paraId="4FCCE58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650" w:type="dxa"/>
            <w:noWrap/>
            <w:vAlign w:val="center"/>
          </w:tcPr>
          <w:p w14:paraId="381360D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751" w:type="dxa"/>
            <w:noWrap/>
            <w:vAlign w:val="center"/>
          </w:tcPr>
          <w:p w14:paraId="001A0C4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50" w:type="dxa"/>
            <w:noWrap/>
            <w:vAlign w:val="center"/>
          </w:tcPr>
          <w:p w14:paraId="66EE8AD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751" w:type="dxa"/>
            <w:noWrap/>
            <w:vAlign w:val="center"/>
          </w:tcPr>
          <w:p w14:paraId="123E52C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832" w:type="dxa"/>
            <w:vMerge w:val="continue"/>
            <w:vAlign w:val="center"/>
          </w:tcPr>
          <w:p w14:paraId="291B0BE9">
            <w:pPr>
              <w:widowControl/>
              <w:spacing w:line="240" w:lineRule="auto"/>
              <w:ind w:firstLine="0" w:firstLineChars="0"/>
              <w:jc w:val="center"/>
              <w:rPr>
                <w:color w:val="000000" w:themeColor="text1"/>
                <w:kern w:val="0"/>
                <w:sz w:val="20"/>
                <w:szCs w:val="20"/>
                <w14:textFill>
                  <w14:solidFill>
                    <w14:schemeClr w14:val="tx1"/>
                  </w14:solidFill>
                </w14:textFill>
              </w:rPr>
            </w:pPr>
          </w:p>
        </w:tc>
      </w:tr>
      <w:tr w14:paraId="095D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43" w:type="dxa"/>
            <w:noWrap/>
            <w:vAlign w:val="center"/>
          </w:tcPr>
          <w:p w14:paraId="4BD043A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w:t>
            </w:r>
          </w:p>
        </w:tc>
        <w:tc>
          <w:tcPr>
            <w:tcW w:w="1056" w:type="dxa"/>
            <w:noWrap/>
            <w:vAlign w:val="center"/>
          </w:tcPr>
          <w:p w14:paraId="0422FB6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50%</w:t>
            </w:r>
          </w:p>
        </w:tc>
        <w:tc>
          <w:tcPr>
            <w:tcW w:w="747" w:type="dxa"/>
            <w:noWrap/>
            <w:vAlign w:val="center"/>
          </w:tcPr>
          <w:p w14:paraId="221B649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863</w:t>
            </w:r>
          </w:p>
        </w:tc>
        <w:tc>
          <w:tcPr>
            <w:tcW w:w="747" w:type="dxa"/>
            <w:noWrap/>
            <w:vAlign w:val="center"/>
          </w:tcPr>
          <w:p w14:paraId="478DB36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4139</w:t>
            </w:r>
          </w:p>
        </w:tc>
        <w:tc>
          <w:tcPr>
            <w:tcW w:w="747" w:type="dxa"/>
            <w:noWrap/>
            <w:vAlign w:val="center"/>
          </w:tcPr>
          <w:p w14:paraId="09D7786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5772</w:t>
            </w:r>
          </w:p>
        </w:tc>
        <w:tc>
          <w:tcPr>
            <w:tcW w:w="646" w:type="dxa"/>
            <w:noWrap/>
            <w:vAlign w:val="center"/>
          </w:tcPr>
          <w:p w14:paraId="1893D02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62</w:t>
            </w:r>
          </w:p>
        </w:tc>
        <w:tc>
          <w:tcPr>
            <w:tcW w:w="857" w:type="dxa"/>
            <w:noWrap/>
            <w:vAlign w:val="center"/>
          </w:tcPr>
          <w:p w14:paraId="75DB638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10835</w:t>
            </w:r>
          </w:p>
        </w:tc>
        <w:tc>
          <w:tcPr>
            <w:tcW w:w="747" w:type="dxa"/>
            <w:noWrap/>
            <w:vAlign w:val="center"/>
          </w:tcPr>
          <w:p w14:paraId="7498F5C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6298</w:t>
            </w:r>
          </w:p>
        </w:tc>
        <w:tc>
          <w:tcPr>
            <w:tcW w:w="854" w:type="dxa"/>
            <w:noWrap/>
            <w:vAlign w:val="center"/>
          </w:tcPr>
          <w:p w14:paraId="77B992A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2328</w:t>
            </w:r>
          </w:p>
        </w:tc>
        <w:tc>
          <w:tcPr>
            <w:tcW w:w="854" w:type="dxa"/>
            <w:noWrap/>
            <w:vAlign w:val="center"/>
          </w:tcPr>
          <w:p w14:paraId="7764DCB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649" w:type="dxa"/>
            <w:noWrap/>
            <w:vAlign w:val="center"/>
          </w:tcPr>
          <w:p w14:paraId="3A71A29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49" w:type="dxa"/>
            <w:noWrap/>
            <w:vAlign w:val="center"/>
          </w:tcPr>
          <w:p w14:paraId="6D7AE90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270</w:t>
            </w:r>
          </w:p>
        </w:tc>
        <w:tc>
          <w:tcPr>
            <w:tcW w:w="750" w:type="dxa"/>
            <w:noWrap/>
            <w:vAlign w:val="center"/>
          </w:tcPr>
          <w:p w14:paraId="664D75C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8906</w:t>
            </w:r>
          </w:p>
        </w:tc>
        <w:tc>
          <w:tcPr>
            <w:tcW w:w="649" w:type="dxa"/>
            <w:noWrap/>
            <w:vAlign w:val="center"/>
          </w:tcPr>
          <w:p w14:paraId="62CEE20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50" w:type="dxa"/>
            <w:noWrap/>
            <w:vAlign w:val="center"/>
          </w:tcPr>
          <w:p w14:paraId="5D546B1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51" w:type="dxa"/>
            <w:noWrap/>
            <w:vAlign w:val="center"/>
          </w:tcPr>
          <w:p w14:paraId="5B138B9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1929</w:t>
            </w:r>
          </w:p>
        </w:tc>
        <w:tc>
          <w:tcPr>
            <w:tcW w:w="650" w:type="dxa"/>
            <w:noWrap/>
            <w:vAlign w:val="center"/>
          </w:tcPr>
          <w:p w14:paraId="6F28BF7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51" w:type="dxa"/>
            <w:noWrap/>
            <w:vAlign w:val="center"/>
          </w:tcPr>
          <w:p w14:paraId="29BA175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1929</w:t>
            </w:r>
          </w:p>
        </w:tc>
        <w:tc>
          <w:tcPr>
            <w:tcW w:w="832" w:type="dxa"/>
            <w:noWrap/>
            <w:vAlign w:val="center"/>
          </w:tcPr>
          <w:p w14:paraId="7DCFEED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18%</w:t>
            </w:r>
          </w:p>
        </w:tc>
      </w:tr>
      <w:tr w14:paraId="76AE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43" w:type="dxa"/>
            <w:noWrap/>
            <w:vAlign w:val="center"/>
          </w:tcPr>
          <w:p w14:paraId="03E9330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w:t>
            </w:r>
          </w:p>
        </w:tc>
        <w:tc>
          <w:tcPr>
            <w:tcW w:w="1056" w:type="dxa"/>
            <w:noWrap/>
            <w:vAlign w:val="center"/>
          </w:tcPr>
          <w:p w14:paraId="0928305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75%</w:t>
            </w:r>
          </w:p>
        </w:tc>
        <w:tc>
          <w:tcPr>
            <w:tcW w:w="747" w:type="dxa"/>
            <w:noWrap/>
            <w:vAlign w:val="center"/>
          </w:tcPr>
          <w:p w14:paraId="55F69AA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863</w:t>
            </w:r>
          </w:p>
        </w:tc>
        <w:tc>
          <w:tcPr>
            <w:tcW w:w="747" w:type="dxa"/>
            <w:noWrap/>
            <w:vAlign w:val="center"/>
          </w:tcPr>
          <w:p w14:paraId="7FDDB0A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4139</w:t>
            </w:r>
          </w:p>
        </w:tc>
        <w:tc>
          <w:tcPr>
            <w:tcW w:w="747" w:type="dxa"/>
            <w:noWrap/>
            <w:vAlign w:val="center"/>
          </w:tcPr>
          <w:p w14:paraId="1D6A1B5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6373</w:t>
            </w:r>
          </w:p>
        </w:tc>
        <w:tc>
          <w:tcPr>
            <w:tcW w:w="646" w:type="dxa"/>
            <w:noWrap/>
            <w:vAlign w:val="center"/>
          </w:tcPr>
          <w:p w14:paraId="426CD19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62</w:t>
            </w:r>
          </w:p>
        </w:tc>
        <w:tc>
          <w:tcPr>
            <w:tcW w:w="857" w:type="dxa"/>
            <w:noWrap/>
            <w:vAlign w:val="center"/>
          </w:tcPr>
          <w:p w14:paraId="3821BB9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11437</w:t>
            </w:r>
          </w:p>
        </w:tc>
        <w:tc>
          <w:tcPr>
            <w:tcW w:w="747" w:type="dxa"/>
            <w:noWrap/>
            <w:vAlign w:val="center"/>
          </w:tcPr>
          <w:p w14:paraId="2400C4F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6552</w:t>
            </w:r>
          </w:p>
        </w:tc>
        <w:tc>
          <w:tcPr>
            <w:tcW w:w="854" w:type="dxa"/>
            <w:noWrap/>
            <w:vAlign w:val="center"/>
          </w:tcPr>
          <w:p w14:paraId="472AD42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2316</w:t>
            </w:r>
          </w:p>
        </w:tc>
        <w:tc>
          <w:tcPr>
            <w:tcW w:w="854" w:type="dxa"/>
            <w:noWrap/>
            <w:vAlign w:val="center"/>
          </w:tcPr>
          <w:p w14:paraId="29FFA27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649" w:type="dxa"/>
            <w:noWrap/>
            <w:vAlign w:val="center"/>
          </w:tcPr>
          <w:p w14:paraId="08D25A2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49" w:type="dxa"/>
            <w:noWrap/>
            <w:vAlign w:val="center"/>
          </w:tcPr>
          <w:p w14:paraId="5D6F422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270</w:t>
            </w:r>
          </w:p>
        </w:tc>
        <w:tc>
          <w:tcPr>
            <w:tcW w:w="750" w:type="dxa"/>
            <w:noWrap/>
            <w:vAlign w:val="center"/>
          </w:tcPr>
          <w:p w14:paraId="6B29231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9147</w:t>
            </w:r>
          </w:p>
        </w:tc>
        <w:tc>
          <w:tcPr>
            <w:tcW w:w="649" w:type="dxa"/>
            <w:noWrap/>
            <w:vAlign w:val="center"/>
          </w:tcPr>
          <w:p w14:paraId="2A7E4E6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50" w:type="dxa"/>
            <w:noWrap/>
            <w:vAlign w:val="center"/>
          </w:tcPr>
          <w:p w14:paraId="08AF66C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51" w:type="dxa"/>
            <w:noWrap/>
            <w:vAlign w:val="center"/>
          </w:tcPr>
          <w:p w14:paraId="47DD582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2290</w:t>
            </w:r>
          </w:p>
        </w:tc>
        <w:tc>
          <w:tcPr>
            <w:tcW w:w="650" w:type="dxa"/>
            <w:noWrap/>
            <w:vAlign w:val="center"/>
          </w:tcPr>
          <w:p w14:paraId="50CB582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51" w:type="dxa"/>
            <w:noWrap/>
            <w:vAlign w:val="center"/>
          </w:tcPr>
          <w:p w14:paraId="3F76775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2290</w:t>
            </w:r>
          </w:p>
        </w:tc>
        <w:tc>
          <w:tcPr>
            <w:tcW w:w="832" w:type="dxa"/>
            <w:noWrap/>
            <w:vAlign w:val="center"/>
          </w:tcPr>
          <w:p w14:paraId="5C04389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20%</w:t>
            </w:r>
          </w:p>
        </w:tc>
      </w:tr>
      <w:tr w14:paraId="6FC7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43" w:type="dxa"/>
            <w:noWrap/>
            <w:vAlign w:val="center"/>
          </w:tcPr>
          <w:p w14:paraId="3EE9E80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w:t>
            </w:r>
          </w:p>
        </w:tc>
        <w:tc>
          <w:tcPr>
            <w:tcW w:w="1056" w:type="dxa"/>
            <w:noWrap/>
            <w:vAlign w:val="center"/>
          </w:tcPr>
          <w:p w14:paraId="0F67C79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95%</w:t>
            </w:r>
          </w:p>
        </w:tc>
        <w:tc>
          <w:tcPr>
            <w:tcW w:w="747" w:type="dxa"/>
            <w:noWrap/>
            <w:vAlign w:val="center"/>
          </w:tcPr>
          <w:p w14:paraId="274D7C4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863</w:t>
            </w:r>
          </w:p>
        </w:tc>
        <w:tc>
          <w:tcPr>
            <w:tcW w:w="747" w:type="dxa"/>
            <w:noWrap/>
            <w:vAlign w:val="center"/>
          </w:tcPr>
          <w:p w14:paraId="53C423F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4139</w:t>
            </w:r>
          </w:p>
        </w:tc>
        <w:tc>
          <w:tcPr>
            <w:tcW w:w="747" w:type="dxa"/>
            <w:noWrap/>
            <w:vAlign w:val="center"/>
          </w:tcPr>
          <w:p w14:paraId="0452DDB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7513</w:t>
            </w:r>
          </w:p>
        </w:tc>
        <w:tc>
          <w:tcPr>
            <w:tcW w:w="646" w:type="dxa"/>
            <w:noWrap/>
            <w:vAlign w:val="center"/>
          </w:tcPr>
          <w:p w14:paraId="48266EC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62</w:t>
            </w:r>
          </w:p>
        </w:tc>
        <w:tc>
          <w:tcPr>
            <w:tcW w:w="857" w:type="dxa"/>
            <w:noWrap/>
            <w:vAlign w:val="center"/>
          </w:tcPr>
          <w:p w14:paraId="47C7695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12576</w:t>
            </w:r>
          </w:p>
        </w:tc>
        <w:tc>
          <w:tcPr>
            <w:tcW w:w="747" w:type="dxa"/>
            <w:noWrap/>
            <w:vAlign w:val="center"/>
          </w:tcPr>
          <w:p w14:paraId="12F1186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6098</w:t>
            </w:r>
          </w:p>
        </w:tc>
        <w:tc>
          <w:tcPr>
            <w:tcW w:w="854" w:type="dxa"/>
            <w:noWrap/>
            <w:vAlign w:val="center"/>
          </w:tcPr>
          <w:p w14:paraId="7C95DE7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2109</w:t>
            </w:r>
          </w:p>
        </w:tc>
        <w:tc>
          <w:tcPr>
            <w:tcW w:w="854" w:type="dxa"/>
            <w:noWrap/>
            <w:vAlign w:val="center"/>
          </w:tcPr>
          <w:p w14:paraId="5F9050F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649" w:type="dxa"/>
            <w:noWrap/>
            <w:vAlign w:val="center"/>
          </w:tcPr>
          <w:p w14:paraId="21E990A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49" w:type="dxa"/>
            <w:noWrap/>
            <w:vAlign w:val="center"/>
          </w:tcPr>
          <w:p w14:paraId="740DF4D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270</w:t>
            </w:r>
          </w:p>
        </w:tc>
        <w:tc>
          <w:tcPr>
            <w:tcW w:w="750" w:type="dxa"/>
            <w:noWrap/>
            <w:vAlign w:val="center"/>
          </w:tcPr>
          <w:p w14:paraId="2C0343E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8487</w:t>
            </w:r>
          </w:p>
        </w:tc>
        <w:tc>
          <w:tcPr>
            <w:tcW w:w="649" w:type="dxa"/>
            <w:noWrap/>
            <w:vAlign w:val="center"/>
          </w:tcPr>
          <w:p w14:paraId="08D08BB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w:t>
            </w:r>
          </w:p>
        </w:tc>
        <w:tc>
          <w:tcPr>
            <w:tcW w:w="650" w:type="dxa"/>
            <w:noWrap/>
            <w:vAlign w:val="center"/>
          </w:tcPr>
          <w:p w14:paraId="5C45426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663</w:t>
            </w:r>
          </w:p>
        </w:tc>
        <w:tc>
          <w:tcPr>
            <w:tcW w:w="751" w:type="dxa"/>
            <w:noWrap/>
            <w:vAlign w:val="center"/>
          </w:tcPr>
          <w:p w14:paraId="6051B00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3421</w:t>
            </w:r>
          </w:p>
        </w:tc>
        <w:tc>
          <w:tcPr>
            <w:tcW w:w="650" w:type="dxa"/>
            <w:noWrap/>
            <w:vAlign w:val="center"/>
          </w:tcPr>
          <w:p w14:paraId="06DAE65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51" w:type="dxa"/>
            <w:noWrap/>
            <w:vAlign w:val="center"/>
          </w:tcPr>
          <w:p w14:paraId="3BC33BA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4089</w:t>
            </w:r>
          </w:p>
        </w:tc>
        <w:tc>
          <w:tcPr>
            <w:tcW w:w="832" w:type="dxa"/>
            <w:noWrap/>
            <w:vAlign w:val="center"/>
          </w:tcPr>
          <w:p w14:paraId="79DA95D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33%</w:t>
            </w:r>
          </w:p>
        </w:tc>
      </w:tr>
      <w:tr w14:paraId="496E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43" w:type="dxa"/>
            <w:noWrap/>
            <w:vAlign w:val="center"/>
          </w:tcPr>
          <w:p w14:paraId="7D7C2A9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w:t>
            </w:r>
          </w:p>
        </w:tc>
        <w:tc>
          <w:tcPr>
            <w:tcW w:w="1056" w:type="dxa"/>
            <w:noWrap/>
            <w:vAlign w:val="center"/>
          </w:tcPr>
          <w:p w14:paraId="28835AA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多年平均</w:t>
            </w:r>
          </w:p>
        </w:tc>
        <w:tc>
          <w:tcPr>
            <w:tcW w:w="747" w:type="dxa"/>
            <w:noWrap/>
            <w:vAlign w:val="center"/>
          </w:tcPr>
          <w:p w14:paraId="3FFDF6D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863</w:t>
            </w:r>
          </w:p>
        </w:tc>
        <w:tc>
          <w:tcPr>
            <w:tcW w:w="747" w:type="dxa"/>
            <w:noWrap/>
            <w:vAlign w:val="center"/>
          </w:tcPr>
          <w:p w14:paraId="41B458A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4139</w:t>
            </w:r>
          </w:p>
        </w:tc>
        <w:tc>
          <w:tcPr>
            <w:tcW w:w="747" w:type="dxa"/>
            <w:noWrap/>
            <w:vAlign w:val="center"/>
          </w:tcPr>
          <w:p w14:paraId="531443E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6035</w:t>
            </w:r>
          </w:p>
        </w:tc>
        <w:tc>
          <w:tcPr>
            <w:tcW w:w="646" w:type="dxa"/>
            <w:noWrap/>
            <w:vAlign w:val="center"/>
          </w:tcPr>
          <w:p w14:paraId="5E41C4E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62</w:t>
            </w:r>
          </w:p>
        </w:tc>
        <w:tc>
          <w:tcPr>
            <w:tcW w:w="857" w:type="dxa"/>
            <w:noWrap/>
            <w:vAlign w:val="center"/>
          </w:tcPr>
          <w:p w14:paraId="4F1E6DB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11099</w:t>
            </w:r>
          </w:p>
        </w:tc>
        <w:tc>
          <w:tcPr>
            <w:tcW w:w="747" w:type="dxa"/>
            <w:noWrap/>
            <w:vAlign w:val="center"/>
          </w:tcPr>
          <w:p w14:paraId="28E10EF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6185</w:t>
            </w:r>
          </w:p>
        </w:tc>
        <w:tc>
          <w:tcPr>
            <w:tcW w:w="854" w:type="dxa"/>
            <w:noWrap/>
            <w:vAlign w:val="center"/>
          </w:tcPr>
          <w:p w14:paraId="6471F34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2272</w:t>
            </w:r>
          </w:p>
        </w:tc>
        <w:tc>
          <w:tcPr>
            <w:tcW w:w="854" w:type="dxa"/>
            <w:noWrap/>
            <w:vAlign w:val="center"/>
          </w:tcPr>
          <w:p w14:paraId="19D5DFC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649" w:type="dxa"/>
            <w:noWrap/>
            <w:vAlign w:val="center"/>
          </w:tcPr>
          <w:p w14:paraId="3880C20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49" w:type="dxa"/>
            <w:noWrap/>
            <w:vAlign w:val="center"/>
          </w:tcPr>
          <w:p w14:paraId="2969BED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270</w:t>
            </w:r>
          </w:p>
        </w:tc>
        <w:tc>
          <w:tcPr>
            <w:tcW w:w="750" w:type="dxa"/>
            <w:noWrap/>
            <w:vAlign w:val="center"/>
          </w:tcPr>
          <w:p w14:paraId="298DA4C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8737</w:t>
            </w:r>
          </w:p>
        </w:tc>
        <w:tc>
          <w:tcPr>
            <w:tcW w:w="649" w:type="dxa"/>
            <w:noWrap/>
            <w:vAlign w:val="center"/>
          </w:tcPr>
          <w:p w14:paraId="5AAA685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50" w:type="dxa"/>
            <w:noWrap/>
            <w:vAlign w:val="center"/>
          </w:tcPr>
          <w:p w14:paraId="2E312FA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w:t>
            </w:r>
          </w:p>
        </w:tc>
        <w:tc>
          <w:tcPr>
            <w:tcW w:w="751" w:type="dxa"/>
            <w:noWrap/>
            <w:vAlign w:val="center"/>
          </w:tcPr>
          <w:p w14:paraId="0FF891D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2354</w:t>
            </w:r>
          </w:p>
        </w:tc>
        <w:tc>
          <w:tcPr>
            <w:tcW w:w="650" w:type="dxa"/>
            <w:noWrap/>
            <w:vAlign w:val="center"/>
          </w:tcPr>
          <w:p w14:paraId="4BCA6D6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51" w:type="dxa"/>
            <w:noWrap/>
            <w:vAlign w:val="center"/>
          </w:tcPr>
          <w:p w14:paraId="37A88F8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2362</w:t>
            </w:r>
          </w:p>
        </w:tc>
        <w:tc>
          <w:tcPr>
            <w:tcW w:w="832" w:type="dxa"/>
            <w:noWrap/>
            <w:vAlign w:val="center"/>
          </w:tcPr>
          <w:p w14:paraId="5021304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21%</w:t>
            </w:r>
          </w:p>
        </w:tc>
      </w:tr>
    </w:tbl>
    <w:p w14:paraId="6841763C">
      <w:pPr>
        <w:pStyle w:val="7"/>
        <w:ind w:firstLine="553" w:firstLineChars="173"/>
        <w:rPr>
          <w:rFonts w:ascii="Times New Roman"/>
          <w:color w:val="000000" w:themeColor="text1"/>
          <w14:textFill>
            <w14:solidFill>
              <w14:schemeClr w14:val="tx1"/>
            </w14:solidFill>
          </w14:textFill>
        </w:rPr>
      </w:pPr>
    </w:p>
    <w:p w14:paraId="4D94FC0F">
      <w:pPr>
        <w:pStyle w:val="51"/>
        <w:rPr>
          <w:color w:val="000000" w:themeColor="text1"/>
          <w14:textFill>
            <w14:solidFill>
              <w14:schemeClr w14:val="tx1"/>
            </w14:solidFill>
          </w14:textFill>
        </w:rPr>
      </w:pPr>
      <w:r>
        <w:rPr>
          <w:color w:val="000000" w:themeColor="text1"/>
          <w14:textFill>
            <w14:solidFill>
              <w14:schemeClr w14:val="tx1"/>
            </w14:solidFill>
          </w14:textFill>
        </w:rPr>
        <w:t xml:space="preserve">表1.1.4-4         2030年水资源供需一次平衡分析成果表      单位：万m³ </w:t>
      </w:r>
    </w:p>
    <w:tbl>
      <w:tblPr>
        <w:tblStyle w:val="24"/>
        <w:tblW w:w="14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045"/>
        <w:gridCol w:w="690"/>
        <w:gridCol w:w="762"/>
        <w:gridCol w:w="762"/>
        <w:gridCol w:w="620"/>
        <w:gridCol w:w="837"/>
        <w:gridCol w:w="762"/>
        <w:gridCol w:w="816"/>
        <w:gridCol w:w="816"/>
        <w:gridCol w:w="616"/>
        <w:gridCol w:w="692"/>
        <w:gridCol w:w="834"/>
        <w:gridCol w:w="616"/>
        <w:gridCol w:w="616"/>
        <w:gridCol w:w="762"/>
        <w:gridCol w:w="616"/>
        <w:gridCol w:w="762"/>
        <w:gridCol w:w="919"/>
      </w:tblGrid>
      <w:tr w14:paraId="5CA9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3" w:type="dxa"/>
            <w:vMerge w:val="restart"/>
            <w:vAlign w:val="center"/>
          </w:tcPr>
          <w:p w14:paraId="7A8C197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县区</w:t>
            </w:r>
          </w:p>
        </w:tc>
        <w:tc>
          <w:tcPr>
            <w:tcW w:w="1045" w:type="dxa"/>
            <w:vMerge w:val="restart"/>
            <w:noWrap/>
            <w:vAlign w:val="center"/>
          </w:tcPr>
          <w:p w14:paraId="4E7B251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频率</w:t>
            </w:r>
          </w:p>
        </w:tc>
        <w:tc>
          <w:tcPr>
            <w:tcW w:w="3671" w:type="dxa"/>
            <w:gridSpan w:val="5"/>
            <w:noWrap/>
            <w:vAlign w:val="center"/>
          </w:tcPr>
          <w:p w14:paraId="752488C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需水量</w:t>
            </w:r>
          </w:p>
        </w:tc>
        <w:tc>
          <w:tcPr>
            <w:tcW w:w="4536" w:type="dxa"/>
            <w:gridSpan w:val="6"/>
            <w:noWrap/>
            <w:vAlign w:val="center"/>
          </w:tcPr>
          <w:p w14:paraId="224C98F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可供水量</w:t>
            </w:r>
          </w:p>
        </w:tc>
        <w:tc>
          <w:tcPr>
            <w:tcW w:w="3372" w:type="dxa"/>
            <w:gridSpan w:val="5"/>
            <w:noWrap/>
            <w:vAlign w:val="center"/>
          </w:tcPr>
          <w:p w14:paraId="231578D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w:t>
            </w:r>
          </w:p>
        </w:tc>
        <w:tc>
          <w:tcPr>
            <w:tcW w:w="919" w:type="dxa"/>
            <w:vMerge w:val="restart"/>
            <w:noWrap/>
            <w:vAlign w:val="center"/>
          </w:tcPr>
          <w:p w14:paraId="0948753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缺水率</w:t>
            </w:r>
          </w:p>
        </w:tc>
      </w:tr>
      <w:tr w14:paraId="472D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3" w:type="dxa"/>
            <w:vMerge w:val="continue"/>
            <w:vAlign w:val="center"/>
          </w:tcPr>
          <w:p w14:paraId="203DBC9A">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1045" w:type="dxa"/>
            <w:vMerge w:val="continue"/>
            <w:vAlign w:val="center"/>
          </w:tcPr>
          <w:p w14:paraId="4415FFFD">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690" w:type="dxa"/>
            <w:noWrap/>
            <w:vAlign w:val="center"/>
          </w:tcPr>
          <w:p w14:paraId="1B11D45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762" w:type="dxa"/>
            <w:noWrap/>
            <w:vAlign w:val="center"/>
          </w:tcPr>
          <w:p w14:paraId="3299C24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762" w:type="dxa"/>
            <w:noWrap/>
            <w:vAlign w:val="center"/>
          </w:tcPr>
          <w:p w14:paraId="0E6C45C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20" w:type="dxa"/>
            <w:noWrap/>
            <w:vAlign w:val="center"/>
          </w:tcPr>
          <w:p w14:paraId="792F618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837" w:type="dxa"/>
            <w:noWrap/>
            <w:vAlign w:val="center"/>
          </w:tcPr>
          <w:p w14:paraId="156EEDE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762" w:type="dxa"/>
            <w:noWrap/>
            <w:vAlign w:val="center"/>
          </w:tcPr>
          <w:p w14:paraId="24F8F73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蓄水</w:t>
            </w:r>
          </w:p>
        </w:tc>
        <w:tc>
          <w:tcPr>
            <w:tcW w:w="816" w:type="dxa"/>
            <w:noWrap/>
            <w:vAlign w:val="center"/>
          </w:tcPr>
          <w:p w14:paraId="7915717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引提水</w:t>
            </w:r>
          </w:p>
        </w:tc>
        <w:tc>
          <w:tcPr>
            <w:tcW w:w="816" w:type="dxa"/>
            <w:noWrap/>
            <w:vAlign w:val="center"/>
          </w:tcPr>
          <w:p w14:paraId="5F4C82A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地下水</w:t>
            </w:r>
          </w:p>
        </w:tc>
        <w:tc>
          <w:tcPr>
            <w:tcW w:w="616" w:type="dxa"/>
            <w:noWrap/>
            <w:vAlign w:val="center"/>
          </w:tcPr>
          <w:p w14:paraId="522CF07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调水</w:t>
            </w:r>
          </w:p>
        </w:tc>
        <w:tc>
          <w:tcPr>
            <w:tcW w:w="692" w:type="dxa"/>
            <w:noWrap/>
            <w:vAlign w:val="center"/>
          </w:tcPr>
          <w:p w14:paraId="74578E7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其他</w:t>
            </w:r>
          </w:p>
        </w:tc>
        <w:tc>
          <w:tcPr>
            <w:tcW w:w="834" w:type="dxa"/>
            <w:noWrap/>
            <w:vAlign w:val="center"/>
          </w:tcPr>
          <w:p w14:paraId="0F25B1C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616" w:type="dxa"/>
            <w:noWrap/>
            <w:vAlign w:val="center"/>
          </w:tcPr>
          <w:p w14:paraId="6E87E49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616" w:type="dxa"/>
            <w:noWrap/>
            <w:vAlign w:val="center"/>
          </w:tcPr>
          <w:p w14:paraId="0F5BF7A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762" w:type="dxa"/>
            <w:noWrap/>
            <w:vAlign w:val="center"/>
          </w:tcPr>
          <w:p w14:paraId="1594E9E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16" w:type="dxa"/>
            <w:noWrap/>
            <w:vAlign w:val="center"/>
          </w:tcPr>
          <w:p w14:paraId="323BB22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762" w:type="dxa"/>
            <w:noWrap/>
            <w:vAlign w:val="center"/>
          </w:tcPr>
          <w:p w14:paraId="68CBCDC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919" w:type="dxa"/>
            <w:vMerge w:val="continue"/>
            <w:vAlign w:val="center"/>
          </w:tcPr>
          <w:p w14:paraId="78A1A13C">
            <w:pPr>
              <w:widowControl/>
              <w:spacing w:line="240" w:lineRule="auto"/>
              <w:ind w:firstLine="0" w:firstLineChars="0"/>
              <w:jc w:val="center"/>
              <w:rPr>
                <w:color w:val="000000" w:themeColor="text1"/>
                <w:kern w:val="0"/>
                <w:sz w:val="20"/>
                <w:szCs w:val="20"/>
                <w14:textFill>
                  <w14:solidFill>
                    <w14:schemeClr w14:val="tx1"/>
                  </w14:solidFill>
                </w14:textFill>
              </w:rPr>
            </w:pPr>
          </w:p>
        </w:tc>
      </w:tr>
      <w:tr w14:paraId="2A31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903" w:type="dxa"/>
            <w:noWrap/>
            <w:vAlign w:val="center"/>
          </w:tcPr>
          <w:p w14:paraId="2CDF383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w:t>
            </w:r>
          </w:p>
        </w:tc>
        <w:tc>
          <w:tcPr>
            <w:tcW w:w="1045" w:type="dxa"/>
            <w:noWrap/>
            <w:vAlign w:val="center"/>
          </w:tcPr>
          <w:p w14:paraId="1BFBBF5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50%</w:t>
            </w:r>
          </w:p>
        </w:tc>
        <w:tc>
          <w:tcPr>
            <w:tcW w:w="690" w:type="dxa"/>
            <w:noWrap/>
            <w:vAlign w:val="center"/>
          </w:tcPr>
          <w:p w14:paraId="58A8A42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1058</w:t>
            </w:r>
          </w:p>
        </w:tc>
        <w:tc>
          <w:tcPr>
            <w:tcW w:w="762" w:type="dxa"/>
            <w:noWrap/>
            <w:vAlign w:val="center"/>
          </w:tcPr>
          <w:p w14:paraId="44B0338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5373</w:t>
            </w:r>
          </w:p>
        </w:tc>
        <w:tc>
          <w:tcPr>
            <w:tcW w:w="762" w:type="dxa"/>
            <w:noWrap/>
            <w:vAlign w:val="center"/>
          </w:tcPr>
          <w:p w14:paraId="0FBDBBD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5502</w:t>
            </w:r>
          </w:p>
        </w:tc>
        <w:tc>
          <w:tcPr>
            <w:tcW w:w="620" w:type="dxa"/>
            <w:noWrap/>
            <w:vAlign w:val="center"/>
          </w:tcPr>
          <w:p w14:paraId="189E9C9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83</w:t>
            </w:r>
          </w:p>
        </w:tc>
        <w:tc>
          <w:tcPr>
            <w:tcW w:w="837" w:type="dxa"/>
            <w:noWrap/>
            <w:vAlign w:val="center"/>
          </w:tcPr>
          <w:p w14:paraId="56734EF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12016</w:t>
            </w:r>
          </w:p>
        </w:tc>
        <w:tc>
          <w:tcPr>
            <w:tcW w:w="762" w:type="dxa"/>
            <w:noWrap/>
            <w:vAlign w:val="center"/>
          </w:tcPr>
          <w:p w14:paraId="08A545F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6325</w:t>
            </w:r>
          </w:p>
        </w:tc>
        <w:tc>
          <w:tcPr>
            <w:tcW w:w="816" w:type="dxa"/>
            <w:noWrap/>
            <w:vAlign w:val="center"/>
          </w:tcPr>
          <w:p w14:paraId="3A8C033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2339</w:t>
            </w:r>
          </w:p>
        </w:tc>
        <w:tc>
          <w:tcPr>
            <w:tcW w:w="816" w:type="dxa"/>
            <w:noWrap/>
            <w:vAlign w:val="center"/>
          </w:tcPr>
          <w:p w14:paraId="080BFEA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616" w:type="dxa"/>
            <w:noWrap/>
            <w:vAlign w:val="center"/>
          </w:tcPr>
          <w:p w14:paraId="0026013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92" w:type="dxa"/>
            <w:noWrap/>
            <w:vAlign w:val="center"/>
          </w:tcPr>
          <w:p w14:paraId="45685B0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270</w:t>
            </w:r>
          </w:p>
        </w:tc>
        <w:tc>
          <w:tcPr>
            <w:tcW w:w="834" w:type="dxa"/>
            <w:noWrap/>
            <w:vAlign w:val="center"/>
          </w:tcPr>
          <w:p w14:paraId="54C71A2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8944</w:t>
            </w:r>
          </w:p>
        </w:tc>
        <w:tc>
          <w:tcPr>
            <w:tcW w:w="616" w:type="dxa"/>
            <w:noWrap/>
            <w:vAlign w:val="center"/>
          </w:tcPr>
          <w:p w14:paraId="60D4859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6" w:type="dxa"/>
            <w:noWrap/>
            <w:vAlign w:val="center"/>
          </w:tcPr>
          <w:p w14:paraId="4D3FBB7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249</w:t>
            </w:r>
          </w:p>
        </w:tc>
        <w:tc>
          <w:tcPr>
            <w:tcW w:w="762" w:type="dxa"/>
            <w:noWrap/>
            <w:vAlign w:val="center"/>
          </w:tcPr>
          <w:p w14:paraId="4A1A5F0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2823</w:t>
            </w:r>
          </w:p>
        </w:tc>
        <w:tc>
          <w:tcPr>
            <w:tcW w:w="616" w:type="dxa"/>
            <w:noWrap/>
            <w:vAlign w:val="center"/>
          </w:tcPr>
          <w:p w14:paraId="4B677DC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62" w:type="dxa"/>
            <w:noWrap/>
            <w:vAlign w:val="center"/>
          </w:tcPr>
          <w:p w14:paraId="5731800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3072</w:t>
            </w:r>
          </w:p>
        </w:tc>
        <w:tc>
          <w:tcPr>
            <w:tcW w:w="919" w:type="dxa"/>
            <w:noWrap/>
            <w:vAlign w:val="center"/>
          </w:tcPr>
          <w:p w14:paraId="52EADFD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26%</w:t>
            </w:r>
          </w:p>
        </w:tc>
      </w:tr>
      <w:tr w14:paraId="6C75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3" w:type="dxa"/>
            <w:noWrap/>
            <w:vAlign w:val="center"/>
          </w:tcPr>
          <w:p w14:paraId="7A18429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w:t>
            </w:r>
          </w:p>
        </w:tc>
        <w:tc>
          <w:tcPr>
            <w:tcW w:w="1045" w:type="dxa"/>
            <w:noWrap/>
            <w:vAlign w:val="center"/>
          </w:tcPr>
          <w:p w14:paraId="1F07AE4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75%</w:t>
            </w:r>
          </w:p>
        </w:tc>
        <w:tc>
          <w:tcPr>
            <w:tcW w:w="690" w:type="dxa"/>
            <w:noWrap/>
            <w:vAlign w:val="center"/>
          </w:tcPr>
          <w:p w14:paraId="3AB2CD2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1058</w:t>
            </w:r>
          </w:p>
        </w:tc>
        <w:tc>
          <w:tcPr>
            <w:tcW w:w="762" w:type="dxa"/>
            <w:noWrap/>
            <w:vAlign w:val="center"/>
          </w:tcPr>
          <w:p w14:paraId="7721305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5373</w:t>
            </w:r>
          </w:p>
        </w:tc>
        <w:tc>
          <w:tcPr>
            <w:tcW w:w="762" w:type="dxa"/>
            <w:noWrap/>
            <w:vAlign w:val="center"/>
          </w:tcPr>
          <w:p w14:paraId="1458B54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6091</w:t>
            </w:r>
          </w:p>
        </w:tc>
        <w:tc>
          <w:tcPr>
            <w:tcW w:w="620" w:type="dxa"/>
            <w:noWrap/>
            <w:vAlign w:val="center"/>
          </w:tcPr>
          <w:p w14:paraId="0672083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83</w:t>
            </w:r>
          </w:p>
        </w:tc>
        <w:tc>
          <w:tcPr>
            <w:tcW w:w="837" w:type="dxa"/>
            <w:noWrap/>
            <w:vAlign w:val="center"/>
          </w:tcPr>
          <w:p w14:paraId="3C53010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12605</w:t>
            </w:r>
          </w:p>
        </w:tc>
        <w:tc>
          <w:tcPr>
            <w:tcW w:w="762" w:type="dxa"/>
            <w:noWrap/>
            <w:vAlign w:val="center"/>
          </w:tcPr>
          <w:p w14:paraId="7978142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6575</w:t>
            </w:r>
          </w:p>
        </w:tc>
        <w:tc>
          <w:tcPr>
            <w:tcW w:w="816" w:type="dxa"/>
            <w:noWrap/>
            <w:vAlign w:val="center"/>
          </w:tcPr>
          <w:p w14:paraId="57D162C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2323</w:t>
            </w:r>
          </w:p>
        </w:tc>
        <w:tc>
          <w:tcPr>
            <w:tcW w:w="816" w:type="dxa"/>
            <w:noWrap/>
            <w:vAlign w:val="center"/>
          </w:tcPr>
          <w:p w14:paraId="0CA08C3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616" w:type="dxa"/>
            <w:noWrap/>
            <w:vAlign w:val="center"/>
          </w:tcPr>
          <w:p w14:paraId="113C12D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92" w:type="dxa"/>
            <w:noWrap/>
            <w:vAlign w:val="center"/>
          </w:tcPr>
          <w:p w14:paraId="7208D61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270</w:t>
            </w:r>
          </w:p>
        </w:tc>
        <w:tc>
          <w:tcPr>
            <w:tcW w:w="834" w:type="dxa"/>
            <w:noWrap/>
            <w:vAlign w:val="center"/>
          </w:tcPr>
          <w:p w14:paraId="49B2772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9178</w:t>
            </w:r>
          </w:p>
        </w:tc>
        <w:tc>
          <w:tcPr>
            <w:tcW w:w="616" w:type="dxa"/>
            <w:noWrap/>
            <w:vAlign w:val="center"/>
          </w:tcPr>
          <w:p w14:paraId="240A046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6" w:type="dxa"/>
            <w:noWrap/>
            <w:vAlign w:val="center"/>
          </w:tcPr>
          <w:p w14:paraId="12A6D81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329</w:t>
            </w:r>
          </w:p>
        </w:tc>
        <w:tc>
          <w:tcPr>
            <w:tcW w:w="762" w:type="dxa"/>
            <w:noWrap/>
            <w:vAlign w:val="center"/>
          </w:tcPr>
          <w:p w14:paraId="1BDCED0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3098</w:t>
            </w:r>
          </w:p>
        </w:tc>
        <w:tc>
          <w:tcPr>
            <w:tcW w:w="616" w:type="dxa"/>
            <w:noWrap/>
            <w:vAlign w:val="center"/>
          </w:tcPr>
          <w:p w14:paraId="2C578D9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62" w:type="dxa"/>
            <w:noWrap/>
            <w:vAlign w:val="center"/>
          </w:tcPr>
          <w:p w14:paraId="46342D0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3427</w:t>
            </w:r>
          </w:p>
        </w:tc>
        <w:tc>
          <w:tcPr>
            <w:tcW w:w="919" w:type="dxa"/>
            <w:noWrap/>
            <w:vAlign w:val="center"/>
          </w:tcPr>
          <w:p w14:paraId="77604A4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w:t>
            </w:r>
          </w:p>
        </w:tc>
      </w:tr>
      <w:tr w14:paraId="4BFD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903" w:type="dxa"/>
            <w:noWrap/>
            <w:vAlign w:val="center"/>
          </w:tcPr>
          <w:p w14:paraId="5D651D8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w:t>
            </w:r>
          </w:p>
        </w:tc>
        <w:tc>
          <w:tcPr>
            <w:tcW w:w="1045" w:type="dxa"/>
            <w:noWrap/>
            <w:vAlign w:val="center"/>
          </w:tcPr>
          <w:p w14:paraId="091F1C7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95%</w:t>
            </w:r>
          </w:p>
        </w:tc>
        <w:tc>
          <w:tcPr>
            <w:tcW w:w="690" w:type="dxa"/>
            <w:noWrap/>
            <w:vAlign w:val="center"/>
          </w:tcPr>
          <w:p w14:paraId="6F3924E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1058</w:t>
            </w:r>
          </w:p>
        </w:tc>
        <w:tc>
          <w:tcPr>
            <w:tcW w:w="762" w:type="dxa"/>
            <w:noWrap/>
            <w:vAlign w:val="center"/>
          </w:tcPr>
          <w:p w14:paraId="7C40AD3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5373</w:t>
            </w:r>
          </w:p>
        </w:tc>
        <w:tc>
          <w:tcPr>
            <w:tcW w:w="762" w:type="dxa"/>
            <w:noWrap/>
            <w:vAlign w:val="center"/>
          </w:tcPr>
          <w:p w14:paraId="2228F68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7261</w:t>
            </w:r>
          </w:p>
        </w:tc>
        <w:tc>
          <w:tcPr>
            <w:tcW w:w="620" w:type="dxa"/>
            <w:noWrap/>
            <w:vAlign w:val="center"/>
          </w:tcPr>
          <w:p w14:paraId="4D158F7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83</w:t>
            </w:r>
          </w:p>
        </w:tc>
        <w:tc>
          <w:tcPr>
            <w:tcW w:w="837" w:type="dxa"/>
            <w:noWrap/>
            <w:vAlign w:val="center"/>
          </w:tcPr>
          <w:p w14:paraId="45225B2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13775</w:t>
            </w:r>
          </w:p>
        </w:tc>
        <w:tc>
          <w:tcPr>
            <w:tcW w:w="762" w:type="dxa"/>
            <w:noWrap/>
            <w:vAlign w:val="center"/>
          </w:tcPr>
          <w:p w14:paraId="678D679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6040</w:t>
            </w:r>
          </w:p>
        </w:tc>
        <w:tc>
          <w:tcPr>
            <w:tcW w:w="816" w:type="dxa"/>
            <w:noWrap/>
            <w:vAlign w:val="center"/>
          </w:tcPr>
          <w:p w14:paraId="284509E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2101</w:t>
            </w:r>
          </w:p>
        </w:tc>
        <w:tc>
          <w:tcPr>
            <w:tcW w:w="816" w:type="dxa"/>
            <w:noWrap/>
            <w:vAlign w:val="center"/>
          </w:tcPr>
          <w:p w14:paraId="0E4A8D5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616" w:type="dxa"/>
            <w:noWrap/>
            <w:vAlign w:val="center"/>
          </w:tcPr>
          <w:p w14:paraId="0D3021A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92" w:type="dxa"/>
            <w:noWrap/>
            <w:vAlign w:val="center"/>
          </w:tcPr>
          <w:p w14:paraId="2AE63D8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270</w:t>
            </w:r>
          </w:p>
        </w:tc>
        <w:tc>
          <w:tcPr>
            <w:tcW w:w="834" w:type="dxa"/>
            <w:noWrap/>
            <w:vAlign w:val="center"/>
          </w:tcPr>
          <w:p w14:paraId="22216B2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8421</w:t>
            </w:r>
          </w:p>
        </w:tc>
        <w:tc>
          <w:tcPr>
            <w:tcW w:w="616" w:type="dxa"/>
            <w:noWrap/>
            <w:vAlign w:val="center"/>
          </w:tcPr>
          <w:p w14:paraId="3A46679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w:t>
            </w:r>
          </w:p>
        </w:tc>
        <w:tc>
          <w:tcPr>
            <w:tcW w:w="616" w:type="dxa"/>
            <w:noWrap/>
            <w:vAlign w:val="center"/>
          </w:tcPr>
          <w:p w14:paraId="1228788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1377</w:t>
            </w:r>
          </w:p>
        </w:tc>
        <w:tc>
          <w:tcPr>
            <w:tcW w:w="762" w:type="dxa"/>
            <w:noWrap/>
            <w:vAlign w:val="center"/>
          </w:tcPr>
          <w:p w14:paraId="0501F7A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3972</w:t>
            </w:r>
          </w:p>
        </w:tc>
        <w:tc>
          <w:tcPr>
            <w:tcW w:w="616" w:type="dxa"/>
            <w:noWrap/>
            <w:vAlign w:val="center"/>
          </w:tcPr>
          <w:p w14:paraId="5947A7F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62" w:type="dxa"/>
            <w:noWrap/>
            <w:vAlign w:val="center"/>
          </w:tcPr>
          <w:p w14:paraId="2054C7B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5354</w:t>
            </w:r>
          </w:p>
        </w:tc>
        <w:tc>
          <w:tcPr>
            <w:tcW w:w="919" w:type="dxa"/>
            <w:noWrap/>
            <w:vAlign w:val="center"/>
          </w:tcPr>
          <w:p w14:paraId="14057DE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39%</w:t>
            </w:r>
          </w:p>
        </w:tc>
      </w:tr>
      <w:tr w14:paraId="51B5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3" w:type="dxa"/>
            <w:noWrap/>
            <w:vAlign w:val="center"/>
          </w:tcPr>
          <w:p w14:paraId="403CBCF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w:t>
            </w:r>
          </w:p>
        </w:tc>
        <w:tc>
          <w:tcPr>
            <w:tcW w:w="1045" w:type="dxa"/>
            <w:noWrap/>
            <w:vAlign w:val="center"/>
          </w:tcPr>
          <w:p w14:paraId="6841475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多年平均</w:t>
            </w:r>
          </w:p>
        </w:tc>
        <w:tc>
          <w:tcPr>
            <w:tcW w:w="690" w:type="dxa"/>
            <w:noWrap/>
            <w:vAlign w:val="center"/>
          </w:tcPr>
          <w:p w14:paraId="40B29D8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1058</w:t>
            </w:r>
          </w:p>
        </w:tc>
        <w:tc>
          <w:tcPr>
            <w:tcW w:w="762" w:type="dxa"/>
            <w:noWrap/>
            <w:vAlign w:val="center"/>
          </w:tcPr>
          <w:p w14:paraId="638C506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5117</w:t>
            </w:r>
          </w:p>
        </w:tc>
        <w:tc>
          <w:tcPr>
            <w:tcW w:w="762" w:type="dxa"/>
            <w:noWrap/>
            <w:vAlign w:val="center"/>
          </w:tcPr>
          <w:p w14:paraId="25B3B8E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6088</w:t>
            </w:r>
          </w:p>
        </w:tc>
        <w:tc>
          <w:tcPr>
            <w:tcW w:w="620" w:type="dxa"/>
            <w:noWrap/>
            <w:vAlign w:val="center"/>
          </w:tcPr>
          <w:p w14:paraId="6607873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83</w:t>
            </w:r>
          </w:p>
        </w:tc>
        <w:tc>
          <w:tcPr>
            <w:tcW w:w="837" w:type="dxa"/>
            <w:noWrap/>
            <w:vAlign w:val="center"/>
          </w:tcPr>
          <w:p w14:paraId="200FCD1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12346</w:t>
            </w:r>
          </w:p>
        </w:tc>
        <w:tc>
          <w:tcPr>
            <w:tcW w:w="762" w:type="dxa"/>
            <w:noWrap/>
            <w:vAlign w:val="center"/>
          </w:tcPr>
          <w:p w14:paraId="6A6FFEC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6194</w:t>
            </w:r>
          </w:p>
        </w:tc>
        <w:tc>
          <w:tcPr>
            <w:tcW w:w="816" w:type="dxa"/>
            <w:noWrap/>
            <w:vAlign w:val="center"/>
          </w:tcPr>
          <w:p w14:paraId="1473F15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2282</w:t>
            </w:r>
          </w:p>
        </w:tc>
        <w:tc>
          <w:tcPr>
            <w:tcW w:w="816" w:type="dxa"/>
            <w:noWrap/>
            <w:vAlign w:val="center"/>
          </w:tcPr>
          <w:p w14:paraId="4E403E4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616" w:type="dxa"/>
            <w:noWrap/>
            <w:vAlign w:val="center"/>
          </w:tcPr>
          <w:p w14:paraId="2816A47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92" w:type="dxa"/>
            <w:noWrap/>
            <w:vAlign w:val="center"/>
          </w:tcPr>
          <w:p w14:paraId="292268E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270</w:t>
            </w:r>
          </w:p>
        </w:tc>
        <w:tc>
          <w:tcPr>
            <w:tcW w:w="834" w:type="dxa"/>
            <w:noWrap/>
            <w:vAlign w:val="center"/>
          </w:tcPr>
          <w:p w14:paraId="46FA7A9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8756</w:t>
            </w:r>
          </w:p>
        </w:tc>
        <w:tc>
          <w:tcPr>
            <w:tcW w:w="616" w:type="dxa"/>
            <w:noWrap/>
            <w:vAlign w:val="center"/>
          </w:tcPr>
          <w:p w14:paraId="62DFAF3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6" w:type="dxa"/>
            <w:noWrap/>
            <w:vAlign w:val="center"/>
          </w:tcPr>
          <w:p w14:paraId="24A6119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332</w:t>
            </w:r>
          </w:p>
        </w:tc>
        <w:tc>
          <w:tcPr>
            <w:tcW w:w="762" w:type="dxa"/>
            <w:noWrap/>
            <w:vAlign w:val="center"/>
          </w:tcPr>
          <w:p w14:paraId="41C3223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3258</w:t>
            </w:r>
          </w:p>
        </w:tc>
        <w:tc>
          <w:tcPr>
            <w:tcW w:w="616" w:type="dxa"/>
            <w:noWrap/>
            <w:vAlign w:val="center"/>
          </w:tcPr>
          <w:p w14:paraId="0E71A18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62" w:type="dxa"/>
            <w:noWrap/>
            <w:vAlign w:val="center"/>
          </w:tcPr>
          <w:p w14:paraId="7187FB9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3590</w:t>
            </w:r>
          </w:p>
        </w:tc>
        <w:tc>
          <w:tcPr>
            <w:tcW w:w="919" w:type="dxa"/>
            <w:noWrap/>
            <w:vAlign w:val="center"/>
          </w:tcPr>
          <w:p w14:paraId="5785A3F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29%</w:t>
            </w:r>
          </w:p>
        </w:tc>
      </w:tr>
    </w:tbl>
    <w:p w14:paraId="75F1F1DC">
      <w:pPr>
        <w:ind w:firstLine="640"/>
        <w:rPr>
          <w:color w:val="000000" w:themeColor="text1"/>
          <w14:textFill>
            <w14:solidFill>
              <w14:schemeClr w14:val="tx1"/>
            </w14:solidFill>
          </w14:textFill>
        </w:rPr>
        <w:sectPr>
          <w:pgSz w:w="16838" w:h="11906" w:orient="landscape"/>
          <w:pgMar w:top="1871" w:right="1304" w:bottom="1418" w:left="1304" w:header="851" w:footer="992" w:gutter="0"/>
          <w:pgNumType w:fmt="numberInDash"/>
          <w:cols w:space="425" w:num="1"/>
          <w:docGrid w:linePitch="312" w:charSpace="0"/>
        </w:sectPr>
      </w:pPr>
    </w:p>
    <w:p w14:paraId="3A781DF0">
      <w:pPr>
        <w:pStyle w:val="76"/>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水资源二次供需平衡分析</w:t>
      </w:r>
    </w:p>
    <w:p w14:paraId="65A55446">
      <w:pPr>
        <w:ind w:firstLine="640"/>
        <w:rPr>
          <w:b/>
          <w:color w:val="000000" w:themeColor="text1"/>
          <w:szCs w:val="32"/>
          <w14:textFill>
            <w14:solidFill>
              <w14:schemeClr w14:val="tx1"/>
            </w14:solidFill>
          </w14:textFill>
        </w:rPr>
      </w:pPr>
      <w:r>
        <w:rPr>
          <w:color w:val="000000" w:themeColor="text1"/>
          <w14:textFill>
            <w14:solidFill>
              <w14:schemeClr w14:val="tx1"/>
            </w14:solidFill>
          </w14:textFill>
        </w:rPr>
        <w:t>“二次平衡”分析就是配置方案二的供需平衡分析。通过一次平衡分析可知，现状工程的供水能力不能满足易门县经济社会2020、2030年的用水需求，需要进行开源节流。具体措施一是对当地现有供水工程进行挖潜改造，新建水源工程，二是限制大耗水产业部门的发展，鼓励低耗水产业部门的发展；进行生活、工业、农业方面的器具型和工程型节水，降低用水定额；进行蓄水、供水、用水、排水等各个环节的基础设施改造以减少无效蒸发和渗漏，改变作物种植结构和田间用水方式，提高农业水的利用效率等。</w:t>
      </w:r>
    </w:p>
    <w:p w14:paraId="4F3EF962">
      <w:pPr>
        <w:ind w:firstLine="640"/>
        <w:rPr>
          <w:color w:val="000000" w:themeColor="text1"/>
          <w14:textFill>
            <w14:solidFill>
              <w14:schemeClr w14:val="tx1"/>
            </w14:solidFill>
          </w14:textFill>
        </w:rPr>
      </w:pPr>
      <w:r>
        <w:rPr>
          <w:color w:val="000000" w:themeColor="text1"/>
          <w14:textFill>
            <w14:solidFill>
              <w14:schemeClr w14:val="tx1"/>
            </w14:solidFill>
          </w14:textFill>
        </w:rPr>
        <w:t>从方案二的计算结果可以看出，规划水平年2020年易门县多年平均需水量10588万m³，可供水量10283万m³，缺水305万m³，缺水率2.88%。到2030年，易门县多年平均需水量11626万m³，可供水量10721万m³，缺水905万m³，缺水率7.78%。从计算分区的供需调节计算结果来看，2020年，P=75%来水频率下各计算分区缺水率在0.48%以内，基本不缺水。2030年，计算分区丰水年和平水年份水资源供需是基本平衡的，偏枯年份或枯水年份，现有和规划新增工程基本满足需水增长要求。P=75%来水频率下缺水率7.28%。从用水部门上看，各计算分区的生活基本不缺水，工业缺水较少，主要是农业缺水。</w:t>
      </w:r>
    </w:p>
    <w:p w14:paraId="358FDF27">
      <w:pPr>
        <w:ind w:firstLine="640"/>
        <w:rPr>
          <w:color w:val="000000" w:themeColor="text1"/>
          <w14:textFill>
            <w14:solidFill>
              <w14:schemeClr w14:val="tx1"/>
            </w14:solidFill>
          </w14:textFill>
        </w:rPr>
        <w:sectPr>
          <w:pgSz w:w="11906" w:h="16838"/>
          <w:pgMar w:top="1871" w:right="1304" w:bottom="1418" w:left="1304" w:header="851" w:footer="992" w:gutter="0"/>
          <w:pgNumType w:fmt="numberInDash"/>
          <w:cols w:space="425" w:num="1"/>
          <w:docGrid w:linePitch="312" w:charSpace="0"/>
        </w:sectPr>
      </w:pPr>
      <w:r>
        <w:rPr>
          <w:color w:val="000000" w:themeColor="text1"/>
          <w14:textFill>
            <w14:solidFill>
              <w14:schemeClr w14:val="tx1"/>
            </w14:solidFill>
          </w14:textFill>
        </w:rPr>
        <w:t>总体来看，到2030年，除少部分计算单元外，大部分计算单元都能够满足经济社会的用水需求，农业用水保证率也基本能达到75%，不需要外流域调水。但易门扒河片等地区由于存在资源性缺水，在挖潜改造本地水资源后，满足不了2030年该区域的经济社会需水，生活工业用水挤占农业用水，使得农业用水保证率低，需要外流域调水进行三次平衡。</w:t>
      </w:r>
    </w:p>
    <w:p w14:paraId="5EA21D93">
      <w:pPr>
        <w:pStyle w:val="51"/>
        <w:rPr>
          <w:color w:val="000000" w:themeColor="text1"/>
          <w14:textFill>
            <w14:solidFill>
              <w14:schemeClr w14:val="tx1"/>
            </w14:solidFill>
          </w14:textFill>
        </w:rPr>
      </w:pPr>
      <w:r>
        <w:rPr>
          <w:color w:val="000000" w:themeColor="text1"/>
          <w14:textFill>
            <w14:solidFill>
              <w14:schemeClr w14:val="tx1"/>
            </w14:solidFill>
          </w14:textFill>
        </w:rPr>
        <w:t>表1.1.4-5         2020年水资源供需二次平衡分析成果表      单位：万m³</w:t>
      </w:r>
    </w:p>
    <w:tbl>
      <w:tblPr>
        <w:tblStyle w:val="24"/>
        <w:tblW w:w="14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045"/>
        <w:gridCol w:w="690"/>
        <w:gridCol w:w="762"/>
        <w:gridCol w:w="762"/>
        <w:gridCol w:w="620"/>
        <w:gridCol w:w="837"/>
        <w:gridCol w:w="762"/>
        <w:gridCol w:w="816"/>
        <w:gridCol w:w="816"/>
        <w:gridCol w:w="616"/>
        <w:gridCol w:w="692"/>
        <w:gridCol w:w="834"/>
        <w:gridCol w:w="616"/>
        <w:gridCol w:w="616"/>
        <w:gridCol w:w="762"/>
        <w:gridCol w:w="616"/>
        <w:gridCol w:w="762"/>
        <w:gridCol w:w="919"/>
      </w:tblGrid>
      <w:tr w14:paraId="3672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3" w:type="dxa"/>
            <w:vMerge w:val="restart"/>
            <w:vAlign w:val="center"/>
          </w:tcPr>
          <w:p w14:paraId="362E505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县区</w:t>
            </w:r>
          </w:p>
        </w:tc>
        <w:tc>
          <w:tcPr>
            <w:tcW w:w="1045" w:type="dxa"/>
            <w:vMerge w:val="restart"/>
            <w:noWrap/>
            <w:vAlign w:val="center"/>
          </w:tcPr>
          <w:p w14:paraId="2E6DA5F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频率</w:t>
            </w:r>
          </w:p>
        </w:tc>
        <w:tc>
          <w:tcPr>
            <w:tcW w:w="3671" w:type="dxa"/>
            <w:gridSpan w:val="5"/>
            <w:noWrap/>
            <w:vAlign w:val="center"/>
          </w:tcPr>
          <w:p w14:paraId="1E72122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需水量</w:t>
            </w:r>
          </w:p>
        </w:tc>
        <w:tc>
          <w:tcPr>
            <w:tcW w:w="4536" w:type="dxa"/>
            <w:gridSpan w:val="6"/>
            <w:noWrap/>
            <w:vAlign w:val="center"/>
          </w:tcPr>
          <w:p w14:paraId="09D59EE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可供水量</w:t>
            </w:r>
          </w:p>
        </w:tc>
        <w:tc>
          <w:tcPr>
            <w:tcW w:w="3372" w:type="dxa"/>
            <w:gridSpan w:val="5"/>
            <w:noWrap/>
            <w:vAlign w:val="center"/>
          </w:tcPr>
          <w:p w14:paraId="7FCCE65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w:t>
            </w:r>
          </w:p>
        </w:tc>
        <w:tc>
          <w:tcPr>
            <w:tcW w:w="919" w:type="dxa"/>
            <w:vMerge w:val="restart"/>
            <w:noWrap/>
            <w:vAlign w:val="center"/>
          </w:tcPr>
          <w:p w14:paraId="342AF6C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缺水率</w:t>
            </w:r>
          </w:p>
        </w:tc>
      </w:tr>
      <w:tr w14:paraId="6495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3" w:type="dxa"/>
            <w:vMerge w:val="continue"/>
            <w:vAlign w:val="center"/>
          </w:tcPr>
          <w:p w14:paraId="44824740">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1045" w:type="dxa"/>
            <w:vMerge w:val="continue"/>
            <w:vAlign w:val="center"/>
          </w:tcPr>
          <w:p w14:paraId="5A1C6462">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690" w:type="dxa"/>
            <w:noWrap/>
            <w:vAlign w:val="center"/>
          </w:tcPr>
          <w:p w14:paraId="7C380FB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762" w:type="dxa"/>
            <w:noWrap/>
            <w:vAlign w:val="center"/>
          </w:tcPr>
          <w:p w14:paraId="731C03A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762" w:type="dxa"/>
            <w:noWrap/>
            <w:vAlign w:val="center"/>
          </w:tcPr>
          <w:p w14:paraId="5285B74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20" w:type="dxa"/>
            <w:noWrap/>
            <w:vAlign w:val="center"/>
          </w:tcPr>
          <w:p w14:paraId="2D818DD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837" w:type="dxa"/>
            <w:noWrap/>
            <w:vAlign w:val="center"/>
          </w:tcPr>
          <w:p w14:paraId="0135343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762" w:type="dxa"/>
            <w:noWrap/>
            <w:vAlign w:val="center"/>
          </w:tcPr>
          <w:p w14:paraId="45B1AD7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蓄水</w:t>
            </w:r>
          </w:p>
        </w:tc>
        <w:tc>
          <w:tcPr>
            <w:tcW w:w="816" w:type="dxa"/>
            <w:noWrap/>
            <w:vAlign w:val="center"/>
          </w:tcPr>
          <w:p w14:paraId="3F23E1C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引提水</w:t>
            </w:r>
          </w:p>
        </w:tc>
        <w:tc>
          <w:tcPr>
            <w:tcW w:w="816" w:type="dxa"/>
            <w:noWrap/>
            <w:vAlign w:val="center"/>
          </w:tcPr>
          <w:p w14:paraId="402AB36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地下水</w:t>
            </w:r>
          </w:p>
        </w:tc>
        <w:tc>
          <w:tcPr>
            <w:tcW w:w="616" w:type="dxa"/>
            <w:noWrap/>
            <w:vAlign w:val="center"/>
          </w:tcPr>
          <w:p w14:paraId="42DDE04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调水</w:t>
            </w:r>
          </w:p>
        </w:tc>
        <w:tc>
          <w:tcPr>
            <w:tcW w:w="692" w:type="dxa"/>
            <w:noWrap/>
            <w:vAlign w:val="center"/>
          </w:tcPr>
          <w:p w14:paraId="78343D7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其他</w:t>
            </w:r>
          </w:p>
        </w:tc>
        <w:tc>
          <w:tcPr>
            <w:tcW w:w="834" w:type="dxa"/>
            <w:noWrap/>
            <w:vAlign w:val="center"/>
          </w:tcPr>
          <w:p w14:paraId="40532C8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616" w:type="dxa"/>
            <w:noWrap/>
            <w:vAlign w:val="center"/>
          </w:tcPr>
          <w:p w14:paraId="6EB4898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616" w:type="dxa"/>
            <w:noWrap/>
            <w:vAlign w:val="center"/>
          </w:tcPr>
          <w:p w14:paraId="3E92D73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762" w:type="dxa"/>
            <w:noWrap/>
            <w:vAlign w:val="center"/>
          </w:tcPr>
          <w:p w14:paraId="536D054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16" w:type="dxa"/>
            <w:noWrap/>
            <w:vAlign w:val="center"/>
          </w:tcPr>
          <w:p w14:paraId="5C50C6A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762" w:type="dxa"/>
            <w:noWrap/>
            <w:vAlign w:val="center"/>
          </w:tcPr>
          <w:p w14:paraId="7124914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919" w:type="dxa"/>
            <w:vMerge w:val="continue"/>
            <w:vAlign w:val="center"/>
          </w:tcPr>
          <w:p w14:paraId="60D42C36">
            <w:pPr>
              <w:widowControl/>
              <w:spacing w:line="240" w:lineRule="auto"/>
              <w:ind w:firstLine="0" w:firstLineChars="0"/>
              <w:jc w:val="center"/>
              <w:rPr>
                <w:color w:val="000000" w:themeColor="text1"/>
                <w:kern w:val="0"/>
                <w:sz w:val="20"/>
                <w:szCs w:val="20"/>
                <w14:textFill>
                  <w14:solidFill>
                    <w14:schemeClr w14:val="tx1"/>
                  </w14:solidFill>
                </w14:textFill>
              </w:rPr>
            </w:pPr>
          </w:p>
        </w:tc>
      </w:tr>
      <w:tr w14:paraId="376A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3" w:type="dxa"/>
            <w:noWrap/>
            <w:vAlign w:val="bottom"/>
          </w:tcPr>
          <w:p w14:paraId="0C0DF7E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易门县</w:t>
            </w:r>
          </w:p>
        </w:tc>
        <w:tc>
          <w:tcPr>
            <w:tcW w:w="1045" w:type="dxa"/>
            <w:noWrap/>
            <w:vAlign w:val="center"/>
          </w:tcPr>
          <w:p w14:paraId="31248F8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50%</w:t>
            </w:r>
          </w:p>
        </w:tc>
        <w:tc>
          <w:tcPr>
            <w:tcW w:w="690" w:type="dxa"/>
            <w:noWrap/>
            <w:vAlign w:val="center"/>
          </w:tcPr>
          <w:p w14:paraId="2287E21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835 </w:t>
            </w:r>
          </w:p>
        </w:tc>
        <w:tc>
          <w:tcPr>
            <w:tcW w:w="762" w:type="dxa"/>
            <w:noWrap/>
            <w:vAlign w:val="center"/>
          </w:tcPr>
          <w:p w14:paraId="74AD54D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3864 </w:t>
            </w:r>
          </w:p>
        </w:tc>
        <w:tc>
          <w:tcPr>
            <w:tcW w:w="762" w:type="dxa"/>
            <w:noWrap/>
            <w:vAlign w:val="center"/>
          </w:tcPr>
          <w:p w14:paraId="3F788DF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5572 </w:t>
            </w:r>
          </w:p>
        </w:tc>
        <w:tc>
          <w:tcPr>
            <w:tcW w:w="620" w:type="dxa"/>
            <w:noWrap/>
            <w:vAlign w:val="center"/>
          </w:tcPr>
          <w:p w14:paraId="77701EB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56 </w:t>
            </w:r>
          </w:p>
        </w:tc>
        <w:tc>
          <w:tcPr>
            <w:tcW w:w="837" w:type="dxa"/>
            <w:noWrap/>
            <w:vAlign w:val="center"/>
          </w:tcPr>
          <w:p w14:paraId="5632D85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10327 </w:t>
            </w:r>
          </w:p>
        </w:tc>
        <w:tc>
          <w:tcPr>
            <w:tcW w:w="762" w:type="dxa"/>
            <w:noWrap/>
            <w:vAlign w:val="center"/>
          </w:tcPr>
          <w:p w14:paraId="1F5F492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8259 </w:t>
            </w:r>
          </w:p>
        </w:tc>
        <w:tc>
          <w:tcPr>
            <w:tcW w:w="816" w:type="dxa"/>
            <w:noWrap/>
            <w:vAlign w:val="center"/>
          </w:tcPr>
          <w:p w14:paraId="36D2D6B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1776 </w:t>
            </w:r>
          </w:p>
        </w:tc>
        <w:tc>
          <w:tcPr>
            <w:tcW w:w="816" w:type="dxa"/>
            <w:noWrap/>
            <w:vAlign w:val="center"/>
          </w:tcPr>
          <w:p w14:paraId="07E44DF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32 </w:t>
            </w:r>
          </w:p>
        </w:tc>
        <w:tc>
          <w:tcPr>
            <w:tcW w:w="616" w:type="dxa"/>
            <w:noWrap/>
            <w:vAlign w:val="center"/>
          </w:tcPr>
          <w:p w14:paraId="74EA91A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92" w:type="dxa"/>
            <w:noWrap/>
            <w:vAlign w:val="center"/>
          </w:tcPr>
          <w:p w14:paraId="78D8D12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260 </w:t>
            </w:r>
          </w:p>
        </w:tc>
        <w:tc>
          <w:tcPr>
            <w:tcW w:w="834" w:type="dxa"/>
            <w:noWrap/>
            <w:vAlign w:val="center"/>
          </w:tcPr>
          <w:p w14:paraId="5AF1609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10327 </w:t>
            </w:r>
          </w:p>
        </w:tc>
        <w:tc>
          <w:tcPr>
            <w:tcW w:w="616" w:type="dxa"/>
            <w:noWrap/>
            <w:vAlign w:val="center"/>
          </w:tcPr>
          <w:p w14:paraId="4D124D6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16" w:type="dxa"/>
            <w:noWrap/>
            <w:vAlign w:val="center"/>
          </w:tcPr>
          <w:p w14:paraId="27671D4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762" w:type="dxa"/>
            <w:noWrap/>
            <w:vAlign w:val="center"/>
          </w:tcPr>
          <w:p w14:paraId="75ED9E8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16" w:type="dxa"/>
            <w:noWrap/>
            <w:vAlign w:val="center"/>
          </w:tcPr>
          <w:p w14:paraId="64DE1FB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762" w:type="dxa"/>
            <w:noWrap/>
            <w:vAlign w:val="center"/>
          </w:tcPr>
          <w:p w14:paraId="0F1AB46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919" w:type="dxa"/>
            <w:noWrap/>
            <w:vAlign w:val="center"/>
          </w:tcPr>
          <w:p w14:paraId="3C20828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0.00%</w:t>
            </w:r>
          </w:p>
        </w:tc>
      </w:tr>
      <w:tr w14:paraId="4690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3" w:type="dxa"/>
            <w:noWrap/>
            <w:vAlign w:val="bottom"/>
          </w:tcPr>
          <w:p w14:paraId="31302D6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易门县</w:t>
            </w:r>
          </w:p>
        </w:tc>
        <w:tc>
          <w:tcPr>
            <w:tcW w:w="1045" w:type="dxa"/>
            <w:noWrap/>
            <w:vAlign w:val="center"/>
          </w:tcPr>
          <w:p w14:paraId="16F480A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75%</w:t>
            </w:r>
          </w:p>
        </w:tc>
        <w:tc>
          <w:tcPr>
            <w:tcW w:w="690" w:type="dxa"/>
            <w:noWrap/>
            <w:vAlign w:val="center"/>
          </w:tcPr>
          <w:p w14:paraId="596C5FA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835 </w:t>
            </w:r>
          </w:p>
        </w:tc>
        <w:tc>
          <w:tcPr>
            <w:tcW w:w="762" w:type="dxa"/>
            <w:noWrap/>
            <w:vAlign w:val="center"/>
          </w:tcPr>
          <w:p w14:paraId="7B0A47B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3864 </w:t>
            </w:r>
          </w:p>
        </w:tc>
        <w:tc>
          <w:tcPr>
            <w:tcW w:w="762" w:type="dxa"/>
            <w:noWrap/>
            <w:vAlign w:val="center"/>
          </w:tcPr>
          <w:p w14:paraId="473F32A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6171 </w:t>
            </w:r>
          </w:p>
        </w:tc>
        <w:tc>
          <w:tcPr>
            <w:tcW w:w="620" w:type="dxa"/>
            <w:noWrap/>
            <w:vAlign w:val="center"/>
          </w:tcPr>
          <w:p w14:paraId="570835D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56 </w:t>
            </w:r>
          </w:p>
        </w:tc>
        <w:tc>
          <w:tcPr>
            <w:tcW w:w="837" w:type="dxa"/>
            <w:noWrap/>
            <w:vAlign w:val="center"/>
          </w:tcPr>
          <w:p w14:paraId="750283F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10925 </w:t>
            </w:r>
          </w:p>
        </w:tc>
        <w:tc>
          <w:tcPr>
            <w:tcW w:w="762" w:type="dxa"/>
            <w:noWrap/>
            <w:vAlign w:val="center"/>
          </w:tcPr>
          <w:p w14:paraId="0AAE194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8803 </w:t>
            </w:r>
          </w:p>
        </w:tc>
        <w:tc>
          <w:tcPr>
            <w:tcW w:w="816" w:type="dxa"/>
            <w:noWrap/>
            <w:vAlign w:val="center"/>
          </w:tcPr>
          <w:p w14:paraId="449A49D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1779 </w:t>
            </w:r>
          </w:p>
        </w:tc>
        <w:tc>
          <w:tcPr>
            <w:tcW w:w="816" w:type="dxa"/>
            <w:noWrap/>
            <w:vAlign w:val="center"/>
          </w:tcPr>
          <w:p w14:paraId="78DE227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32 </w:t>
            </w:r>
          </w:p>
        </w:tc>
        <w:tc>
          <w:tcPr>
            <w:tcW w:w="616" w:type="dxa"/>
            <w:noWrap/>
            <w:vAlign w:val="center"/>
          </w:tcPr>
          <w:p w14:paraId="7173876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92" w:type="dxa"/>
            <w:noWrap/>
            <w:vAlign w:val="center"/>
          </w:tcPr>
          <w:p w14:paraId="5DE9D57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260 </w:t>
            </w:r>
          </w:p>
        </w:tc>
        <w:tc>
          <w:tcPr>
            <w:tcW w:w="834" w:type="dxa"/>
            <w:noWrap/>
            <w:vAlign w:val="center"/>
          </w:tcPr>
          <w:p w14:paraId="38E6967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10873 </w:t>
            </w:r>
          </w:p>
        </w:tc>
        <w:tc>
          <w:tcPr>
            <w:tcW w:w="616" w:type="dxa"/>
            <w:noWrap/>
            <w:vAlign w:val="center"/>
          </w:tcPr>
          <w:p w14:paraId="6EA030E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16" w:type="dxa"/>
            <w:noWrap/>
            <w:vAlign w:val="center"/>
          </w:tcPr>
          <w:p w14:paraId="7B17A8C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762" w:type="dxa"/>
            <w:noWrap/>
            <w:vAlign w:val="center"/>
          </w:tcPr>
          <w:p w14:paraId="506186D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52 </w:t>
            </w:r>
          </w:p>
        </w:tc>
        <w:tc>
          <w:tcPr>
            <w:tcW w:w="616" w:type="dxa"/>
            <w:noWrap/>
            <w:vAlign w:val="center"/>
          </w:tcPr>
          <w:p w14:paraId="44554B9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762" w:type="dxa"/>
            <w:noWrap/>
            <w:vAlign w:val="center"/>
          </w:tcPr>
          <w:p w14:paraId="009C8CB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52 </w:t>
            </w:r>
          </w:p>
        </w:tc>
        <w:tc>
          <w:tcPr>
            <w:tcW w:w="919" w:type="dxa"/>
            <w:noWrap/>
            <w:vAlign w:val="center"/>
          </w:tcPr>
          <w:p w14:paraId="3214250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0.48%</w:t>
            </w:r>
          </w:p>
        </w:tc>
      </w:tr>
      <w:tr w14:paraId="2204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3" w:type="dxa"/>
            <w:noWrap/>
            <w:vAlign w:val="bottom"/>
          </w:tcPr>
          <w:p w14:paraId="215771A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易门县</w:t>
            </w:r>
          </w:p>
        </w:tc>
        <w:tc>
          <w:tcPr>
            <w:tcW w:w="1045" w:type="dxa"/>
            <w:noWrap/>
            <w:vAlign w:val="center"/>
          </w:tcPr>
          <w:p w14:paraId="40F60DC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95%</w:t>
            </w:r>
          </w:p>
        </w:tc>
        <w:tc>
          <w:tcPr>
            <w:tcW w:w="690" w:type="dxa"/>
            <w:noWrap/>
            <w:vAlign w:val="center"/>
          </w:tcPr>
          <w:p w14:paraId="688A764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835 </w:t>
            </w:r>
          </w:p>
        </w:tc>
        <w:tc>
          <w:tcPr>
            <w:tcW w:w="762" w:type="dxa"/>
            <w:noWrap/>
            <w:vAlign w:val="center"/>
          </w:tcPr>
          <w:p w14:paraId="757EE2A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3864 </w:t>
            </w:r>
          </w:p>
        </w:tc>
        <w:tc>
          <w:tcPr>
            <w:tcW w:w="762" w:type="dxa"/>
            <w:noWrap/>
            <w:vAlign w:val="center"/>
          </w:tcPr>
          <w:p w14:paraId="36349D7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7285 </w:t>
            </w:r>
          </w:p>
        </w:tc>
        <w:tc>
          <w:tcPr>
            <w:tcW w:w="620" w:type="dxa"/>
            <w:noWrap/>
            <w:vAlign w:val="center"/>
          </w:tcPr>
          <w:p w14:paraId="70BC8F5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56 </w:t>
            </w:r>
          </w:p>
        </w:tc>
        <w:tc>
          <w:tcPr>
            <w:tcW w:w="837" w:type="dxa"/>
            <w:noWrap/>
            <w:vAlign w:val="center"/>
          </w:tcPr>
          <w:p w14:paraId="13D2123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12039 </w:t>
            </w:r>
          </w:p>
        </w:tc>
        <w:tc>
          <w:tcPr>
            <w:tcW w:w="762" w:type="dxa"/>
            <w:noWrap/>
            <w:vAlign w:val="center"/>
          </w:tcPr>
          <w:p w14:paraId="3CC8ED8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8296 </w:t>
            </w:r>
          </w:p>
        </w:tc>
        <w:tc>
          <w:tcPr>
            <w:tcW w:w="816" w:type="dxa"/>
            <w:noWrap/>
            <w:vAlign w:val="center"/>
          </w:tcPr>
          <w:p w14:paraId="1CB6F2D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1761 </w:t>
            </w:r>
          </w:p>
        </w:tc>
        <w:tc>
          <w:tcPr>
            <w:tcW w:w="816" w:type="dxa"/>
            <w:noWrap/>
            <w:vAlign w:val="center"/>
          </w:tcPr>
          <w:p w14:paraId="3CA83CC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32 </w:t>
            </w:r>
          </w:p>
        </w:tc>
        <w:tc>
          <w:tcPr>
            <w:tcW w:w="616" w:type="dxa"/>
            <w:noWrap/>
            <w:vAlign w:val="center"/>
          </w:tcPr>
          <w:p w14:paraId="1D57968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92" w:type="dxa"/>
            <w:noWrap/>
            <w:vAlign w:val="center"/>
          </w:tcPr>
          <w:p w14:paraId="10BEFBA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260 </w:t>
            </w:r>
          </w:p>
        </w:tc>
        <w:tc>
          <w:tcPr>
            <w:tcW w:w="834" w:type="dxa"/>
            <w:noWrap/>
            <w:vAlign w:val="center"/>
          </w:tcPr>
          <w:p w14:paraId="4E02080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10348 </w:t>
            </w:r>
          </w:p>
        </w:tc>
        <w:tc>
          <w:tcPr>
            <w:tcW w:w="616" w:type="dxa"/>
            <w:noWrap/>
            <w:vAlign w:val="center"/>
          </w:tcPr>
          <w:p w14:paraId="043080D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 </w:t>
            </w:r>
          </w:p>
        </w:tc>
        <w:tc>
          <w:tcPr>
            <w:tcW w:w="616" w:type="dxa"/>
            <w:noWrap/>
            <w:vAlign w:val="center"/>
          </w:tcPr>
          <w:p w14:paraId="78CEC68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 </w:t>
            </w:r>
          </w:p>
        </w:tc>
        <w:tc>
          <w:tcPr>
            <w:tcW w:w="762" w:type="dxa"/>
            <w:noWrap/>
            <w:vAlign w:val="center"/>
          </w:tcPr>
          <w:p w14:paraId="51A3284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1684 </w:t>
            </w:r>
          </w:p>
        </w:tc>
        <w:tc>
          <w:tcPr>
            <w:tcW w:w="616" w:type="dxa"/>
            <w:noWrap/>
            <w:vAlign w:val="center"/>
          </w:tcPr>
          <w:p w14:paraId="2694FED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762" w:type="dxa"/>
            <w:noWrap/>
            <w:vAlign w:val="center"/>
          </w:tcPr>
          <w:p w14:paraId="745C29F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1691 </w:t>
            </w:r>
          </w:p>
        </w:tc>
        <w:tc>
          <w:tcPr>
            <w:tcW w:w="919" w:type="dxa"/>
            <w:noWrap/>
            <w:vAlign w:val="center"/>
          </w:tcPr>
          <w:p w14:paraId="4939174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14.05%</w:t>
            </w:r>
          </w:p>
        </w:tc>
      </w:tr>
      <w:tr w14:paraId="1F12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3" w:type="dxa"/>
            <w:noWrap/>
            <w:vAlign w:val="bottom"/>
          </w:tcPr>
          <w:p w14:paraId="6E186F5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易门县</w:t>
            </w:r>
          </w:p>
        </w:tc>
        <w:tc>
          <w:tcPr>
            <w:tcW w:w="1045" w:type="dxa"/>
            <w:noWrap/>
            <w:vAlign w:val="center"/>
          </w:tcPr>
          <w:p w14:paraId="47DA9EB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多年平均</w:t>
            </w:r>
          </w:p>
        </w:tc>
        <w:tc>
          <w:tcPr>
            <w:tcW w:w="690" w:type="dxa"/>
            <w:noWrap/>
            <w:vAlign w:val="center"/>
          </w:tcPr>
          <w:p w14:paraId="7735B09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835 </w:t>
            </w:r>
          </w:p>
        </w:tc>
        <w:tc>
          <w:tcPr>
            <w:tcW w:w="762" w:type="dxa"/>
            <w:noWrap/>
            <w:vAlign w:val="center"/>
          </w:tcPr>
          <w:p w14:paraId="51818E4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3864 </w:t>
            </w:r>
          </w:p>
        </w:tc>
        <w:tc>
          <w:tcPr>
            <w:tcW w:w="762" w:type="dxa"/>
            <w:noWrap/>
            <w:vAlign w:val="center"/>
          </w:tcPr>
          <w:p w14:paraId="18B5211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5834 </w:t>
            </w:r>
          </w:p>
        </w:tc>
        <w:tc>
          <w:tcPr>
            <w:tcW w:w="620" w:type="dxa"/>
            <w:noWrap/>
            <w:vAlign w:val="center"/>
          </w:tcPr>
          <w:p w14:paraId="748A8D3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56 </w:t>
            </w:r>
          </w:p>
        </w:tc>
        <w:tc>
          <w:tcPr>
            <w:tcW w:w="837" w:type="dxa"/>
            <w:noWrap/>
            <w:vAlign w:val="center"/>
          </w:tcPr>
          <w:p w14:paraId="78A9FF5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10588 </w:t>
            </w:r>
          </w:p>
        </w:tc>
        <w:tc>
          <w:tcPr>
            <w:tcW w:w="762" w:type="dxa"/>
            <w:noWrap/>
            <w:vAlign w:val="center"/>
          </w:tcPr>
          <w:p w14:paraId="72E11EB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8255 </w:t>
            </w:r>
          </w:p>
        </w:tc>
        <w:tc>
          <w:tcPr>
            <w:tcW w:w="816" w:type="dxa"/>
            <w:noWrap/>
            <w:vAlign w:val="center"/>
          </w:tcPr>
          <w:p w14:paraId="1DDFBAA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1737 </w:t>
            </w:r>
          </w:p>
        </w:tc>
        <w:tc>
          <w:tcPr>
            <w:tcW w:w="816" w:type="dxa"/>
            <w:noWrap/>
            <w:vAlign w:val="center"/>
          </w:tcPr>
          <w:p w14:paraId="5A2D00B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32 </w:t>
            </w:r>
          </w:p>
        </w:tc>
        <w:tc>
          <w:tcPr>
            <w:tcW w:w="616" w:type="dxa"/>
            <w:noWrap/>
            <w:vAlign w:val="center"/>
          </w:tcPr>
          <w:p w14:paraId="46EA5CF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92" w:type="dxa"/>
            <w:noWrap/>
            <w:vAlign w:val="center"/>
          </w:tcPr>
          <w:p w14:paraId="3FB38B2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260 </w:t>
            </w:r>
          </w:p>
        </w:tc>
        <w:tc>
          <w:tcPr>
            <w:tcW w:w="834" w:type="dxa"/>
            <w:noWrap/>
            <w:vAlign w:val="center"/>
          </w:tcPr>
          <w:p w14:paraId="61E36AE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10283 </w:t>
            </w:r>
          </w:p>
        </w:tc>
        <w:tc>
          <w:tcPr>
            <w:tcW w:w="616" w:type="dxa"/>
            <w:noWrap/>
            <w:vAlign w:val="center"/>
          </w:tcPr>
          <w:p w14:paraId="0DA723A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16" w:type="dxa"/>
            <w:noWrap/>
            <w:vAlign w:val="center"/>
          </w:tcPr>
          <w:p w14:paraId="0C83C04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762" w:type="dxa"/>
            <w:noWrap/>
            <w:vAlign w:val="center"/>
          </w:tcPr>
          <w:p w14:paraId="7E33D9D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305 </w:t>
            </w:r>
          </w:p>
        </w:tc>
        <w:tc>
          <w:tcPr>
            <w:tcW w:w="616" w:type="dxa"/>
            <w:noWrap/>
            <w:vAlign w:val="center"/>
          </w:tcPr>
          <w:p w14:paraId="0E36755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762" w:type="dxa"/>
            <w:noWrap/>
            <w:vAlign w:val="center"/>
          </w:tcPr>
          <w:p w14:paraId="01F3E3D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305 </w:t>
            </w:r>
          </w:p>
        </w:tc>
        <w:tc>
          <w:tcPr>
            <w:tcW w:w="919" w:type="dxa"/>
            <w:noWrap/>
            <w:vAlign w:val="center"/>
          </w:tcPr>
          <w:p w14:paraId="78AD368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2.88%</w:t>
            </w:r>
          </w:p>
        </w:tc>
      </w:tr>
    </w:tbl>
    <w:p w14:paraId="6EF0542F">
      <w:pPr>
        <w:widowControl/>
        <w:spacing w:line="240" w:lineRule="auto"/>
        <w:ind w:firstLine="0" w:firstLineChars="0"/>
        <w:jc w:val="center"/>
        <w:rPr>
          <w:color w:val="000000" w:themeColor="text1"/>
          <w14:textFill>
            <w14:solidFill>
              <w14:schemeClr w14:val="tx1"/>
            </w14:solidFill>
          </w14:textFill>
        </w:rPr>
      </w:pPr>
    </w:p>
    <w:p w14:paraId="306731E9">
      <w:pPr>
        <w:pStyle w:val="51"/>
        <w:rPr>
          <w:color w:val="000000" w:themeColor="text1"/>
          <w14:textFill>
            <w14:solidFill>
              <w14:schemeClr w14:val="tx1"/>
            </w14:solidFill>
          </w14:textFill>
        </w:rPr>
      </w:pPr>
      <w:r>
        <w:rPr>
          <w:color w:val="000000" w:themeColor="text1"/>
          <w14:textFill>
            <w14:solidFill>
              <w14:schemeClr w14:val="tx1"/>
            </w14:solidFill>
          </w14:textFill>
        </w:rPr>
        <w:t>表1.1.4-6         2030年水资源供需二次平衡分析成果表      单位：万m³</w:t>
      </w:r>
    </w:p>
    <w:tbl>
      <w:tblPr>
        <w:tblStyle w:val="24"/>
        <w:tblW w:w="14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016"/>
        <w:gridCol w:w="777"/>
        <w:gridCol w:w="777"/>
        <w:gridCol w:w="777"/>
        <w:gridCol w:w="627"/>
        <w:gridCol w:w="849"/>
        <w:gridCol w:w="777"/>
        <w:gridCol w:w="816"/>
        <w:gridCol w:w="816"/>
        <w:gridCol w:w="616"/>
        <w:gridCol w:w="702"/>
        <w:gridCol w:w="853"/>
        <w:gridCol w:w="616"/>
        <w:gridCol w:w="616"/>
        <w:gridCol w:w="703"/>
        <w:gridCol w:w="616"/>
        <w:gridCol w:w="706"/>
        <w:gridCol w:w="862"/>
      </w:tblGrid>
      <w:tr w14:paraId="4EAD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24" w:type="dxa"/>
            <w:vMerge w:val="restart"/>
            <w:vAlign w:val="center"/>
          </w:tcPr>
          <w:p w14:paraId="244796A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县区</w:t>
            </w:r>
          </w:p>
        </w:tc>
        <w:tc>
          <w:tcPr>
            <w:tcW w:w="1016" w:type="dxa"/>
            <w:vMerge w:val="restart"/>
            <w:noWrap/>
            <w:vAlign w:val="center"/>
          </w:tcPr>
          <w:p w14:paraId="27CE4BA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频率</w:t>
            </w:r>
          </w:p>
        </w:tc>
        <w:tc>
          <w:tcPr>
            <w:tcW w:w="3807" w:type="dxa"/>
            <w:gridSpan w:val="5"/>
            <w:noWrap/>
            <w:vAlign w:val="center"/>
          </w:tcPr>
          <w:p w14:paraId="72080DA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需水量</w:t>
            </w:r>
          </w:p>
        </w:tc>
        <w:tc>
          <w:tcPr>
            <w:tcW w:w="4580" w:type="dxa"/>
            <w:gridSpan w:val="6"/>
            <w:noWrap/>
            <w:vAlign w:val="center"/>
          </w:tcPr>
          <w:p w14:paraId="380F005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可供水量</w:t>
            </w:r>
          </w:p>
        </w:tc>
        <w:tc>
          <w:tcPr>
            <w:tcW w:w="3257" w:type="dxa"/>
            <w:gridSpan w:val="5"/>
            <w:noWrap/>
            <w:vAlign w:val="center"/>
          </w:tcPr>
          <w:p w14:paraId="2462969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w:t>
            </w:r>
          </w:p>
        </w:tc>
        <w:tc>
          <w:tcPr>
            <w:tcW w:w="862" w:type="dxa"/>
            <w:vMerge w:val="restart"/>
            <w:noWrap/>
            <w:vAlign w:val="center"/>
          </w:tcPr>
          <w:p w14:paraId="3FCA4F7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缺水率</w:t>
            </w:r>
          </w:p>
        </w:tc>
      </w:tr>
      <w:tr w14:paraId="0F9B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24" w:type="dxa"/>
            <w:vMerge w:val="continue"/>
            <w:vAlign w:val="center"/>
          </w:tcPr>
          <w:p w14:paraId="7E3FCA1A">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1016" w:type="dxa"/>
            <w:vMerge w:val="continue"/>
            <w:vAlign w:val="center"/>
          </w:tcPr>
          <w:p w14:paraId="306872DD">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777" w:type="dxa"/>
            <w:noWrap/>
            <w:vAlign w:val="center"/>
          </w:tcPr>
          <w:p w14:paraId="357D6E4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777" w:type="dxa"/>
            <w:noWrap/>
            <w:vAlign w:val="center"/>
          </w:tcPr>
          <w:p w14:paraId="0F816DE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777" w:type="dxa"/>
            <w:noWrap/>
            <w:vAlign w:val="center"/>
          </w:tcPr>
          <w:p w14:paraId="772D36D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27" w:type="dxa"/>
            <w:noWrap/>
            <w:vAlign w:val="center"/>
          </w:tcPr>
          <w:p w14:paraId="7FB9278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849" w:type="dxa"/>
            <w:noWrap/>
            <w:vAlign w:val="center"/>
          </w:tcPr>
          <w:p w14:paraId="405E7F4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777" w:type="dxa"/>
            <w:noWrap/>
            <w:vAlign w:val="center"/>
          </w:tcPr>
          <w:p w14:paraId="250C791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蓄水</w:t>
            </w:r>
          </w:p>
        </w:tc>
        <w:tc>
          <w:tcPr>
            <w:tcW w:w="816" w:type="dxa"/>
            <w:noWrap/>
            <w:vAlign w:val="center"/>
          </w:tcPr>
          <w:p w14:paraId="2AB879D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引提水</w:t>
            </w:r>
          </w:p>
        </w:tc>
        <w:tc>
          <w:tcPr>
            <w:tcW w:w="816" w:type="dxa"/>
            <w:noWrap/>
            <w:vAlign w:val="center"/>
          </w:tcPr>
          <w:p w14:paraId="34514C5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地下水</w:t>
            </w:r>
          </w:p>
        </w:tc>
        <w:tc>
          <w:tcPr>
            <w:tcW w:w="616" w:type="dxa"/>
            <w:noWrap/>
            <w:vAlign w:val="center"/>
          </w:tcPr>
          <w:p w14:paraId="6167201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调水</w:t>
            </w:r>
          </w:p>
        </w:tc>
        <w:tc>
          <w:tcPr>
            <w:tcW w:w="702" w:type="dxa"/>
            <w:noWrap/>
            <w:vAlign w:val="center"/>
          </w:tcPr>
          <w:p w14:paraId="1B7879A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其他</w:t>
            </w:r>
          </w:p>
        </w:tc>
        <w:tc>
          <w:tcPr>
            <w:tcW w:w="853" w:type="dxa"/>
            <w:noWrap/>
            <w:vAlign w:val="center"/>
          </w:tcPr>
          <w:p w14:paraId="7FB685E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616" w:type="dxa"/>
            <w:noWrap/>
            <w:vAlign w:val="center"/>
          </w:tcPr>
          <w:p w14:paraId="7C1EA02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616" w:type="dxa"/>
            <w:noWrap/>
            <w:vAlign w:val="center"/>
          </w:tcPr>
          <w:p w14:paraId="0F5356A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703" w:type="dxa"/>
            <w:noWrap/>
            <w:vAlign w:val="center"/>
          </w:tcPr>
          <w:p w14:paraId="08DA90A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16" w:type="dxa"/>
            <w:noWrap/>
            <w:vAlign w:val="center"/>
          </w:tcPr>
          <w:p w14:paraId="3E55653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706" w:type="dxa"/>
            <w:noWrap/>
            <w:vAlign w:val="center"/>
          </w:tcPr>
          <w:p w14:paraId="2676079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862" w:type="dxa"/>
            <w:vMerge w:val="continue"/>
            <w:vAlign w:val="center"/>
          </w:tcPr>
          <w:p w14:paraId="5C559930">
            <w:pPr>
              <w:widowControl/>
              <w:spacing w:line="240" w:lineRule="auto"/>
              <w:ind w:firstLine="0" w:firstLineChars="0"/>
              <w:jc w:val="center"/>
              <w:rPr>
                <w:color w:val="000000" w:themeColor="text1"/>
                <w:kern w:val="0"/>
                <w:sz w:val="20"/>
                <w:szCs w:val="20"/>
                <w14:textFill>
                  <w14:solidFill>
                    <w14:schemeClr w14:val="tx1"/>
                  </w14:solidFill>
                </w14:textFill>
              </w:rPr>
            </w:pPr>
          </w:p>
        </w:tc>
      </w:tr>
      <w:tr w14:paraId="05E8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24" w:type="dxa"/>
            <w:noWrap/>
            <w:vAlign w:val="center"/>
          </w:tcPr>
          <w:p w14:paraId="40F2798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易门县</w:t>
            </w:r>
          </w:p>
        </w:tc>
        <w:tc>
          <w:tcPr>
            <w:tcW w:w="1016" w:type="dxa"/>
            <w:noWrap/>
            <w:vAlign w:val="center"/>
          </w:tcPr>
          <w:p w14:paraId="4AEE81A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50%</w:t>
            </w:r>
          </w:p>
        </w:tc>
        <w:tc>
          <w:tcPr>
            <w:tcW w:w="777" w:type="dxa"/>
            <w:noWrap/>
            <w:vAlign w:val="center"/>
          </w:tcPr>
          <w:p w14:paraId="632A7C5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1006</w:t>
            </w:r>
          </w:p>
        </w:tc>
        <w:tc>
          <w:tcPr>
            <w:tcW w:w="777" w:type="dxa"/>
            <w:noWrap/>
            <w:vAlign w:val="center"/>
          </w:tcPr>
          <w:p w14:paraId="70816F7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5144</w:t>
            </w:r>
          </w:p>
        </w:tc>
        <w:tc>
          <w:tcPr>
            <w:tcW w:w="777" w:type="dxa"/>
            <w:noWrap/>
            <w:vAlign w:val="center"/>
          </w:tcPr>
          <w:p w14:paraId="1E00CBD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5172</w:t>
            </w:r>
          </w:p>
        </w:tc>
        <w:tc>
          <w:tcPr>
            <w:tcW w:w="627" w:type="dxa"/>
            <w:noWrap/>
            <w:vAlign w:val="center"/>
          </w:tcPr>
          <w:p w14:paraId="53F01F3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76</w:t>
            </w:r>
          </w:p>
        </w:tc>
        <w:tc>
          <w:tcPr>
            <w:tcW w:w="849" w:type="dxa"/>
            <w:noWrap/>
            <w:vAlign w:val="center"/>
          </w:tcPr>
          <w:p w14:paraId="5C82087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11399</w:t>
            </w:r>
          </w:p>
        </w:tc>
        <w:tc>
          <w:tcPr>
            <w:tcW w:w="777" w:type="dxa"/>
            <w:noWrap/>
            <w:vAlign w:val="center"/>
          </w:tcPr>
          <w:p w14:paraId="3D66A28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8885</w:t>
            </w:r>
          </w:p>
        </w:tc>
        <w:tc>
          <w:tcPr>
            <w:tcW w:w="816" w:type="dxa"/>
            <w:noWrap/>
            <w:vAlign w:val="center"/>
          </w:tcPr>
          <w:p w14:paraId="390B36D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1588</w:t>
            </w:r>
          </w:p>
        </w:tc>
        <w:tc>
          <w:tcPr>
            <w:tcW w:w="816" w:type="dxa"/>
            <w:noWrap/>
            <w:vAlign w:val="center"/>
          </w:tcPr>
          <w:p w14:paraId="22BA70A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32</w:t>
            </w:r>
          </w:p>
        </w:tc>
        <w:tc>
          <w:tcPr>
            <w:tcW w:w="616" w:type="dxa"/>
            <w:noWrap/>
            <w:vAlign w:val="center"/>
          </w:tcPr>
          <w:p w14:paraId="486922A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02" w:type="dxa"/>
            <w:noWrap/>
            <w:vAlign w:val="center"/>
          </w:tcPr>
          <w:p w14:paraId="7B8CF1E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235</w:t>
            </w:r>
          </w:p>
        </w:tc>
        <w:tc>
          <w:tcPr>
            <w:tcW w:w="853" w:type="dxa"/>
            <w:noWrap/>
            <w:vAlign w:val="center"/>
          </w:tcPr>
          <w:p w14:paraId="7564EE2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10739</w:t>
            </w:r>
          </w:p>
        </w:tc>
        <w:tc>
          <w:tcPr>
            <w:tcW w:w="616" w:type="dxa"/>
            <w:noWrap/>
            <w:vAlign w:val="center"/>
          </w:tcPr>
          <w:p w14:paraId="206C3F2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6" w:type="dxa"/>
            <w:noWrap/>
            <w:vAlign w:val="center"/>
          </w:tcPr>
          <w:p w14:paraId="1D7F86B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03" w:type="dxa"/>
            <w:noWrap/>
            <w:vAlign w:val="center"/>
          </w:tcPr>
          <w:p w14:paraId="758758A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659</w:t>
            </w:r>
          </w:p>
        </w:tc>
        <w:tc>
          <w:tcPr>
            <w:tcW w:w="616" w:type="dxa"/>
            <w:noWrap/>
            <w:vAlign w:val="center"/>
          </w:tcPr>
          <w:p w14:paraId="083B0A0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06" w:type="dxa"/>
            <w:noWrap/>
            <w:vAlign w:val="center"/>
          </w:tcPr>
          <w:p w14:paraId="01D5AD2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659</w:t>
            </w:r>
          </w:p>
        </w:tc>
        <w:tc>
          <w:tcPr>
            <w:tcW w:w="862" w:type="dxa"/>
            <w:noWrap/>
            <w:vAlign w:val="center"/>
          </w:tcPr>
          <w:p w14:paraId="47BB540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5.79%</w:t>
            </w:r>
          </w:p>
        </w:tc>
      </w:tr>
      <w:tr w14:paraId="2FF2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24" w:type="dxa"/>
            <w:noWrap/>
            <w:vAlign w:val="center"/>
          </w:tcPr>
          <w:p w14:paraId="79BD2A3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易门县</w:t>
            </w:r>
          </w:p>
        </w:tc>
        <w:tc>
          <w:tcPr>
            <w:tcW w:w="1016" w:type="dxa"/>
            <w:noWrap/>
            <w:vAlign w:val="center"/>
          </w:tcPr>
          <w:p w14:paraId="373A52F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75%</w:t>
            </w:r>
          </w:p>
        </w:tc>
        <w:tc>
          <w:tcPr>
            <w:tcW w:w="777" w:type="dxa"/>
            <w:noWrap/>
            <w:vAlign w:val="center"/>
          </w:tcPr>
          <w:p w14:paraId="1597EA4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1006</w:t>
            </w:r>
          </w:p>
        </w:tc>
        <w:tc>
          <w:tcPr>
            <w:tcW w:w="777" w:type="dxa"/>
            <w:noWrap/>
            <w:vAlign w:val="center"/>
          </w:tcPr>
          <w:p w14:paraId="11BF3ED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5144</w:t>
            </w:r>
          </w:p>
        </w:tc>
        <w:tc>
          <w:tcPr>
            <w:tcW w:w="777" w:type="dxa"/>
            <w:noWrap/>
            <w:vAlign w:val="center"/>
          </w:tcPr>
          <w:p w14:paraId="1D38A74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5689</w:t>
            </w:r>
          </w:p>
        </w:tc>
        <w:tc>
          <w:tcPr>
            <w:tcW w:w="627" w:type="dxa"/>
            <w:noWrap/>
            <w:vAlign w:val="center"/>
          </w:tcPr>
          <w:p w14:paraId="0D9AA70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76</w:t>
            </w:r>
          </w:p>
        </w:tc>
        <w:tc>
          <w:tcPr>
            <w:tcW w:w="849" w:type="dxa"/>
            <w:noWrap/>
            <w:vAlign w:val="center"/>
          </w:tcPr>
          <w:p w14:paraId="63BC5A0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11915</w:t>
            </w:r>
          </w:p>
        </w:tc>
        <w:tc>
          <w:tcPr>
            <w:tcW w:w="777" w:type="dxa"/>
            <w:noWrap/>
            <w:vAlign w:val="center"/>
          </w:tcPr>
          <w:p w14:paraId="1E53133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9155</w:t>
            </w:r>
          </w:p>
        </w:tc>
        <w:tc>
          <w:tcPr>
            <w:tcW w:w="816" w:type="dxa"/>
            <w:noWrap/>
            <w:vAlign w:val="center"/>
          </w:tcPr>
          <w:p w14:paraId="789A81C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1627</w:t>
            </w:r>
          </w:p>
        </w:tc>
        <w:tc>
          <w:tcPr>
            <w:tcW w:w="816" w:type="dxa"/>
            <w:noWrap/>
            <w:vAlign w:val="center"/>
          </w:tcPr>
          <w:p w14:paraId="1843D7C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32</w:t>
            </w:r>
          </w:p>
        </w:tc>
        <w:tc>
          <w:tcPr>
            <w:tcW w:w="616" w:type="dxa"/>
            <w:noWrap/>
            <w:vAlign w:val="center"/>
          </w:tcPr>
          <w:p w14:paraId="0D6D60B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02" w:type="dxa"/>
            <w:noWrap/>
            <w:vAlign w:val="center"/>
          </w:tcPr>
          <w:p w14:paraId="6F8E1DE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235</w:t>
            </w:r>
          </w:p>
        </w:tc>
        <w:tc>
          <w:tcPr>
            <w:tcW w:w="853" w:type="dxa"/>
            <w:noWrap/>
            <w:vAlign w:val="center"/>
          </w:tcPr>
          <w:p w14:paraId="298692A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11048</w:t>
            </w:r>
          </w:p>
        </w:tc>
        <w:tc>
          <w:tcPr>
            <w:tcW w:w="616" w:type="dxa"/>
            <w:noWrap/>
            <w:vAlign w:val="center"/>
          </w:tcPr>
          <w:p w14:paraId="5CA1D4C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6" w:type="dxa"/>
            <w:noWrap/>
            <w:vAlign w:val="center"/>
          </w:tcPr>
          <w:p w14:paraId="3E2DC9A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115</w:t>
            </w:r>
          </w:p>
        </w:tc>
        <w:tc>
          <w:tcPr>
            <w:tcW w:w="703" w:type="dxa"/>
            <w:noWrap/>
            <w:vAlign w:val="center"/>
          </w:tcPr>
          <w:p w14:paraId="31C8A46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751</w:t>
            </w:r>
          </w:p>
        </w:tc>
        <w:tc>
          <w:tcPr>
            <w:tcW w:w="616" w:type="dxa"/>
            <w:noWrap/>
            <w:vAlign w:val="center"/>
          </w:tcPr>
          <w:p w14:paraId="701FD01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06" w:type="dxa"/>
            <w:noWrap/>
            <w:vAlign w:val="center"/>
          </w:tcPr>
          <w:p w14:paraId="1F7EBBD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867</w:t>
            </w:r>
          </w:p>
        </w:tc>
        <w:tc>
          <w:tcPr>
            <w:tcW w:w="862" w:type="dxa"/>
            <w:noWrap/>
            <w:vAlign w:val="center"/>
          </w:tcPr>
          <w:p w14:paraId="48D71ED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7.28%</w:t>
            </w:r>
          </w:p>
        </w:tc>
      </w:tr>
      <w:tr w14:paraId="2644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24" w:type="dxa"/>
            <w:noWrap/>
            <w:vAlign w:val="center"/>
          </w:tcPr>
          <w:p w14:paraId="0044EFE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易门县</w:t>
            </w:r>
          </w:p>
        </w:tc>
        <w:tc>
          <w:tcPr>
            <w:tcW w:w="1016" w:type="dxa"/>
            <w:noWrap/>
            <w:vAlign w:val="center"/>
          </w:tcPr>
          <w:p w14:paraId="14870BC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95%</w:t>
            </w:r>
          </w:p>
        </w:tc>
        <w:tc>
          <w:tcPr>
            <w:tcW w:w="777" w:type="dxa"/>
            <w:noWrap/>
            <w:vAlign w:val="center"/>
          </w:tcPr>
          <w:p w14:paraId="2F36950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1006</w:t>
            </w:r>
          </w:p>
        </w:tc>
        <w:tc>
          <w:tcPr>
            <w:tcW w:w="777" w:type="dxa"/>
            <w:noWrap/>
            <w:vAlign w:val="center"/>
          </w:tcPr>
          <w:p w14:paraId="20B65A6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5144</w:t>
            </w:r>
          </w:p>
        </w:tc>
        <w:tc>
          <w:tcPr>
            <w:tcW w:w="777" w:type="dxa"/>
            <w:noWrap/>
            <w:vAlign w:val="center"/>
          </w:tcPr>
          <w:p w14:paraId="4A105AB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6686</w:t>
            </w:r>
          </w:p>
        </w:tc>
        <w:tc>
          <w:tcPr>
            <w:tcW w:w="627" w:type="dxa"/>
            <w:noWrap/>
            <w:vAlign w:val="center"/>
          </w:tcPr>
          <w:p w14:paraId="57C2C92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76</w:t>
            </w:r>
          </w:p>
        </w:tc>
        <w:tc>
          <w:tcPr>
            <w:tcW w:w="849" w:type="dxa"/>
            <w:noWrap/>
            <w:vAlign w:val="center"/>
          </w:tcPr>
          <w:p w14:paraId="0782CA3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12912</w:t>
            </w:r>
          </w:p>
        </w:tc>
        <w:tc>
          <w:tcPr>
            <w:tcW w:w="777" w:type="dxa"/>
            <w:noWrap/>
            <w:vAlign w:val="center"/>
          </w:tcPr>
          <w:p w14:paraId="3CAB286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8708</w:t>
            </w:r>
          </w:p>
        </w:tc>
        <w:tc>
          <w:tcPr>
            <w:tcW w:w="816" w:type="dxa"/>
            <w:noWrap/>
            <w:vAlign w:val="center"/>
          </w:tcPr>
          <w:p w14:paraId="3EB4072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1819</w:t>
            </w:r>
          </w:p>
        </w:tc>
        <w:tc>
          <w:tcPr>
            <w:tcW w:w="816" w:type="dxa"/>
            <w:noWrap/>
            <w:vAlign w:val="center"/>
          </w:tcPr>
          <w:p w14:paraId="6553F4D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32</w:t>
            </w:r>
          </w:p>
        </w:tc>
        <w:tc>
          <w:tcPr>
            <w:tcW w:w="616" w:type="dxa"/>
            <w:noWrap/>
            <w:vAlign w:val="center"/>
          </w:tcPr>
          <w:p w14:paraId="53A3923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02" w:type="dxa"/>
            <w:noWrap/>
            <w:vAlign w:val="center"/>
          </w:tcPr>
          <w:p w14:paraId="519AD4D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235</w:t>
            </w:r>
          </w:p>
        </w:tc>
        <w:tc>
          <w:tcPr>
            <w:tcW w:w="853" w:type="dxa"/>
            <w:noWrap/>
            <w:vAlign w:val="center"/>
          </w:tcPr>
          <w:p w14:paraId="6F56B84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10794</w:t>
            </w:r>
          </w:p>
        </w:tc>
        <w:tc>
          <w:tcPr>
            <w:tcW w:w="616" w:type="dxa"/>
            <w:noWrap/>
            <w:vAlign w:val="center"/>
          </w:tcPr>
          <w:p w14:paraId="779A6B8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6" w:type="dxa"/>
            <w:noWrap/>
            <w:vAlign w:val="center"/>
          </w:tcPr>
          <w:p w14:paraId="1D0DB7F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402</w:t>
            </w:r>
          </w:p>
        </w:tc>
        <w:tc>
          <w:tcPr>
            <w:tcW w:w="703" w:type="dxa"/>
            <w:noWrap/>
            <w:vAlign w:val="center"/>
          </w:tcPr>
          <w:p w14:paraId="57417C5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1716</w:t>
            </w:r>
          </w:p>
        </w:tc>
        <w:tc>
          <w:tcPr>
            <w:tcW w:w="616" w:type="dxa"/>
            <w:noWrap/>
            <w:vAlign w:val="center"/>
          </w:tcPr>
          <w:p w14:paraId="36476D7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06" w:type="dxa"/>
            <w:noWrap/>
            <w:vAlign w:val="center"/>
          </w:tcPr>
          <w:p w14:paraId="76C42B6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2118</w:t>
            </w:r>
          </w:p>
        </w:tc>
        <w:tc>
          <w:tcPr>
            <w:tcW w:w="862" w:type="dxa"/>
            <w:noWrap/>
            <w:vAlign w:val="center"/>
          </w:tcPr>
          <w:p w14:paraId="73AF46E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16.41%</w:t>
            </w:r>
          </w:p>
        </w:tc>
      </w:tr>
      <w:tr w14:paraId="544D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24" w:type="dxa"/>
            <w:noWrap/>
            <w:vAlign w:val="center"/>
          </w:tcPr>
          <w:p w14:paraId="5AD8CF0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易门县</w:t>
            </w:r>
          </w:p>
        </w:tc>
        <w:tc>
          <w:tcPr>
            <w:tcW w:w="1016" w:type="dxa"/>
            <w:noWrap/>
            <w:vAlign w:val="center"/>
          </w:tcPr>
          <w:p w14:paraId="0578FE2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多年平均</w:t>
            </w:r>
          </w:p>
        </w:tc>
        <w:tc>
          <w:tcPr>
            <w:tcW w:w="777" w:type="dxa"/>
            <w:noWrap/>
            <w:vAlign w:val="center"/>
          </w:tcPr>
          <w:p w14:paraId="1CD7195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1006</w:t>
            </w:r>
          </w:p>
        </w:tc>
        <w:tc>
          <w:tcPr>
            <w:tcW w:w="777" w:type="dxa"/>
            <w:noWrap/>
            <w:vAlign w:val="center"/>
          </w:tcPr>
          <w:p w14:paraId="61CB144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5144</w:t>
            </w:r>
          </w:p>
        </w:tc>
        <w:tc>
          <w:tcPr>
            <w:tcW w:w="777" w:type="dxa"/>
            <w:noWrap/>
            <w:vAlign w:val="center"/>
          </w:tcPr>
          <w:p w14:paraId="7FA06E5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5400</w:t>
            </w:r>
          </w:p>
        </w:tc>
        <w:tc>
          <w:tcPr>
            <w:tcW w:w="627" w:type="dxa"/>
            <w:noWrap/>
            <w:vAlign w:val="center"/>
          </w:tcPr>
          <w:p w14:paraId="654B779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76</w:t>
            </w:r>
          </w:p>
        </w:tc>
        <w:tc>
          <w:tcPr>
            <w:tcW w:w="849" w:type="dxa"/>
            <w:noWrap/>
            <w:vAlign w:val="center"/>
          </w:tcPr>
          <w:p w14:paraId="0B76CDC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11626</w:t>
            </w:r>
          </w:p>
        </w:tc>
        <w:tc>
          <w:tcPr>
            <w:tcW w:w="777" w:type="dxa"/>
            <w:noWrap/>
            <w:vAlign w:val="center"/>
          </w:tcPr>
          <w:p w14:paraId="3DF90E6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8895</w:t>
            </w:r>
          </w:p>
        </w:tc>
        <w:tc>
          <w:tcPr>
            <w:tcW w:w="816" w:type="dxa"/>
            <w:noWrap/>
            <w:vAlign w:val="center"/>
          </w:tcPr>
          <w:p w14:paraId="29CACFD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1559</w:t>
            </w:r>
          </w:p>
        </w:tc>
        <w:tc>
          <w:tcPr>
            <w:tcW w:w="816" w:type="dxa"/>
            <w:noWrap/>
            <w:vAlign w:val="center"/>
          </w:tcPr>
          <w:p w14:paraId="003728D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32</w:t>
            </w:r>
          </w:p>
        </w:tc>
        <w:tc>
          <w:tcPr>
            <w:tcW w:w="616" w:type="dxa"/>
            <w:noWrap/>
            <w:vAlign w:val="center"/>
          </w:tcPr>
          <w:p w14:paraId="4909EBD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02" w:type="dxa"/>
            <w:noWrap/>
            <w:vAlign w:val="center"/>
          </w:tcPr>
          <w:p w14:paraId="14D2BE4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235</w:t>
            </w:r>
          </w:p>
        </w:tc>
        <w:tc>
          <w:tcPr>
            <w:tcW w:w="853" w:type="dxa"/>
            <w:noWrap/>
            <w:vAlign w:val="center"/>
          </w:tcPr>
          <w:p w14:paraId="3D96418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10721</w:t>
            </w:r>
          </w:p>
        </w:tc>
        <w:tc>
          <w:tcPr>
            <w:tcW w:w="616" w:type="dxa"/>
            <w:noWrap/>
            <w:vAlign w:val="center"/>
          </w:tcPr>
          <w:p w14:paraId="30C2C38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6" w:type="dxa"/>
            <w:noWrap/>
            <w:vAlign w:val="center"/>
          </w:tcPr>
          <w:p w14:paraId="26134B5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55</w:t>
            </w:r>
          </w:p>
        </w:tc>
        <w:tc>
          <w:tcPr>
            <w:tcW w:w="703" w:type="dxa"/>
            <w:noWrap/>
            <w:vAlign w:val="center"/>
          </w:tcPr>
          <w:p w14:paraId="07E08BB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849</w:t>
            </w:r>
          </w:p>
        </w:tc>
        <w:tc>
          <w:tcPr>
            <w:tcW w:w="616" w:type="dxa"/>
            <w:noWrap/>
            <w:vAlign w:val="center"/>
          </w:tcPr>
          <w:p w14:paraId="692D9C6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06" w:type="dxa"/>
            <w:noWrap/>
            <w:vAlign w:val="center"/>
          </w:tcPr>
          <w:p w14:paraId="57C78B7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905</w:t>
            </w:r>
          </w:p>
        </w:tc>
        <w:tc>
          <w:tcPr>
            <w:tcW w:w="862" w:type="dxa"/>
            <w:noWrap/>
            <w:vAlign w:val="center"/>
          </w:tcPr>
          <w:p w14:paraId="010AAF8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7.78%</w:t>
            </w:r>
          </w:p>
        </w:tc>
      </w:tr>
    </w:tbl>
    <w:p w14:paraId="12C45FB6">
      <w:pPr>
        <w:pStyle w:val="7"/>
        <w:ind w:firstLine="640"/>
        <w:rPr>
          <w:rFonts w:ascii="Times New Roman"/>
          <w:color w:val="000000" w:themeColor="text1"/>
          <w14:textFill>
            <w14:solidFill>
              <w14:schemeClr w14:val="tx1"/>
            </w14:solidFill>
          </w14:textFill>
        </w:rPr>
      </w:pPr>
    </w:p>
    <w:p w14:paraId="5FA6F426">
      <w:pPr>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14:paraId="2FC68488">
      <w:pPr>
        <w:pStyle w:val="76"/>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水资源三次供需平衡分析</w:t>
      </w:r>
    </w:p>
    <w:p w14:paraId="2809AADB">
      <w:pPr>
        <w:ind w:firstLine="640"/>
        <w:rPr>
          <w:color w:val="000000" w:themeColor="text1"/>
          <w14:textFill>
            <w14:solidFill>
              <w14:schemeClr w14:val="tx1"/>
            </w14:solidFill>
          </w14:textFill>
        </w:rPr>
      </w:pPr>
      <w:r>
        <w:rPr>
          <w:color w:val="000000" w:themeColor="text1"/>
          <w14:textFill>
            <w14:solidFill>
              <w14:schemeClr w14:val="tx1"/>
            </w14:solidFill>
          </w14:textFill>
        </w:rPr>
        <w:t>“三次平衡”分析就是配置方案三的供需平衡分析。通过二次平衡分析可知，通过本地水资源的挖潜利用，基本能够满足易门县2020年经济社会的用水需求，大部分地区能够满足2030年的经济社会用水需求，除了易门扒河片等资源性缺水地区外。需要外流域调水-滇中引水工程进行三次平衡分析。当滇中引水进入易门县后，会改变易门县2030年部分单元的供水结构，置换部分应急工程供水、河道生态用水。由于滇中引水2030年才实施，因此2020年的三次平衡分析成果与二次平衡分析的成果一样。</w:t>
      </w:r>
    </w:p>
    <w:p w14:paraId="17E83D6A">
      <w:pPr>
        <w:pStyle w:val="51"/>
        <w:rPr>
          <w:color w:val="000000" w:themeColor="text1"/>
          <w14:textFill>
            <w14:solidFill>
              <w14:schemeClr w14:val="tx1"/>
            </w14:solidFill>
          </w14:textFill>
        </w:rPr>
      </w:pPr>
      <w:r>
        <w:rPr>
          <w:color w:val="000000" w:themeColor="text1"/>
          <w14:textFill>
            <w14:solidFill>
              <w14:schemeClr w14:val="tx1"/>
            </w14:solidFill>
          </w14:textFill>
        </w:rPr>
        <w:t>表1.1.4-7        2030年水资源供需三次平衡分析成果表      单位：万m³</w:t>
      </w:r>
    </w:p>
    <w:tbl>
      <w:tblPr>
        <w:tblStyle w:val="24"/>
        <w:tblW w:w="14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016"/>
        <w:gridCol w:w="789"/>
        <w:gridCol w:w="789"/>
        <w:gridCol w:w="789"/>
        <w:gridCol w:w="636"/>
        <w:gridCol w:w="864"/>
        <w:gridCol w:w="789"/>
        <w:gridCol w:w="816"/>
        <w:gridCol w:w="816"/>
        <w:gridCol w:w="762"/>
        <w:gridCol w:w="616"/>
        <w:gridCol w:w="867"/>
        <w:gridCol w:w="616"/>
        <w:gridCol w:w="617"/>
        <w:gridCol w:w="617"/>
        <w:gridCol w:w="617"/>
        <w:gridCol w:w="617"/>
        <w:gridCol w:w="874"/>
      </w:tblGrid>
      <w:tr w14:paraId="0F2E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9" w:type="dxa"/>
            <w:vMerge w:val="restart"/>
            <w:vAlign w:val="center"/>
          </w:tcPr>
          <w:p w14:paraId="467AFDF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县区</w:t>
            </w:r>
          </w:p>
        </w:tc>
        <w:tc>
          <w:tcPr>
            <w:tcW w:w="1016" w:type="dxa"/>
            <w:vMerge w:val="restart"/>
            <w:noWrap/>
            <w:vAlign w:val="center"/>
          </w:tcPr>
          <w:p w14:paraId="6BDFDB6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频率</w:t>
            </w:r>
          </w:p>
        </w:tc>
        <w:tc>
          <w:tcPr>
            <w:tcW w:w="3867" w:type="dxa"/>
            <w:gridSpan w:val="5"/>
            <w:noWrap/>
            <w:vAlign w:val="center"/>
          </w:tcPr>
          <w:p w14:paraId="588A3D4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需水量</w:t>
            </w:r>
          </w:p>
        </w:tc>
        <w:tc>
          <w:tcPr>
            <w:tcW w:w="4666" w:type="dxa"/>
            <w:gridSpan w:val="6"/>
            <w:noWrap/>
            <w:vAlign w:val="center"/>
          </w:tcPr>
          <w:p w14:paraId="2D37AD4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可供水量</w:t>
            </w:r>
          </w:p>
        </w:tc>
        <w:tc>
          <w:tcPr>
            <w:tcW w:w="3084" w:type="dxa"/>
            <w:gridSpan w:val="5"/>
            <w:noWrap/>
            <w:vAlign w:val="center"/>
          </w:tcPr>
          <w:p w14:paraId="117A494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w:t>
            </w:r>
          </w:p>
        </w:tc>
        <w:tc>
          <w:tcPr>
            <w:tcW w:w="874" w:type="dxa"/>
            <w:vMerge w:val="restart"/>
            <w:noWrap/>
            <w:vAlign w:val="center"/>
          </w:tcPr>
          <w:p w14:paraId="6268C35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缺水率</w:t>
            </w:r>
          </w:p>
        </w:tc>
      </w:tr>
      <w:tr w14:paraId="6059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9" w:type="dxa"/>
            <w:vMerge w:val="continue"/>
            <w:vAlign w:val="center"/>
          </w:tcPr>
          <w:p w14:paraId="0DE57B24">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1016" w:type="dxa"/>
            <w:vMerge w:val="continue"/>
            <w:vAlign w:val="center"/>
          </w:tcPr>
          <w:p w14:paraId="7F3606E7">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789" w:type="dxa"/>
            <w:noWrap/>
            <w:vAlign w:val="center"/>
          </w:tcPr>
          <w:p w14:paraId="49C989C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789" w:type="dxa"/>
            <w:noWrap/>
            <w:vAlign w:val="center"/>
          </w:tcPr>
          <w:p w14:paraId="3B0B51B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789" w:type="dxa"/>
            <w:noWrap/>
            <w:vAlign w:val="center"/>
          </w:tcPr>
          <w:p w14:paraId="69EB52D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36" w:type="dxa"/>
            <w:noWrap/>
            <w:vAlign w:val="center"/>
          </w:tcPr>
          <w:p w14:paraId="59C1C7D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864" w:type="dxa"/>
            <w:noWrap/>
            <w:vAlign w:val="center"/>
          </w:tcPr>
          <w:p w14:paraId="712088F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789" w:type="dxa"/>
            <w:noWrap/>
            <w:vAlign w:val="center"/>
          </w:tcPr>
          <w:p w14:paraId="25B5EEC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蓄水</w:t>
            </w:r>
          </w:p>
        </w:tc>
        <w:tc>
          <w:tcPr>
            <w:tcW w:w="816" w:type="dxa"/>
            <w:noWrap/>
            <w:vAlign w:val="center"/>
          </w:tcPr>
          <w:p w14:paraId="4A60D65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引提水</w:t>
            </w:r>
          </w:p>
        </w:tc>
        <w:tc>
          <w:tcPr>
            <w:tcW w:w="816" w:type="dxa"/>
            <w:noWrap/>
            <w:vAlign w:val="center"/>
          </w:tcPr>
          <w:p w14:paraId="1DE9027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地下水</w:t>
            </w:r>
          </w:p>
        </w:tc>
        <w:tc>
          <w:tcPr>
            <w:tcW w:w="762" w:type="dxa"/>
            <w:noWrap/>
            <w:vAlign w:val="center"/>
          </w:tcPr>
          <w:p w14:paraId="3340C7C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调水</w:t>
            </w:r>
          </w:p>
        </w:tc>
        <w:tc>
          <w:tcPr>
            <w:tcW w:w="616" w:type="dxa"/>
            <w:noWrap/>
            <w:vAlign w:val="center"/>
          </w:tcPr>
          <w:p w14:paraId="3C8A776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其他</w:t>
            </w:r>
          </w:p>
        </w:tc>
        <w:tc>
          <w:tcPr>
            <w:tcW w:w="867" w:type="dxa"/>
            <w:noWrap/>
            <w:vAlign w:val="center"/>
          </w:tcPr>
          <w:p w14:paraId="2C8F62E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616" w:type="dxa"/>
            <w:noWrap/>
            <w:vAlign w:val="center"/>
          </w:tcPr>
          <w:p w14:paraId="10C9049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617" w:type="dxa"/>
            <w:noWrap/>
            <w:vAlign w:val="center"/>
          </w:tcPr>
          <w:p w14:paraId="11D8D4B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617" w:type="dxa"/>
            <w:noWrap/>
            <w:vAlign w:val="center"/>
          </w:tcPr>
          <w:p w14:paraId="5564BE3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17" w:type="dxa"/>
            <w:noWrap/>
            <w:vAlign w:val="center"/>
          </w:tcPr>
          <w:p w14:paraId="4D029C5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617" w:type="dxa"/>
            <w:noWrap/>
            <w:vAlign w:val="center"/>
          </w:tcPr>
          <w:p w14:paraId="033E154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874" w:type="dxa"/>
            <w:vMerge w:val="continue"/>
            <w:vAlign w:val="center"/>
          </w:tcPr>
          <w:p w14:paraId="63190D12">
            <w:pPr>
              <w:widowControl/>
              <w:spacing w:line="240" w:lineRule="auto"/>
              <w:ind w:firstLine="0" w:firstLineChars="0"/>
              <w:jc w:val="center"/>
              <w:rPr>
                <w:color w:val="000000" w:themeColor="text1"/>
                <w:kern w:val="0"/>
                <w:sz w:val="20"/>
                <w:szCs w:val="20"/>
                <w14:textFill>
                  <w14:solidFill>
                    <w14:schemeClr w14:val="tx1"/>
                  </w14:solidFill>
                </w14:textFill>
              </w:rPr>
            </w:pPr>
          </w:p>
        </w:tc>
      </w:tr>
      <w:tr w14:paraId="6FDC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9" w:type="dxa"/>
            <w:noWrap/>
            <w:vAlign w:val="center"/>
          </w:tcPr>
          <w:p w14:paraId="4C266F2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易门县</w:t>
            </w:r>
          </w:p>
        </w:tc>
        <w:tc>
          <w:tcPr>
            <w:tcW w:w="1016" w:type="dxa"/>
            <w:noWrap/>
            <w:vAlign w:val="center"/>
          </w:tcPr>
          <w:p w14:paraId="392D4C5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50%</w:t>
            </w:r>
          </w:p>
        </w:tc>
        <w:tc>
          <w:tcPr>
            <w:tcW w:w="789" w:type="dxa"/>
            <w:noWrap/>
            <w:vAlign w:val="center"/>
          </w:tcPr>
          <w:p w14:paraId="4D23212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1006</w:t>
            </w:r>
          </w:p>
        </w:tc>
        <w:tc>
          <w:tcPr>
            <w:tcW w:w="789" w:type="dxa"/>
            <w:noWrap/>
            <w:vAlign w:val="center"/>
          </w:tcPr>
          <w:p w14:paraId="0109FA6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5144</w:t>
            </w:r>
          </w:p>
        </w:tc>
        <w:tc>
          <w:tcPr>
            <w:tcW w:w="789" w:type="dxa"/>
            <w:noWrap/>
            <w:vAlign w:val="center"/>
          </w:tcPr>
          <w:p w14:paraId="25454A6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5172</w:t>
            </w:r>
          </w:p>
        </w:tc>
        <w:tc>
          <w:tcPr>
            <w:tcW w:w="636" w:type="dxa"/>
            <w:noWrap/>
            <w:vAlign w:val="center"/>
          </w:tcPr>
          <w:p w14:paraId="073A67A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76</w:t>
            </w:r>
          </w:p>
        </w:tc>
        <w:tc>
          <w:tcPr>
            <w:tcW w:w="864" w:type="dxa"/>
            <w:noWrap/>
            <w:vAlign w:val="center"/>
          </w:tcPr>
          <w:p w14:paraId="4745C11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11399</w:t>
            </w:r>
          </w:p>
        </w:tc>
        <w:tc>
          <w:tcPr>
            <w:tcW w:w="789" w:type="dxa"/>
            <w:noWrap/>
            <w:vAlign w:val="center"/>
          </w:tcPr>
          <w:p w14:paraId="2C5596F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6983</w:t>
            </w:r>
          </w:p>
        </w:tc>
        <w:tc>
          <w:tcPr>
            <w:tcW w:w="816" w:type="dxa"/>
            <w:noWrap/>
            <w:vAlign w:val="center"/>
          </w:tcPr>
          <w:p w14:paraId="256DC17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1428</w:t>
            </w:r>
          </w:p>
        </w:tc>
        <w:tc>
          <w:tcPr>
            <w:tcW w:w="816" w:type="dxa"/>
            <w:noWrap/>
            <w:vAlign w:val="center"/>
          </w:tcPr>
          <w:p w14:paraId="146BBA3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762" w:type="dxa"/>
            <w:noWrap/>
            <w:vAlign w:val="center"/>
          </w:tcPr>
          <w:p w14:paraId="6B86532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2978</w:t>
            </w:r>
          </w:p>
        </w:tc>
        <w:tc>
          <w:tcPr>
            <w:tcW w:w="616" w:type="dxa"/>
            <w:noWrap/>
            <w:vAlign w:val="center"/>
          </w:tcPr>
          <w:p w14:paraId="5B23732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w:t>
            </w:r>
          </w:p>
        </w:tc>
        <w:tc>
          <w:tcPr>
            <w:tcW w:w="867" w:type="dxa"/>
            <w:noWrap/>
            <w:vAlign w:val="center"/>
          </w:tcPr>
          <w:p w14:paraId="39E2E6A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11399</w:t>
            </w:r>
          </w:p>
        </w:tc>
        <w:tc>
          <w:tcPr>
            <w:tcW w:w="616" w:type="dxa"/>
            <w:noWrap/>
            <w:vAlign w:val="center"/>
          </w:tcPr>
          <w:p w14:paraId="305FCC1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7" w:type="dxa"/>
            <w:noWrap/>
            <w:vAlign w:val="center"/>
          </w:tcPr>
          <w:p w14:paraId="6EEDCC7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7" w:type="dxa"/>
            <w:noWrap/>
            <w:vAlign w:val="center"/>
          </w:tcPr>
          <w:p w14:paraId="3BD6EC4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7" w:type="dxa"/>
            <w:noWrap/>
            <w:vAlign w:val="center"/>
          </w:tcPr>
          <w:p w14:paraId="641B029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7" w:type="dxa"/>
            <w:noWrap/>
            <w:vAlign w:val="center"/>
          </w:tcPr>
          <w:p w14:paraId="485AA39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874" w:type="dxa"/>
            <w:noWrap/>
            <w:vAlign w:val="center"/>
          </w:tcPr>
          <w:p w14:paraId="4A03697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0.00%</w:t>
            </w:r>
          </w:p>
        </w:tc>
      </w:tr>
      <w:tr w14:paraId="26EA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9" w:type="dxa"/>
            <w:noWrap/>
            <w:vAlign w:val="center"/>
          </w:tcPr>
          <w:p w14:paraId="24D40A3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易门县</w:t>
            </w:r>
          </w:p>
        </w:tc>
        <w:tc>
          <w:tcPr>
            <w:tcW w:w="1016" w:type="dxa"/>
            <w:noWrap/>
            <w:vAlign w:val="center"/>
          </w:tcPr>
          <w:p w14:paraId="2B2C4CB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75%</w:t>
            </w:r>
          </w:p>
        </w:tc>
        <w:tc>
          <w:tcPr>
            <w:tcW w:w="789" w:type="dxa"/>
            <w:noWrap/>
            <w:vAlign w:val="center"/>
          </w:tcPr>
          <w:p w14:paraId="466608B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1006</w:t>
            </w:r>
          </w:p>
        </w:tc>
        <w:tc>
          <w:tcPr>
            <w:tcW w:w="789" w:type="dxa"/>
            <w:noWrap/>
            <w:vAlign w:val="center"/>
          </w:tcPr>
          <w:p w14:paraId="7BB844B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5144</w:t>
            </w:r>
          </w:p>
        </w:tc>
        <w:tc>
          <w:tcPr>
            <w:tcW w:w="789" w:type="dxa"/>
            <w:noWrap/>
            <w:vAlign w:val="center"/>
          </w:tcPr>
          <w:p w14:paraId="4543334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5689</w:t>
            </w:r>
          </w:p>
        </w:tc>
        <w:tc>
          <w:tcPr>
            <w:tcW w:w="636" w:type="dxa"/>
            <w:noWrap/>
            <w:vAlign w:val="center"/>
          </w:tcPr>
          <w:p w14:paraId="387520B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76</w:t>
            </w:r>
          </w:p>
        </w:tc>
        <w:tc>
          <w:tcPr>
            <w:tcW w:w="864" w:type="dxa"/>
            <w:noWrap/>
            <w:vAlign w:val="center"/>
          </w:tcPr>
          <w:p w14:paraId="14835BA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11915</w:t>
            </w:r>
          </w:p>
        </w:tc>
        <w:tc>
          <w:tcPr>
            <w:tcW w:w="789" w:type="dxa"/>
            <w:noWrap/>
            <w:vAlign w:val="center"/>
          </w:tcPr>
          <w:p w14:paraId="7B18BB0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7435</w:t>
            </w:r>
          </w:p>
        </w:tc>
        <w:tc>
          <w:tcPr>
            <w:tcW w:w="816" w:type="dxa"/>
            <w:noWrap/>
            <w:vAlign w:val="center"/>
          </w:tcPr>
          <w:p w14:paraId="5EA05B3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1467</w:t>
            </w:r>
          </w:p>
        </w:tc>
        <w:tc>
          <w:tcPr>
            <w:tcW w:w="816" w:type="dxa"/>
            <w:noWrap/>
            <w:vAlign w:val="center"/>
          </w:tcPr>
          <w:p w14:paraId="766C621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762" w:type="dxa"/>
            <w:noWrap/>
            <w:vAlign w:val="center"/>
          </w:tcPr>
          <w:p w14:paraId="320AA59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3003</w:t>
            </w:r>
          </w:p>
        </w:tc>
        <w:tc>
          <w:tcPr>
            <w:tcW w:w="616" w:type="dxa"/>
            <w:noWrap/>
            <w:vAlign w:val="center"/>
          </w:tcPr>
          <w:p w14:paraId="5DC98BA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w:t>
            </w:r>
          </w:p>
        </w:tc>
        <w:tc>
          <w:tcPr>
            <w:tcW w:w="867" w:type="dxa"/>
            <w:noWrap/>
            <w:vAlign w:val="center"/>
          </w:tcPr>
          <w:p w14:paraId="39F25C5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11915</w:t>
            </w:r>
          </w:p>
        </w:tc>
        <w:tc>
          <w:tcPr>
            <w:tcW w:w="616" w:type="dxa"/>
            <w:noWrap/>
            <w:vAlign w:val="center"/>
          </w:tcPr>
          <w:p w14:paraId="13031C0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7" w:type="dxa"/>
            <w:noWrap/>
            <w:vAlign w:val="center"/>
          </w:tcPr>
          <w:p w14:paraId="331173C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7" w:type="dxa"/>
            <w:noWrap/>
            <w:vAlign w:val="center"/>
          </w:tcPr>
          <w:p w14:paraId="6F5AF48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7" w:type="dxa"/>
            <w:noWrap/>
            <w:vAlign w:val="center"/>
          </w:tcPr>
          <w:p w14:paraId="521C65D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7" w:type="dxa"/>
            <w:noWrap/>
            <w:vAlign w:val="center"/>
          </w:tcPr>
          <w:p w14:paraId="31251F4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874" w:type="dxa"/>
            <w:noWrap/>
            <w:vAlign w:val="center"/>
          </w:tcPr>
          <w:p w14:paraId="7E96E39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0.00%</w:t>
            </w:r>
          </w:p>
        </w:tc>
      </w:tr>
      <w:tr w14:paraId="7E4C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9" w:type="dxa"/>
            <w:noWrap/>
            <w:vAlign w:val="center"/>
          </w:tcPr>
          <w:p w14:paraId="02EE776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易门县</w:t>
            </w:r>
          </w:p>
        </w:tc>
        <w:tc>
          <w:tcPr>
            <w:tcW w:w="1016" w:type="dxa"/>
            <w:noWrap/>
            <w:vAlign w:val="center"/>
          </w:tcPr>
          <w:p w14:paraId="55DD59B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95%</w:t>
            </w:r>
          </w:p>
        </w:tc>
        <w:tc>
          <w:tcPr>
            <w:tcW w:w="789" w:type="dxa"/>
            <w:noWrap/>
            <w:vAlign w:val="center"/>
          </w:tcPr>
          <w:p w14:paraId="77E6874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1006</w:t>
            </w:r>
          </w:p>
        </w:tc>
        <w:tc>
          <w:tcPr>
            <w:tcW w:w="789" w:type="dxa"/>
            <w:noWrap/>
            <w:vAlign w:val="center"/>
          </w:tcPr>
          <w:p w14:paraId="36CD93F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5144</w:t>
            </w:r>
          </w:p>
        </w:tc>
        <w:tc>
          <w:tcPr>
            <w:tcW w:w="789" w:type="dxa"/>
            <w:noWrap/>
            <w:vAlign w:val="center"/>
          </w:tcPr>
          <w:p w14:paraId="1E46F51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6686</w:t>
            </w:r>
          </w:p>
        </w:tc>
        <w:tc>
          <w:tcPr>
            <w:tcW w:w="636" w:type="dxa"/>
            <w:noWrap/>
            <w:vAlign w:val="center"/>
          </w:tcPr>
          <w:p w14:paraId="7A28A26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76</w:t>
            </w:r>
          </w:p>
        </w:tc>
        <w:tc>
          <w:tcPr>
            <w:tcW w:w="864" w:type="dxa"/>
            <w:noWrap/>
            <w:vAlign w:val="center"/>
          </w:tcPr>
          <w:p w14:paraId="6F65E05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12912</w:t>
            </w:r>
          </w:p>
        </w:tc>
        <w:tc>
          <w:tcPr>
            <w:tcW w:w="789" w:type="dxa"/>
            <w:noWrap/>
            <w:vAlign w:val="center"/>
          </w:tcPr>
          <w:p w14:paraId="0AFEF8B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6922</w:t>
            </w:r>
          </w:p>
        </w:tc>
        <w:tc>
          <w:tcPr>
            <w:tcW w:w="816" w:type="dxa"/>
            <w:noWrap/>
            <w:vAlign w:val="center"/>
          </w:tcPr>
          <w:p w14:paraId="74230B9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1657</w:t>
            </w:r>
          </w:p>
        </w:tc>
        <w:tc>
          <w:tcPr>
            <w:tcW w:w="816" w:type="dxa"/>
            <w:noWrap/>
            <w:vAlign w:val="center"/>
          </w:tcPr>
          <w:p w14:paraId="7898D61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762" w:type="dxa"/>
            <w:noWrap/>
            <w:vAlign w:val="center"/>
          </w:tcPr>
          <w:p w14:paraId="0CB69B9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3198</w:t>
            </w:r>
          </w:p>
        </w:tc>
        <w:tc>
          <w:tcPr>
            <w:tcW w:w="616" w:type="dxa"/>
            <w:noWrap/>
            <w:vAlign w:val="center"/>
          </w:tcPr>
          <w:p w14:paraId="6384C24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w:t>
            </w:r>
          </w:p>
        </w:tc>
        <w:tc>
          <w:tcPr>
            <w:tcW w:w="867" w:type="dxa"/>
            <w:noWrap/>
            <w:vAlign w:val="center"/>
          </w:tcPr>
          <w:p w14:paraId="24397CF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11787</w:t>
            </w:r>
          </w:p>
        </w:tc>
        <w:tc>
          <w:tcPr>
            <w:tcW w:w="616" w:type="dxa"/>
            <w:noWrap/>
            <w:vAlign w:val="center"/>
          </w:tcPr>
          <w:p w14:paraId="07533F2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7" w:type="dxa"/>
            <w:noWrap/>
            <w:vAlign w:val="center"/>
          </w:tcPr>
          <w:p w14:paraId="5EB8D21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7" w:type="dxa"/>
            <w:noWrap/>
            <w:vAlign w:val="center"/>
          </w:tcPr>
          <w:p w14:paraId="36524A2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1126</w:t>
            </w:r>
          </w:p>
        </w:tc>
        <w:tc>
          <w:tcPr>
            <w:tcW w:w="617" w:type="dxa"/>
            <w:noWrap/>
            <w:vAlign w:val="center"/>
          </w:tcPr>
          <w:p w14:paraId="3A466BD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7" w:type="dxa"/>
            <w:noWrap/>
            <w:vAlign w:val="center"/>
          </w:tcPr>
          <w:p w14:paraId="42E475B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1126</w:t>
            </w:r>
          </w:p>
        </w:tc>
        <w:tc>
          <w:tcPr>
            <w:tcW w:w="874" w:type="dxa"/>
            <w:noWrap/>
            <w:vAlign w:val="center"/>
          </w:tcPr>
          <w:p w14:paraId="0232F85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8.72%</w:t>
            </w:r>
          </w:p>
        </w:tc>
      </w:tr>
      <w:tr w14:paraId="02AE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9" w:type="dxa"/>
            <w:noWrap/>
            <w:vAlign w:val="center"/>
          </w:tcPr>
          <w:p w14:paraId="3669EC3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易门县</w:t>
            </w:r>
          </w:p>
        </w:tc>
        <w:tc>
          <w:tcPr>
            <w:tcW w:w="1016" w:type="dxa"/>
            <w:noWrap/>
            <w:vAlign w:val="center"/>
          </w:tcPr>
          <w:p w14:paraId="3E58A90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多年平均</w:t>
            </w:r>
          </w:p>
        </w:tc>
        <w:tc>
          <w:tcPr>
            <w:tcW w:w="789" w:type="dxa"/>
            <w:noWrap/>
            <w:vAlign w:val="center"/>
          </w:tcPr>
          <w:p w14:paraId="62B2CC0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1006</w:t>
            </w:r>
          </w:p>
        </w:tc>
        <w:tc>
          <w:tcPr>
            <w:tcW w:w="789" w:type="dxa"/>
            <w:noWrap/>
            <w:vAlign w:val="center"/>
          </w:tcPr>
          <w:p w14:paraId="55A3420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5144</w:t>
            </w:r>
          </w:p>
        </w:tc>
        <w:tc>
          <w:tcPr>
            <w:tcW w:w="789" w:type="dxa"/>
            <w:noWrap/>
            <w:vAlign w:val="center"/>
          </w:tcPr>
          <w:p w14:paraId="409A654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5400</w:t>
            </w:r>
          </w:p>
        </w:tc>
        <w:tc>
          <w:tcPr>
            <w:tcW w:w="636" w:type="dxa"/>
            <w:noWrap/>
            <w:vAlign w:val="center"/>
          </w:tcPr>
          <w:p w14:paraId="11D550F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76</w:t>
            </w:r>
          </w:p>
        </w:tc>
        <w:tc>
          <w:tcPr>
            <w:tcW w:w="864" w:type="dxa"/>
            <w:noWrap/>
            <w:vAlign w:val="center"/>
          </w:tcPr>
          <w:p w14:paraId="33CB437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11626</w:t>
            </w:r>
          </w:p>
        </w:tc>
        <w:tc>
          <w:tcPr>
            <w:tcW w:w="789" w:type="dxa"/>
            <w:noWrap/>
            <w:vAlign w:val="center"/>
          </w:tcPr>
          <w:p w14:paraId="246C16F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7013</w:t>
            </w:r>
          </w:p>
        </w:tc>
        <w:tc>
          <w:tcPr>
            <w:tcW w:w="816" w:type="dxa"/>
            <w:noWrap/>
            <w:vAlign w:val="center"/>
          </w:tcPr>
          <w:p w14:paraId="2626BD3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1395</w:t>
            </w:r>
          </w:p>
        </w:tc>
        <w:tc>
          <w:tcPr>
            <w:tcW w:w="816" w:type="dxa"/>
            <w:noWrap/>
            <w:vAlign w:val="center"/>
          </w:tcPr>
          <w:p w14:paraId="46BC21E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762" w:type="dxa"/>
            <w:noWrap/>
            <w:vAlign w:val="center"/>
          </w:tcPr>
          <w:p w14:paraId="7B8A9AF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3068</w:t>
            </w:r>
          </w:p>
        </w:tc>
        <w:tc>
          <w:tcPr>
            <w:tcW w:w="616" w:type="dxa"/>
            <w:noWrap/>
            <w:vAlign w:val="center"/>
          </w:tcPr>
          <w:p w14:paraId="056FF22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w:t>
            </w:r>
          </w:p>
        </w:tc>
        <w:tc>
          <w:tcPr>
            <w:tcW w:w="867" w:type="dxa"/>
            <w:noWrap/>
            <w:vAlign w:val="center"/>
          </w:tcPr>
          <w:p w14:paraId="54FAF01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11486</w:t>
            </w:r>
          </w:p>
        </w:tc>
        <w:tc>
          <w:tcPr>
            <w:tcW w:w="616" w:type="dxa"/>
            <w:noWrap/>
            <w:vAlign w:val="center"/>
          </w:tcPr>
          <w:p w14:paraId="0BE8CD1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7" w:type="dxa"/>
            <w:noWrap/>
            <w:vAlign w:val="center"/>
          </w:tcPr>
          <w:p w14:paraId="76114F9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7" w:type="dxa"/>
            <w:noWrap/>
            <w:vAlign w:val="center"/>
          </w:tcPr>
          <w:p w14:paraId="4B7C6AB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140</w:t>
            </w:r>
          </w:p>
        </w:tc>
        <w:tc>
          <w:tcPr>
            <w:tcW w:w="617" w:type="dxa"/>
            <w:noWrap/>
            <w:vAlign w:val="center"/>
          </w:tcPr>
          <w:p w14:paraId="1A33268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17" w:type="dxa"/>
            <w:noWrap/>
            <w:vAlign w:val="center"/>
          </w:tcPr>
          <w:p w14:paraId="0173529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140</w:t>
            </w:r>
          </w:p>
        </w:tc>
        <w:tc>
          <w:tcPr>
            <w:tcW w:w="874" w:type="dxa"/>
            <w:noWrap/>
            <w:vAlign w:val="center"/>
          </w:tcPr>
          <w:p w14:paraId="527BDC8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1.21%</w:t>
            </w:r>
          </w:p>
        </w:tc>
      </w:tr>
    </w:tbl>
    <w:p w14:paraId="7951826D">
      <w:pPr>
        <w:widowControl/>
        <w:spacing w:line="240" w:lineRule="auto"/>
        <w:ind w:firstLine="0" w:firstLineChars="0"/>
        <w:jc w:val="center"/>
        <w:rPr>
          <w:color w:val="000000" w:themeColor="text1"/>
          <w14:textFill>
            <w14:solidFill>
              <w14:schemeClr w14:val="tx1"/>
            </w14:solidFill>
          </w14:textFill>
        </w:rPr>
      </w:pPr>
    </w:p>
    <w:p w14:paraId="4ADC65FF">
      <w:pPr>
        <w:ind w:firstLine="643"/>
        <w:rPr>
          <w:b/>
          <w:color w:val="000000" w:themeColor="text1"/>
          <w:szCs w:val="32"/>
          <w14:textFill>
            <w14:solidFill>
              <w14:schemeClr w14:val="tx1"/>
            </w14:solidFill>
          </w14:textFill>
        </w:rPr>
      </w:pPr>
    </w:p>
    <w:p w14:paraId="5A82AE1C">
      <w:pPr>
        <w:pStyle w:val="76"/>
        <w:numPr>
          <w:ilvl w:val="0"/>
          <w:numId w:val="4"/>
        </w:numPr>
        <w:rPr>
          <w:color w:val="000000" w:themeColor="text1"/>
          <w:szCs w:val="32"/>
          <w14:textFill>
            <w14:solidFill>
              <w14:schemeClr w14:val="tx1"/>
            </w14:solidFill>
          </w14:textFill>
        </w:rPr>
        <w:sectPr>
          <w:pgSz w:w="16838" w:h="11906" w:orient="landscape"/>
          <w:pgMar w:top="1871" w:right="1304" w:bottom="1418" w:left="1304" w:header="851" w:footer="850" w:gutter="0"/>
          <w:pgNumType w:fmt="numberInDash"/>
          <w:cols w:space="425" w:num="1"/>
          <w:docGrid w:linePitch="435" w:charSpace="0"/>
        </w:sectPr>
      </w:pPr>
    </w:p>
    <w:p w14:paraId="7F0AE7BE">
      <w:pPr>
        <w:pStyle w:val="76"/>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易门扒河上段水资源配置方案</w:t>
      </w:r>
    </w:p>
    <w:p w14:paraId="44FF302B">
      <w:pPr>
        <w:ind w:firstLine="640"/>
        <w:rPr>
          <w:color w:val="000000" w:themeColor="text1"/>
          <w14:textFill>
            <w14:solidFill>
              <w14:schemeClr w14:val="tx1"/>
            </w14:solidFill>
          </w14:textFill>
        </w:rPr>
      </w:pPr>
      <w:r>
        <w:rPr>
          <w:color w:val="000000" w:themeColor="text1"/>
          <w14:textFill>
            <w14:solidFill>
              <w14:schemeClr w14:val="tx1"/>
            </w14:solidFill>
          </w14:textFill>
        </w:rPr>
        <w:t>易门扒河上段基准年供水量4663万m³，2020年对现有工程挖潜改造和实施团结水库、麦子田坝水库、白龙水库等工程后，新增供水量1459万m³，其中地表水新增1436万m³。置换保证率低的引提水工程或五小水利工程置换6万m³。因此，2020年在基准年的基础上净增1453万m³，供水量达到6116万m³。</w:t>
      </w:r>
    </w:p>
    <w:p w14:paraId="43378791">
      <w:pPr>
        <w:ind w:firstLine="640"/>
        <w:rPr>
          <w:b/>
          <w:color w:val="000000" w:themeColor="text1"/>
          <w:szCs w:val="32"/>
          <w14:textFill>
            <w14:solidFill>
              <w14:schemeClr w14:val="tx1"/>
            </w14:solidFill>
          </w14:textFill>
        </w:rPr>
      </w:pPr>
      <w:r>
        <w:rPr>
          <w:rFonts w:cs="Times New Roman"/>
          <w:color w:val="000000" w:themeColor="text1"/>
          <w14:textFill>
            <w14:solidFill>
              <w14:schemeClr w14:val="tx1"/>
            </w14:solidFill>
          </w14:textFill>
        </w:rPr>
        <w:t>2030年实施滇中引水工程后，在2020年的基础上新增供水量为3088万m³，其中滇中引水3068万m³。2030年退减或置换的水量为2115万m³，其中，退减河道生态流量1741万m³，地下水压采30万m³，以及置换保证率低的引提水或五小水利工程等水量344万m³。因此，到2030年，多年平均供水量比2020年净增973万m³，达到7089万m³。</w:t>
      </w:r>
    </w:p>
    <w:p w14:paraId="1D034E21">
      <w:pPr>
        <w:widowControl/>
        <w:adjustRightInd/>
        <w:snapToGrid/>
        <w:spacing w:line="240" w:lineRule="auto"/>
        <w:ind w:firstLine="0" w:firstLineChars="0"/>
        <w:jc w:val="left"/>
        <w:rPr>
          <w:color w:val="000000" w:themeColor="text1"/>
          <w14:textFill>
            <w14:solidFill>
              <w14:schemeClr w14:val="tx1"/>
            </w14:solidFill>
          </w14:textFill>
        </w:rPr>
        <w:sectPr>
          <w:pgSz w:w="11906" w:h="16838"/>
          <w:pgMar w:top="1871" w:right="1304" w:bottom="1418" w:left="1304" w:header="851" w:footer="851" w:gutter="0"/>
          <w:pgNumType w:fmt="numberInDash"/>
          <w:cols w:space="425" w:num="1"/>
          <w:docGrid w:linePitch="435" w:charSpace="0"/>
        </w:sectPr>
      </w:pPr>
    </w:p>
    <w:p w14:paraId="4653DBFE">
      <w:pPr>
        <w:pStyle w:val="51"/>
        <w:rPr>
          <w:color w:val="000000" w:themeColor="text1"/>
          <w14:textFill>
            <w14:solidFill>
              <w14:schemeClr w14:val="tx1"/>
            </w14:solidFill>
          </w14:textFill>
        </w:rPr>
      </w:pPr>
      <w:r>
        <w:rPr>
          <w:color w:val="000000" w:themeColor="text1"/>
          <w14:textFill>
            <w14:solidFill>
              <w14:schemeClr w14:val="tx1"/>
            </w14:solidFill>
          </w14:textFill>
        </w:rPr>
        <w:t>表1.1.4-8    滇中引水受水区2020年水资源供需平衡分析成果表      单位：万m³</w:t>
      </w:r>
    </w:p>
    <w:tbl>
      <w:tblPr>
        <w:tblStyle w:val="24"/>
        <w:tblW w:w="14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048"/>
        <w:gridCol w:w="748"/>
        <w:gridCol w:w="748"/>
        <w:gridCol w:w="751"/>
        <w:gridCol w:w="636"/>
        <w:gridCol w:w="826"/>
        <w:gridCol w:w="751"/>
        <w:gridCol w:w="844"/>
        <w:gridCol w:w="844"/>
        <w:gridCol w:w="636"/>
        <w:gridCol w:w="636"/>
        <w:gridCol w:w="809"/>
        <w:gridCol w:w="636"/>
        <w:gridCol w:w="636"/>
        <w:gridCol w:w="676"/>
        <w:gridCol w:w="636"/>
        <w:gridCol w:w="682"/>
        <w:gridCol w:w="855"/>
      </w:tblGrid>
      <w:tr w14:paraId="0934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8" w:type="dxa"/>
            <w:vMerge w:val="restart"/>
            <w:vAlign w:val="center"/>
          </w:tcPr>
          <w:p w14:paraId="06A566F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县区</w:t>
            </w:r>
          </w:p>
        </w:tc>
        <w:tc>
          <w:tcPr>
            <w:tcW w:w="1048" w:type="dxa"/>
            <w:vMerge w:val="restart"/>
            <w:noWrap/>
            <w:vAlign w:val="center"/>
          </w:tcPr>
          <w:p w14:paraId="6944BC6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频率</w:t>
            </w:r>
          </w:p>
        </w:tc>
        <w:tc>
          <w:tcPr>
            <w:tcW w:w="3709" w:type="dxa"/>
            <w:gridSpan w:val="5"/>
            <w:noWrap/>
            <w:vAlign w:val="center"/>
          </w:tcPr>
          <w:p w14:paraId="20A9569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需水量</w:t>
            </w:r>
          </w:p>
        </w:tc>
        <w:tc>
          <w:tcPr>
            <w:tcW w:w="4520" w:type="dxa"/>
            <w:gridSpan w:val="6"/>
            <w:noWrap/>
            <w:vAlign w:val="center"/>
          </w:tcPr>
          <w:p w14:paraId="6FB5B66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可供水量</w:t>
            </w:r>
          </w:p>
        </w:tc>
        <w:tc>
          <w:tcPr>
            <w:tcW w:w="3266" w:type="dxa"/>
            <w:gridSpan w:val="5"/>
            <w:noWrap/>
            <w:vAlign w:val="center"/>
          </w:tcPr>
          <w:p w14:paraId="5A5B51B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w:t>
            </w:r>
          </w:p>
        </w:tc>
        <w:tc>
          <w:tcPr>
            <w:tcW w:w="855" w:type="dxa"/>
            <w:vMerge w:val="restart"/>
            <w:noWrap/>
            <w:vAlign w:val="center"/>
          </w:tcPr>
          <w:p w14:paraId="3E03F80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缺水率</w:t>
            </w:r>
          </w:p>
        </w:tc>
      </w:tr>
      <w:tr w14:paraId="20E7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8" w:type="dxa"/>
            <w:vMerge w:val="continue"/>
            <w:vAlign w:val="center"/>
          </w:tcPr>
          <w:p w14:paraId="3B71ACFD">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1048" w:type="dxa"/>
            <w:vMerge w:val="continue"/>
            <w:vAlign w:val="center"/>
          </w:tcPr>
          <w:p w14:paraId="7CDDC4DD">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748" w:type="dxa"/>
            <w:noWrap/>
            <w:vAlign w:val="center"/>
          </w:tcPr>
          <w:p w14:paraId="2CB71B8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748" w:type="dxa"/>
            <w:noWrap/>
            <w:vAlign w:val="center"/>
          </w:tcPr>
          <w:p w14:paraId="0E13DF2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751" w:type="dxa"/>
            <w:noWrap/>
            <w:vAlign w:val="center"/>
          </w:tcPr>
          <w:p w14:paraId="0181231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36" w:type="dxa"/>
            <w:noWrap/>
            <w:vAlign w:val="center"/>
          </w:tcPr>
          <w:p w14:paraId="24E6458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826" w:type="dxa"/>
            <w:noWrap/>
            <w:vAlign w:val="center"/>
          </w:tcPr>
          <w:p w14:paraId="2697056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751" w:type="dxa"/>
            <w:noWrap/>
            <w:vAlign w:val="center"/>
          </w:tcPr>
          <w:p w14:paraId="26A50F2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蓄水</w:t>
            </w:r>
          </w:p>
        </w:tc>
        <w:tc>
          <w:tcPr>
            <w:tcW w:w="844" w:type="dxa"/>
            <w:noWrap/>
            <w:vAlign w:val="center"/>
          </w:tcPr>
          <w:p w14:paraId="6A6CC83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引提水</w:t>
            </w:r>
          </w:p>
        </w:tc>
        <w:tc>
          <w:tcPr>
            <w:tcW w:w="844" w:type="dxa"/>
            <w:noWrap/>
            <w:vAlign w:val="center"/>
          </w:tcPr>
          <w:p w14:paraId="338E44F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地下水</w:t>
            </w:r>
          </w:p>
        </w:tc>
        <w:tc>
          <w:tcPr>
            <w:tcW w:w="636" w:type="dxa"/>
            <w:noWrap/>
            <w:vAlign w:val="center"/>
          </w:tcPr>
          <w:p w14:paraId="236D5A2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调水</w:t>
            </w:r>
          </w:p>
        </w:tc>
        <w:tc>
          <w:tcPr>
            <w:tcW w:w="636" w:type="dxa"/>
            <w:noWrap/>
            <w:vAlign w:val="center"/>
          </w:tcPr>
          <w:p w14:paraId="71DADD0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其他</w:t>
            </w:r>
          </w:p>
        </w:tc>
        <w:tc>
          <w:tcPr>
            <w:tcW w:w="809" w:type="dxa"/>
            <w:noWrap/>
            <w:vAlign w:val="center"/>
          </w:tcPr>
          <w:p w14:paraId="0818054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636" w:type="dxa"/>
            <w:noWrap/>
            <w:vAlign w:val="center"/>
          </w:tcPr>
          <w:p w14:paraId="0A97739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636" w:type="dxa"/>
            <w:noWrap/>
            <w:vAlign w:val="center"/>
          </w:tcPr>
          <w:p w14:paraId="1BFB036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676" w:type="dxa"/>
            <w:noWrap/>
            <w:vAlign w:val="center"/>
          </w:tcPr>
          <w:p w14:paraId="14BD5E1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36" w:type="dxa"/>
            <w:noWrap/>
            <w:vAlign w:val="center"/>
          </w:tcPr>
          <w:p w14:paraId="4839281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682" w:type="dxa"/>
            <w:noWrap/>
            <w:vAlign w:val="center"/>
          </w:tcPr>
          <w:p w14:paraId="6FBE379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855" w:type="dxa"/>
            <w:vMerge w:val="continue"/>
            <w:vAlign w:val="center"/>
          </w:tcPr>
          <w:p w14:paraId="6FB8E8F3">
            <w:pPr>
              <w:widowControl/>
              <w:spacing w:line="240" w:lineRule="auto"/>
              <w:ind w:firstLine="0" w:firstLineChars="0"/>
              <w:jc w:val="center"/>
              <w:rPr>
                <w:color w:val="000000" w:themeColor="text1"/>
                <w:kern w:val="0"/>
                <w:sz w:val="20"/>
                <w:szCs w:val="20"/>
                <w14:textFill>
                  <w14:solidFill>
                    <w14:schemeClr w14:val="tx1"/>
                  </w14:solidFill>
                </w14:textFill>
              </w:rPr>
            </w:pPr>
          </w:p>
        </w:tc>
      </w:tr>
      <w:tr w14:paraId="262A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8" w:type="dxa"/>
            <w:noWrap/>
            <w:vAlign w:val="center"/>
          </w:tcPr>
          <w:p w14:paraId="049E8BC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扒河上段</w:t>
            </w:r>
          </w:p>
        </w:tc>
        <w:tc>
          <w:tcPr>
            <w:tcW w:w="1048" w:type="dxa"/>
            <w:noWrap/>
            <w:vAlign w:val="center"/>
          </w:tcPr>
          <w:p w14:paraId="2584D0A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50%</w:t>
            </w:r>
          </w:p>
        </w:tc>
        <w:tc>
          <w:tcPr>
            <w:tcW w:w="748" w:type="dxa"/>
            <w:noWrap/>
            <w:vAlign w:val="center"/>
          </w:tcPr>
          <w:p w14:paraId="773F748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543 </w:t>
            </w:r>
          </w:p>
        </w:tc>
        <w:tc>
          <w:tcPr>
            <w:tcW w:w="748" w:type="dxa"/>
            <w:noWrap/>
            <w:vAlign w:val="center"/>
          </w:tcPr>
          <w:p w14:paraId="65CD323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3146 </w:t>
            </w:r>
          </w:p>
        </w:tc>
        <w:tc>
          <w:tcPr>
            <w:tcW w:w="751" w:type="dxa"/>
            <w:noWrap/>
            <w:vAlign w:val="center"/>
          </w:tcPr>
          <w:p w14:paraId="0B1805C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2424 </w:t>
            </w:r>
          </w:p>
        </w:tc>
        <w:tc>
          <w:tcPr>
            <w:tcW w:w="636" w:type="dxa"/>
            <w:noWrap/>
            <w:vAlign w:val="center"/>
          </w:tcPr>
          <w:p w14:paraId="6514B12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42 </w:t>
            </w:r>
          </w:p>
        </w:tc>
        <w:tc>
          <w:tcPr>
            <w:tcW w:w="826" w:type="dxa"/>
            <w:noWrap/>
            <w:vAlign w:val="center"/>
          </w:tcPr>
          <w:p w14:paraId="36481BD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6156 </w:t>
            </w:r>
          </w:p>
        </w:tc>
        <w:tc>
          <w:tcPr>
            <w:tcW w:w="751" w:type="dxa"/>
            <w:noWrap/>
            <w:vAlign w:val="center"/>
          </w:tcPr>
          <w:p w14:paraId="3C8E316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5679 </w:t>
            </w:r>
          </w:p>
        </w:tc>
        <w:tc>
          <w:tcPr>
            <w:tcW w:w="844" w:type="dxa"/>
            <w:noWrap/>
            <w:vAlign w:val="center"/>
          </w:tcPr>
          <w:p w14:paraId="154C0CE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220 </w:t>
            </w:r>
          </w:p>
        </w:tc>
        <w:tc>
          <w:tcPr>
            <w:tcW w:w="844" w:type="dxa"/>
            <w:noWrap/>
            <w:vAlign w:val="center"/>
          </w:tcPr>
          <w:p w14:paraId="15170BC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30 </w:t>
            </w:r>
          </w:p>
        </w:tc>
        <w:tc>
          <w:tcPr>
            <w:tcW w:w="636" w:type="dxa"/>
            <w:noWrap/>
            <w:vAlign w:val="center"/>
          </w:tcPr>
          <w:p w14:paraId="1709855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vAlign w:val="center"/>
          </w:tcPr>
          <w:p w14:paraId="01ECBF4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227 </w:t>
            </w:r>
          </w:p>
        </w:tc>
        <w:tc>
          <w:tcPr>
            <w:tcW w:w="809" w:type="dxa"/>
            <w:noWrap/>
            <w:vAlign w:val="center"/>
          </w:tcPr>
          <w:p w14:paraId="2A9E9B5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6156 </w:t>
            </w:r>
          </w:p>
        </w:tc>
        <w:tc>
          <w:tcPr>
            <w:tcW w:w="636" w:type="dxa"/>
            <w:noWrap/>
            <w:vAlign w:val="center"/>
          </w:tcPr>
          <w:p w14:paraId="75752DB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vAlign w:val="center"/>
          </w:tcPr>
          <w:p w14:paraId="27E58BE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76" w:type="dxa"/>
            <w:noWrap/>
            <w:vAlign w:val="center"/>
          </w:tcPr>
          <w:p w14:paraId="300D319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vAlign w:val="center"/>
          </w:tcPr>
          <w:p w14:paraId="6B9BC8B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82" w:type="dxa"/>
            <w:noWrap/>
            <w:vAlign w:val="center"/>
          </w:tcPr>
          <w:p w14:paraId="05066A0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855" w:type="dxa"/>
            <w:noWrap/>
            <w:vAlign w:val="center"/>
          </w:tcPr>
          <w:p w14:paraId="5129492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0.00%</w:t>
            </w:r>
          </w:p>
        </w:tc>
      </w:tr>
      <w:tr w14:paraId="29A5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8" w:type="dxa"/>
            <w:noWrap/>
            <w:vAlign w:val="center"/>
          </w:tcPr>
          <w:p w14:paraId="7BFDBF9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扒河上段</w:t>
            </w:r>
          </w:p>
        </w:tc>
        <w:tc>
          <w:tcPr>
            <w:tcW w:w="1048" w:type="dxa"/>
            <w:noWrap/>
            <w:vAlign w:val="center"/>
          </w:tcPr>
          <w:p w14:paraId="0FB1FDC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75%</w:t>
            </w:r>
          </w:p>
        </w:tc>
        <w:tc>
          <w:tcPr>
            <w:tcW w:w="748" w:type="dxa"/>
            <w:noWrap/>
            <w:vAlign w:val="center"/>
          </w:tcPr>
          <w:p w14:paraId="32929FC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543 </w:t>
            </w:r>
          </w:p>
        </w:tc>
        <w:tc>
          <w:tcPr>
            <w:tcW w:w="748" w:type="dxa"/>
            <w:noWrap/>
            <w:vAlign w:val="center"/>
          </w:tcPr>
          <w:p w14:paraId="5FD6C6D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3146 </w:t>
            </w:r>
          </w:p>
        </w:tc>
        <w:tc>
          <w:tcPr>
            <w:tcW w:w="751" w:type="dxa"/>
            <w:noWrap/>
            <w:vAlign w:val="center"/>
          </w:tcPr>
          <w:p w14:paraId="4F6BFEA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2696 </w:t>
            </w:r>
          </w:p>
        </w:tc>
        <w:tc>
          <w:tcPr>
            <w:tcW w:w="636" w:type="dxa"/>
            <w:noWrap/>
            <w:vAlign w:val="center"/>
          </w:tcPr>
          <w:p w14:paraId="4E1C307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42 </w:t>
            </w:r>
          </w:p>
        </w:tc>
        <w:tc>
          <w:tcPr>
            <w:tcW w:w="826" w:type="dxa"/>
            <w:noWrap/>
            <w:vAlign w:val="center"/>
          </w:tcPr>
          <w:p w14:paraId="7DEEA8B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6428 </w:t>
            </w:r>
          </w:p>
        </w:tc>
        <w:tc>
          <w:tcPr>
            <w:tcW w:w="751" w:type="dxa"/>
            <w:noWrap/>
            <w:vAlign w:val="center"/>
          </w:tcPr>
          <w:p w14:paraId="172F9EE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5867 </w:t>
            </w:r>
          </w:p>
        </w:tc>
        <w:tc>
          <w:tcPr>
            <w:tcW w:w="844" w:type="dxa"/>
            <w:noWrap/>
            <w:vAlign w:val="center"/>
          </w:tcPr>
          <w:p w14:paraId="199D113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243 </w:t>
            </w:r>
          </w:p>
        </w:tc>
        <w:tc>
          <w:tcPr>
            <w:tcW w:w="844" w:type="dxa"/>
            <w:noWrap/>
            <w:vAlign w:val="center"/>
          </w:tcPr>
          <w:p w14:paraId="50F7EF5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30 </w:t>
            </w:r>
          </w:p>
        </w:tc>
        <w:tc>
          <w:tcPr>
            <w:tcW w:w="636" w:type="dxa"/>
            <w:noWrap/>
            <w:vAlign w:val="center"/>
          </w:tcPr>
          <w:p w14:paraId="0424A9A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vAlign w:val="center"/>
          </w:tcPr>
          <w:p w14:paraId="51E5BD7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227 </w:t>
            </w:r>
          </w:p>
        </w:tc>
        <w:tc>
          <w:tcPr>
            <w:tcW w:w="809" w:type="dxa"/>
            <w:noWrap/>
            <w:vAlign w:val="center"/>
          </w:tcPr>
          <w:p w14:paraId="3BF6B8F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6368 </w:t>
            </w:r>
          </w:p>
        </w:tc>
        <w:tc>
          <w:tcPr>
            <w:tcW w:w="636" w:type="dxa"/>
            <w:noWrap/>
            <w:vAlign w:val="center"/>
          </w:tcPr>
          <w:p w14:paraId="027675F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vAlign w:val="center"/>
          </w:tcPr>
          <w:p w14:paraId="2530A33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76" w:type="dxa"/>
            <w:noWrap/>
            <w:vAlign w:val="center"/>
          </w:tcPr>
          <w:p w14:paraId="61AAC83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60 </w:t>
            </w:r>
          </w:p>
        </w:tc>
        <w:tc>
          <w:tcPr>
            <w:tcW w:w="636" w:type="dxa"/>
            <w:noWrap/>
            <w:vAlign w:val="center"/>
          </w:tcPr>
          <w:p w14:paraId="567961D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82" w:type="dxa"/>
            <w:noWrap/>
            <w:vAlign w:val="center"/>
          </w:tcPr>
          <w:p w14:paraId="4AB0613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60 </w:t>
            </w:r>
          </w:p>
        </w:tc>
        <w:tc>
          <w:tcPr>
            <w:tcW w:w="855" w:type="dxa"/>
            <w:noWrap/>
            <w:vAlign w:val="center"/>
          </w:tcPr>
          <w:p w14:paraId="04BAC58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0.93%</w:t>
            </w:r>
          </w:p>
        </w:tc>
      </w:tr>
      <w:tr w14:paraId="798E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8" w:type="dxa"/>
            <w:noWrap/>
            <w:vAlign w:val="center"/>
          </w:tcPr>
          <w:p w14:paraId="5120AFD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扒河上段</w:t>
            </w:r>
          </w:p>
        </w:tc>
        <w:tc>
          <w:tcPr>
            <w:tcW w:w="1048" w:type="dxa"/>
            <w:noWrap/>
            <w:vAlign w:val="center"/>
          </w:tcPr>
          <w:p w14:paraId="44048C3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95%</w:t>
            </w:r>
          </w:p>
        </w:tc>
        <w:tc>
          <w:tcPr>
            <w:tcW w:w="748" w:type="dxa"/>
            <w:noWrap/>
            <w:vAlign w:val="center"/>
          </w:tcPr>
          <w:p w14:paraId="0DA9679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543 </w:t>
            </w:r>
          </w:p>
        </w:tc>
        <w:tc>
          <w:tcPr>
            <w:tcW w:w="748" w:type="dxa"/>
            <w:noWrap/>
            <w:vAlign w:val="center"/>
          </w:tcPr>
          <w:p w14:paraId="1ADFE0D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3146 </w:t>
            </w:r>
          </w:p>
        </w:tc>
        <w:tc>
          <w:tcPr>
            <w:tcW w:w="751" w:type="dxa"/>
            <w:noWrap/>
            <w:vAlign w:val="center"/>
          </w:tcPr>
          <w:p w14:paraId="77BECAC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3181 </w:t>
            </w:r>
          </w:p>
        </w:tc>
        <w:tc>
          <w:tcPr>
            <w:tcW w:w="636" w:type="dxa"/>
            <w:noWrap/>
            <w:vAlign w:val="center"/>
          </w:tcPr>
          <w:p w14:paraId="31DDA6B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42 </w:t>
            </w:r>
          </w:p>
        </w:tc>
        <w:tc>
          <w:tcPr>
            <w:tcW w:w="826" w:type="dxa"/>
            <w:noWrap/>
            <w:vAlign w:val="center"/>
          </w:tcPr>
          <w:p w14:paraId="11F8E92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6913 </w:t>
            </w:r>
          </w:p>
        </w:tc>
        <w:tc>
          <w:tcPr>
            <w:tcW w:w="751" w:type="dxa"/>
            <w:noWrap/>
            <w:vAlign w:val="center"/>
          </w:tcPr>
          <w:p w14:paraId="10BFBC7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5607 </w:t>
            </w:r>
          </w:p>
        </w:tc>
        <w:tc>
          <w:tcPr>
            <w:tcW w:w="844" w:type="dxa"/>
            <w:noWrap/>
            <w:vAlign w:val="center"/>
          </w:tcPr>
          <w:p w14:paraId="6FC42BC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237 </w:t>
            </w:r>
          </w:p>
        </w:tc>
        <w:tc>
          <w:tcPr>
            <w:tcW w:w="844" w:type="dxa"/>
            <w:noWrap/>
            <w:vAlign w:val="center"/>
          </w:tcPr>
          <w:p w14:paraId="5365086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30 </w:t>
            </w:r>
          </w:p>
        </w:tc>
        <w:tc>
          <w:tcPr>
            <w:tcW w:w="636" w:type="dxa"/>
            <w:noWrap/>
            <w:vAlign w:val="center"/>
          </w:tcPr>
          <w:p w14:paraId="111A844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vAlign w:val="center"/>
          </w:tcPr>
          <w:p w14:paraId="394B658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227 </w:t>
            </w:r>
          </w:p>
        </w:tc>
        <w:tc>
          <w:tcPr>
            <w:tcW w:w="809" w:type="dxa"/>
            <w:noWrap/>
            <w:vAlign w:val="center"/>
          </w:tcPr>
          <w:p w14:paraId="340E7D5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6101 </w:t>
            </w:r>
          </w:p>
        </w:tc>
        <w:tc>
          <w:tcPr>
            <w:tcW w:w="636" w:type="dxa"/>
            <w:noWrap/>
            <w:vAlign w:val="center"/>
          </w:tcPr>
          <w:p w14:paraId="0613DA4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vAlign w:val="center"/>
          </w:tcPr>
          <w:p w14:paraId="093FB1D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76" w:type="dxa"/>
            <w:noWrap/>
            <w:vAlign w:val="center"/>
          </w:tcPr>
          <w:p w14:paraId="7D7B4D9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811 </w:t>
            </w:r>
          </w:p>
        </w:tc>
        <w:tc>
          <w:tcPr>
            <w:tcW w:w="636" w:type="dxa"/>
            <w:noWrap/>
            <w:vAlign w:val="center"/>
          </w:tcPr>
          <w:p w14:paraId="7FE41E0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82" w:type="dxa"/>
            <w:noWrap/>
            <w:vAlign w:val="center"/>
          </w:tcPr>
          <w:p w14:paraId="5A7756D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811 </w:t>
            </w:r>
          </w:p>
        </w:tc>
        <w:tc>
          <w:tcPr>
            <w:tcW w:w="855" w:type="dxa"/>
            <w:noWrap/>
            <w:vAlign w:val="center"/>
          </w:tcPr>
          <w:p w14:paraId="13E4868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11.74%</w:t>
            </w:r>
          </w:p>
        </w:tc>
      </w:tr>
      <w:tr w14:paraId="6D86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8" w:type="dxa"/>
            <w:noWrap/>
            <w:vAlign w:val="center"/>
          </w:tcPr>
          <w:p w14:paraId="6E06D86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扒河上段</w:t>
            </w:r>
          </w:p>
        </w:tc>
        <w:tc>
          <w:tcPr>
            <w:tcW w:w="1048" w:type="dxa"/>
            <w:noWrap/>
            <w:vAlign w:val="center"/>
          </w:tcPr>
          <w:p w14:paraId="6EEBF92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多年平均</w:t>
            </w:r>
          </w:p>
        </w:tc>
        <w:tc>
          <w:tcPr>
            <w:tcW w:w="748" w:type="dxa"/>
            <w:noWrap/>
            <w:vAlign w:val="center"/>
          </w:tcPr>
          <w:p w14:paraId="546CF4C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543 </w:t>
            </w:r>
          </w:p>
        </w:tc>
        <w:tc>
          <w:tcPr>
            <w:tcW w:w="748" w:type="dxa"/>
            <w:noWrap/>
            <w:vAlign w:val="center"/>
          </w:tcPr>
          <w:p w14:paraId="53AF119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3146 </w:t>
            </w:r>
          </w:p>
        </w:tc>
        <w:tc>
          <w:tcPr>
            <w:tcW w:w="751" w:type="dxa"/>
            <w:noWrap/>
            <w:vAlign w:val="center"/>
          </w:tcPr>
          <w:p w14:paraId="7FA60E2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2564 </w:t>
            </w:r>
          </w:p>
        </w:tc>
        <w:tc>
          <w:tcPr>
            <w:tcW w:w="636" w:type="dxa"/>
            <w:noWrap/>
            <w:vAlign w:val="center"/>
          </w:tcPr>
          <w:p w14:paraId="4A605FD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42 </w:t>
            </w:r>
          </w:p>
        </w:tc>
        <w:tc>
          <w:tcPr>
            <w:tcW w:w="826" w:type="dxa"/>
            <w:noWrap/>
            <w:vAlign w:val="center"/>
          </w:tcPr>
          <w:p w14:paraId="576A2BF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6295 </w:t>
            </w:r>
          </w:p>
        </w:tc>
        <w:tc>
          <w:tcPr>
            <w:tcW w:w="751" w:type="dxa"/>
            <w:noWrap/>
            <w:vAlign w:val="center"/>
          </w:tcPr>
          <w:p w14:paraId="6F585D1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5641 </w:t>
            </w:r>
          </w:p>
        </w:tc>
        <w:tc>
          <w:tcPr>
            <w:tcW w:w="844" w:type="dxa"/>
            <w:noWrap/>
            <w:vAlign w:val="center"/>
          </w:tcPr>
          <w:p w14:paraId="4482741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218 </w:t>
            </w:r>
          </w:p>
        </w:tc>
        <w:tc>
          <w:tcPr>
            <w:tcW w:w="844" w:type="dxa"/>
            <w:noWrap/>
            <w:vAlign w:val="center"/>
          </w:tcPr>
          <w:p w14:paraId="0BA188E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30 </w:t>
            </w:r>
          </w:p>
        </w:tc>
        <w:tc>
          <w:tcPr>
            <w:tcW w:w="636" w:type="dxa"/>
            <w:noWrap/>
            <w:vAlign w:val="center"/>
          </w:tcPr>
          <w:p w14:paraId="4F6FBD8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vAlign w:val="center"/>
          </w:tcPr>
          <w:p w14:paraId="040B541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227 </w:t>
            </w:r>
          </w:p>
        </w:tc>
        <w:tc>
          <w:tcPr>
            <w:tcW w:w="809" w:type="dxa"/>
            <w:noWrap/>
            <w:vAlign w:val="center"/>
          </w:tcPr>
          <w:p w14:paraId="0168B37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6116 </w:t>
            </w:r>
          </w:p>
        </w:tc>
        <w:tc>
          <w:tcPr>
            <w:tcW w:w="636" w:type="dxa"/>
            <w:noWrap/>
            <w:vAlign w:val="center"/>
          </w:tcPr>
          <w:p w14:paraId="234A85F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vAlign w:val="center"/>
          </w:tcPr>
          <w:p w14:paraId="1A86575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76" w:type="dxa"/>
            <w:noWrap/>
            <w:vAlign w:val="center"/>
          </w:tcPr>
          <w:p w14:paraId="04E15B2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179 </w:t>
            </w:r>
          </w:p>
        </w:tc>
        <w:tc>
          <w:tcPr>
            <w:tcW w:w="636" w:type="dxa"/>
            <w:noWrap/>
            <w:vAlign w:val="center"/>
          </w:tcPr>
          <w:p w14:paraId="693B1B2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82" w:type="dxa"/>
            <w:noWrap/>
            <w:vAlign w:val="center"/>
          </w:tcPr>
          <w:p w14:paraId="66E3B24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179 </w:t>
            </w:r>
          </w:p>
        </w:tc>
        <w:tc>
          <w:tcPr>
            <w:tcW w:w="855" w:type="dxa"/>
            <w:noWrap/>
            <w:vAlign w:val="center"/>
          </w:tcPr>
          <w:p w14:paraId="42B202E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2.84%</w:t>
            </w:r>
          </w:p>
        </w:tc>
      </w:tr>
    </w:tbl>
    <w:p w14:paraId="4C6B3B9B">
      <w:pPr>
        <w:pStyle w:val="51"/>
        <w:rPr>
          <w:color w:val="000000" w:themeColor="text1"/>
          <w14:textFill>
            <w14:solidFill>
              <w14:schemeClr w14:val="tx1"/>
            </w14:solidFill>
          </w14:textFill>
        </w:rPr>
      </w:pPr>
      <w:r>
        <w:rPr>
          <w:color w:val="000000" w:themeColor="text1"/>
          <w14:textFill>
            <w14:solidFill>
              <w14:schemeClr w14:val="tx1"/>
            </w14:solidFill>
          </w14:textFill>
        </w:rPr>
        <w:t>表1.1.4-9    滇中引水受水区2030年水资源供需平衡分析成果表      单位：万m³</w:t>
      </w:r>
    </w:p>
    <w:tbl>
      <w:tblPr>
        <w:tblStyle w:val="24"/>
        <w:tblW w:w="14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048"/>
        <w:gridCol w:w="748"/>
        <w:gridCol w:w="748"/>
        <w:gridCol w:w="751"/>
        <w:gridCol w:w="636"/>
        <w:gridCol w:w="826"/>
        <w:gridCol w:w="751"/>
        <w:gridCol w:w="844"/>
        <w:gridCol w:w="844"/>
        <w:gridCol w:w="636"/>
        <w:gridCol w:w="636"/>
        <w:gridCol w:w="809"/>
        <w:gridCol w:w="636"/>
        <w:gridCol w:w="636"/>
        <w:gridCol w:w="676"/>
        <w:gridCol w:w="636"/>
        <w:gridCol w:w="682"/>
        <w:gridCol w:w="855"/>
      </w:tblGrid>
      <w:tr w14:paraId="25E3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8" w:type="dxa"/>
            <w:vMerge w:val="restart"/>
            <w:vAlign w:val="center"/>
          </w:tcPr>
          <w:p w14:paraId="1A7E5D9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县区</w:t>
            </w:r>
          </w:p>
        </w:tc>
        <w:tc>
          <w:tcPr>
            <w:tcW w:w="1048" w:type="dxa"/>
            <w:vMerge w:val="restart"/>
            <w:noWrap/>
            <w:vAlign w:val="center"/>
          </w:tcPr>
          <w:p w14:paraId="2A207B3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频率</w:t>
            </w:r>
          </w:p>
        </w:tc>
        <w:tc>
          <w:tcPr>
            <w:tcW w:w="3709" w:type="dxa"/>
            <w:gridSpan w:val="5"/>
            <w:noWrap/>
            <w:vAlign w:val="center"/>
          </w:tcPr>
          <w:p w14:paraId="14DE6B4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需水量</w:t>
            </w:r>
          </w:p>
        </w:tc>
        <w:tc>
          <w:tcPr>
            <w:tcW w:w="4520" w:type="dxa"/>
            <w:gridSpan w:val="6"/>
            <w:noWrap/>
            <w:vAlign w:val="center"/>
          </w:tcPr>
          <w:p w14:paraId="1FE5E0A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可供水量</w:t>
            </w:r>
          </w:p>
        </w:tc>
        <w:tc>
          <w:tcPr>
            <w:tcW w:w="3266" w:type="dxa"/>
            <w:gridSpan w:val="5"/>
            <w:noWrap/>
            <w:vAlign w:val="center"/>
          </w:tcPr>
          <w:p w14:paraId="7A63AF6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w:t>
            </w:r>
          </w:p>
        </w:tc>
        <w:tc>
          <w:tcPr>
            <w:tcW w:w="855" w:type="dxa"/>
            <w:vMerge w:val="restart"/>
            <w:noWrap/>
            <w:vAlign w:val="center"/>
          </w:tcPr>
          <w:p w14:paraId="107D325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缺水率</w:t>
            </w:r>
          </w:p>
        </w:tc>
      </w:tr>
      <w:tr w14:paraId="7B33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048" w:type="dxa"/>
            <w:vMerge w:val="continue"/>
            <w:vAlign w:val="center"/>
          </w:tcPr>
          <w:p w14:paraId="0D2A574C">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1048" w:type="dxa"/>
            <w:vMerge w:val="continue"/>
            <w:vAlign w:val="center"/>
          </w:tcPr>
          <w:p w14:paraId="112D8D1C">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748" w:type="dxa"/>
            <w:noWrap/>
            <w:vAlign w:val="center"/>
          </w:tcPr>
          <w:p w14:paraId="76A2927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748" w:type="dxa"/>
            <w:noWrap/>
            <w:vAlign w:val="center"/>
          </w:tcPr>
          <w:p w14:paraId="2A0529C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751" w:type="dxa"/>
            <w:noWrap/>
            <w:vAlign w:val="center"/>
          </w:tcPr>
          <w:p w14:paraId="4EDC582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36" w:type="dxa"/>
            <w:noWrap/>
            <w:vAlign w:val="center"/>
          </w:tcPr>
          <w:p w14:paraId="39D83EE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826" w:type="dxa"/>
            <w:noWrap/>
            <w:vAlign w:val="center"/>
          </w:tcPr>
          <w:p w14:paraId="43A33CA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751" w:type="dxa"/>
            <w:noWrap/>
            <w:vAlign w:val="center"/>
          </w:tcPr>
          <w:p w14:paraId="26A1358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蓄水</w:t>
            </w:r>
          </w:p>
        </w:tc>
        <w:tc>
          <w:tcPr>
            <w:tcW w:w="844" w:type="dxa"/>
            <w:noWrap/>
            <w:vAlign w:val="center"/>
          </w:tcPr>
          <w:p w14:paraId="14C86F4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引提水</w:t>
            </w:r>
          </w:p>
        </w:tc>
        <w:tc>
          <w:tcPr>
            <w:tcW w:w="844" w:type="dxa"/>
            <w:noWrap/>
            <w:vAlign w:val="center"/>
          </w:tcPr>
          <w:p w14:paraId="0460666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地下水</w:t>
            </w:r>
          </w:p>
        </w:tc>
        <w:tc>
          <w:tcPr>
            <w:tcW w:w="636" w:type="dxa"/>
            <w:noWrap/>
            <w:vAlign w:val="center"/>
          </w:tcPr>
          <w:p w14:paraId="523F8D6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调水</w:t>
            </w:r>
          </w:p>
        </w:tc>
        <w:tc>
          <w:tcPr>
            <w:tcW w:w="636" w:type="dxa"/>
            <w:noWrap/>
            <w:vAlign w:val="center"/>
          </w:tcPr>
          <w:p w14:paraId="6C39178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其他</w:t>
            </w:r>
          </w:p>
        </w:tc>
        <w:tc>
          <w:tcPr>
            <w:tcW w:w="809" w:type="dxa"/>
            <w:noWrap/>
            <w:vAlign w:val="center"/>
          </w:tcPr>
          <w:p w14:paraId="19835DD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636" w:type="dxa"/>
            <w:noWrap/>
            <w:vAlign w:val="center"/>
          </w:tcPr>
          <w:p w14:paraId="099D581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生活</w:t>
            </w:r>
          </w:p>
        </w:tc>
        <w:tc>
          <w:tcPr>
            <w:tcW w:w="636" w:type="dxa"/>
            <w:noWrap/>
            <w:vAlign w:val="center"/>
          </w:tcPr>
          <w:p w14:paraId="557D9CA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工业</w:t>
            </w:r>
          </w:p>
        </w:tc>
        <w:tc>
          <w:tcPr>
            <w:tcW w:w="676" w:type="dxa"/>
            <w:noWrap/>
            <w:vAlign w:val="center"/>
          </w:tcPr>
          <w:p w14:paraId="159FABF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w:t>
            </w:r>
          </w:p>
        </w:tc>
        <w:tc>
          <w:tcPr>
            <w:tcW w:w="636" w:type="dxa"/>
            <w:noWrap/>
            <w:vAlign w:val="center"/>
          </w:tcPr>
          <w:p w14:paraId="2166426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生态</w:t>
            </w:r>
          </w:p>
        </w:tc>
        <w:tc>
          <w:tcPr>
            <w:tcW w:w="682" w:type="dxa"/>
            <w:noWrap/>
            <w:vAlign w:val="center"/>
          </w:tcPr>
          <w:p w14:paraId="720C192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855" w:type="dxa"/>
            <w:vMerge w:val="continue"/>
            <w:vAlign w:val="center"/>
          </w:tcPr>
          <w:p w14:paraId="36E84E41">
            <w:pPr>
              <w:widowControl/>
              <w:spacing w:line="240" w:lineRule="auto"/>
              <w:ind w:firstLine="0" w:firstLineChars="0"/>
              <w:jc w:val="center"/>
              <w:rPr>
                <w:color w:val="000000" w:themeColor="text1"/>
                <w:kern w:val="0"/>
                <w:sz w:val="20"/>
                <w:szCs w:val="20"/>
                <w14:textFill>
                  <w14:solidFill>
                    <w14:schemeClr w14:val="tx1"/>
                  </w14:solidFill>
                </w14:textFill>
              </w:rPr>
            </w:pPr>
          </w:p>
        </w:tc>
      </w:tr>
      <w:tr w14:paraId="7487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8" w:type="dxa"/>
            <w:noWrap/>
          </w:tcPr>
          <w:p w14:paraId="1E792EB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扒河上段</w:t>
            </w:r>
          </w:p>
        </w:tc>
        <w:tc>
          <w:tcPr>
            <w:tcW w:w="1048" w:type="dxa"/>
            <w:noWrap/>
          </w:tcPr>
          <w:p w14:paraId="770E6EF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50%</w:t>
            </w:r>
          </w:p>
        </w:tc>
        <w:tc>
          <w:tcPr>
            <w:tcW w:w="748" w:type="dxa"/>
            <w:noWrap/>
          </w:tcPr>
          <w:p w14:paraId="0B31CBC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672 </w:t>
            </w:r>
          </w:p>
        </w:tc>
        <w:tc>
          <w:tcPr>
            <w:tcW w:w="748" w:type="dxa"/>
            <w:noWrap/>
          </w:tcPr>
          <w:p w14:paraId="2878BEC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4091 </w:t>
            </w:r>
          </w:p>
        </w:tc>
        <w:tc>
          <w:tcPr>
            <w:tcW w:w="751" w:type="dxa"/>
            <w:noWrap/>
          </w:tcPr>
          <w:p w14:paraId="365EED8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2253 </w:t>
            </w:r>
          </w:p>
        </w:tc>
        <w:tc>
          <w:tcPr>
            <w:tcW w:w="636" w:type="dxa"/>
            <w:noWrap/>
          </w:tcPr>
          <w:p w14:paraId="25DE83B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58 </w:t>
            </w:r>
          </w:p>
        </w:tc>
        <w:tc>
          <w:tcPr>
            <w:tcW w:w="826" w:type="dxa"/>
            <w:noWrap/>
          </w:tcPr>
          <w:p w14:paraId="0CF9805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7074 </w:t>
            </w:r>
          </w:p>
        </w:tc>
        <w:tc>
          <w:tcPr>
            <w:tcW w:w="751" w:type="dxa"/>
            <w:noWrap/>
          </w:tcPr>
          <w:p w14:paraId="0A2D6FC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3978 </w:t>
            </w:r>
          </w:p>
        </w:tc>
        <w:tc>
          <w:tcPr>
            <w:tcW w:w="844" w:type="dxa"/>
            <w:noWrap/>
          </w:tcPr>
          <w:p w14:paraId="30B98D4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118 </w:t>
            </w:r>
          </w:p>
        </w:tc>
        <w:tc>
          <w:tcPr>
            <w:tcW w:w="844" w:type="dxa"/>
            <w:noWrap/>
          </w:tcPr>
          <w:p w14:paraId="233E515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tcPr>
          <w:p w14:paraId="4CE62FF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2978 </w:t>
            </w:r>
          </w:p>
        </w:tc>
        <w:tc>
          <w:tcPr>
            <w:tcW w:w="636" w:type="dxa"/>
            <w:noWrap/>
          </w:tcPr>
          <w:p w14:paraId="07CCD74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809" w:type="dxa"/>
            <w:noWrap/>
          </w:tcPr>
          <w:p w14:paraId="1420A98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7074 </w:t>
            </w:r>
          </w:p>
        </w:tc>
        <w:tc>
          <w:tcPr>
            <w:tcW w:w="636" w:type="dxa"/>
            <w:noWrap/>
          </w:tcPr>
          <w:p w14:paraId="6EA94CD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tcPr>
          <w:p w14:paraId="6260E68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76" w:type="dxa"/>
            <w:noWrap/>
          </w:tcPr>
          <w:p w14:paraId="3E36D3A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tcPr>
          <w:p w14:paraId="2C7F77F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82" w:type="dxa"/>
            <w:noWrap/>
          </w:tcPr>
          <w:p w14:paraId="2915F76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855" w:type="dxa"/>
            <w:noWrap/>
          </w:tcPr>
          <w:p w14:paraId="7283544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0.00%</w:t>
            </w:r>
          </w:p>
        </w:tc>
      </w:tr>
      <w:tr w14:paraId="510D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8" w:type="dxa"/>
            <w:noWrap/>
          </w:tcPr>
          <w:p w14:paraId="4FECA94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扒河上段</w:t>
            </w:r>
          </w:p>
        </w:tc>
        <w:tc>
          <w:tcPr>
            <w:tcW w:w="1048" w:type="dxa"/>
            <w:noWrap/>
          </w:tcPr>
          <w:p w14:paraId="69824CD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75%</w:t>
            </w:r>
          </w:p>
        </w:tc>
        <w:tc>
          <w:tcPr>
            <w:tcW w:w="748" w:type="dxa"/>
            <w:noWrap/>
          </w:tcPr>
          <w:p w14:paraId="4E37D43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672 </w:t>
            </w:r>
          </w:p>
        </w:tc>
        <w:tc>
          <w:tcPr>
            <w:tcW w:w="748" w:type="dxa"/>
            <w:noWrap/>
          </w:tcPr>
          <w:p w14:paraId="44E7B90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4091 </w:t>
            </w:r>
          </w:p>
        </w:tc>
        <w:tc>
          <w:tcPr>
            <w:tcW w:w="751" w:type="dxa"/>
            <w:noWrap/>
          </w:tcPr>
          <w:p w14:paraId="11E2907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2490 </w:t>
            </w:r>
          </w:p>
        </w:tc>
        <w:tc>
          <w:tcPr>
            <w:tcW w:w="636" w:type="dxa"/>
            <w:noWrap/>
          </w:tcPr>
          <w:p w14:paraId="1891569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58 </w:t>
            </w:r>
          </w:p>
        </w:tc>
        <w:tc>
          <w:tcPr>
            <w:tcW w:w="826" w:type="dxa"/>
            <w:noWrap/>
          </w:tcPr>
          <w:p w14:paraId="0D022CB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7311 </w:t>
            </w:r>
          </w:p>
        </w:tc>
        <w:tc>
          <w:tcPr>
            <w:tcW w:w="751" w:type="dxa"/>
            <w:noWrap/>
          </w:tcPr>
          <w:p w14:paraId="3B8E22A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4186 </w:t>
            </w:r>
          </w:p>
        </w:tc>
        <w:tc>
          <w:tcPr>
            <w:tcW w:w="844" w:type="dxa"/>
            <w:noWrap/>
          </w:tcPr>
          <w:p w14:paraId="599805D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121 </w:t>
            </w:r>
          </w:p>
        </w:tc>
        <w:tc>
          <w:tcPr>
            <w:tcW w:w="844" w:type="dxa"/>
            <w:noWrap/>
          </w:tcPr>
          <w:p w14:paraId="1971622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tcPr>
          <w:p w14:paraId="0769D14F">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3003 </w:t>
            </w:r>
          </w:p>
        </w:tc>
        <w:tc>
          <w:tcPr>
            <w:tcW w:w="636" w:type="dxa"/>
            <w:noWrap/>
          </w:tcPr>
          <w:p w14:paraId="44562D6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809" w:type="dxa"/>
            <w:noWrap/>
          </w:tcPr>
          <w:p w14:paraId="66A4D09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7311 </w:t>
            </w:r>
          </w:p>
        </w:tc>
        <w:tc>
          <w:tcPr>
            <w:tcW w:w="636" w:type="dxa"/>
            <w:noWrap/>
          </w:tcPr>
          <w:p w14:paraId="7B48CEE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tcPr>
          <w:p w14:paraId="66FD6E1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76" w:type="dxa"/>
            <w:noWrap/>
          </w:tcPr>
          <w:p w14:paraId="62E76FE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tcPr>
          <w:p w14:paraId="5438304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82" w:type="dxa"/>
            <w:noWrap/>
          </w:tcPr>
          <w:p w14:paraId="65E12D3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855" w:type="dxa"/>
            <w:noWrap/>
          </w:tcPr>
          <w:p w14:paraId="7DBB454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0.00%</w:t>
            </w:r>
          </w:p>
        </w:tc>
      </w:tr>
      <w:tr w14:paraId="45E9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8" w:type="dxa"/>
            <w:noWrap/>
          </w:tcPr>
          <w:p w14:paraId="1A1AEAA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扒河上段</w:t>
            </w:r>
          </w:p>
        </w:tc>
        <w:tc>
          <w:tcPr>
            <w:tcW w:w="1048" w:type="dxa"/>
            <w:noWrap/>
          </w:tcPr>
          <w:p w14:paraId="11E4EFC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95%</w:t>
            </w:r>
          </w:p>
        </w:tc>
        <w:tc>
          <w:tcPr>
            <w:tcW w:w="748" w:type="dxa"/>
            <w:noWrap/>
          </w:tcPr>
          <w:p w14:paraId="7D1A80D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672 </w:t>
            </w:r>
          </w:p>
        </w:tc>
        <w:tc>
          <w:tcPr>
            <w:tcW w:w="748" w:type="dxa"/>
            <w:noWrap/>
          </w:tcPr>
          <w:p w14:paraId="64231EB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4091 </w:t>
            </w:r>
          </w:p>
        </w:tc>
        <w:tc>
          <w:tcPr>
            <w:tcW w:w="751" w:type="dxa"/>
            <w:noWrap/>
          </w:tcPr>
          <w:p w14:paraId="02FCA37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2932 </w:t>
            </w:r>
          </w:p>
        </w:tc>
        <w:tc>
          <w:tcPr>
            <w:tcW w:w="636" w:type="dxa"/>
            <w:noWrap/>
          </w:tcPr>
          <w:p w14:paraId="28A02C8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58 </w:t>
            </w:r>
          </w:p>
        </w:tc>
        <w:tc>
          <w:tcPr>
            <w:tcW w:w="826" w:type="dxa"/>
            <w:noWrap/>
          </w:tcPr>
          <w:p w14:paraId="0293F3E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7753 </w:t>
            </w:r>
          </w:p>
        </w:tc>
        <w:tc>
          <w:tcPr>
            <w:tcW w:w="751" w:type="dxa"/>
            <w:noWrap/>
          </w:tcPr>
          <w:p w14:paraId="6E6BD70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3811 </w:t>
            </w:r>
          </w:p>
        </w:tc>
        <w:tc>
          <w:tcPr>
            <w:tcW w:w="844" w:type="dxa"/>
            <w:noWrap/>
          </w:tcPr>
          <w:p w14:paraId="3625E52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129 </w:t>
            </w:r>
          </w:p>
        </w:tc>
        <w:tc>
          <w:tcPr>
            <w:tcW w:w="844" w:type="dxa"/>
            <w:noWrap/>
          </w:tcPr>
          <w:p w14:paraId="056A4A1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tcPr>
          <w:p w14:paraId="2D2941C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3098 </w:t>
            </w:r>
          </w:p>
        </w:tc>
        <w:tc>
          <w:tcPr>
            <w:tcW w:w="636" w:type="dxa"/>
            <w:noWrap/>
          </w:tcPr>
          <w:p w14:paraId="629A80C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809" w:type="dxa"/>
            <w:noWrap/>
          </w:tcPr>
          <w:p w14:paraId="091AA9C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7038 </w:t>
            </w:r>
          </w:p>
        </w:tc>
        <w:tc>
          <w:tcPr>
            <w:tcW w:w="636" w:type="dxa"/>
            <w:noWrap/>
          </w:tcPr>
          <w:p w14:paraId="13F8FFE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tcPr>
          <w:p w14:paraId="37B40144">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76" w:type="dxa"/>
            <w:noWrap/>
          </w:tcPr>
          <w:p w14:paraId="46A9467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714 </w:t>
            </w:r>
          </w:p>
        </w:tc>
        <w:tc>
          <w:tcPr>
            <w:tcW w:w="636" w:type="dxa"/>
            <w:noWrap/>
          </w:tcPr>
          <w:p w14:paraId="24BB606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82" w:type="dxa"/>
            <w:noWrap/>
          </w:tcPr>
          <w:p w14:paraId="53B589F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714 </w:t>
            </w:r>
          </w:p>
        </w:tc>
        <w:tc>
          <w:tcPr>
            <w:tcW w:w="855" w:type="dxa"/>
            <w:noWrap/>
          </w:tcPr>
          <w:p w14:paraId="57CE562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9.21%</w:t>
            </w:r>
          </w:p>
        </w:tc>
      </w:tr>
      <w:tr w14:paraId="4A95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8" w:type="dxa"/>
            <w:noWrap/>
          </w:tcPr>
          <w:p w14:paraId="24B6C83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扒河上段</w:t>
            </w:r>
          </w:p>
        </w:tc>
        <w:tc>
          <w:tcPr>
            <w:tcW w:w="1048" w:type="dxa"/>
            <w:noWrap/>
          </w:tcPr>
          <w:p w14:paraId="25868F5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多年平均</w:t>
            </w:r>
          </w:p>
        </w:tc>
        <w:tc>
          <w:tcPr>
            <w:tcW w:w="748" w:type="dxa"/>
            <w:noWrap/>
          </w:tcPr>
          <w:p w14:paraId="71C5A67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672 </w:t>
            </w:r>
          </w:p>
        </w:tc>
        <w:tc>
          <w:tcPr>
            <w:tcW w:w="748" w:type="dxa"/>
            <w:noWrap/>
          </w:tcPr>
          <w:p w14:paraId="2DBF543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4091 </w:t>
            </w:r>
          </w:p>
        </w:tc>
        <w:tc>
          <w:tcPr>
            <w:tcW w:w="751" w:type="dxa"/>
            <w:noWrap/>
          </w:tcPr>
          <w:p w14:paraId="60F990D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2398 </w:t>
            </w:r>
          </w:p>
        </w:tc>
        <w:tc>
          <w:tcPr>
            <w:tcW w:w="636" w:type="dxa"/>
            <w:noWrap/>
          </w:tcPr>
          <w:p w14:paraId="5F38556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58 </w:t>
            </w:r>
          </w:p>
        </w:tc>
        <w:tc>
          <w:tcPr>
            <w:tcW w:w="826" w:type="dxa"/>
            <w:noWrap/>
          </w:tcPr>
          <w:p w14:paraId="4D0CDE1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7218 </w:t>
            </w:r>
          </w:p>
        </w:tc>
        <w:tc>
          <w:tcPr>
            <w:tcW w:w="751" w:type="dxa"/>
            <w:noWrap/>
          </w:tcPr>
          <w:p w14:paraId="3E38AE4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3901 </w:t>
            </w:r>
          </w:p>
        </w:tc>
        <w:tc>
          <w:tcPr>
            <w:tcW w:w="844" w:type="dxa"/>
            <w:noWrap/>
          </w:tcPr>
          <w:p w14:paraId="4DF8349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120 </w:t>
            </w:r>
          </w:p>
        </w:tc>
        <w:tc>
          <w:tcPr>
            <w:tcW w:w="844" w:type="dxa"/>
            <w:noWrap/>
          </w:tcPr>
          <w:p w14:paraId="3A1B8AA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tcPr>
          <w:p w14:paraId="571A5F2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3068 </w:t>
            </w:r>
          </w:p>
        </w:tc>
        <w:tc>
          <w:tcPr>
            <w:tcW w:w="636" w:type="dxa"/>
            <w:noWrap/>
          </w:tcPr>
          <w:p w14:paraId="11551E2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809" w:type="dxa"/>
            <w:noWrap/>
          </w:tcPr>
          <w:p w14:paraId="2AC0F47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7089 </w:t>
            </w:r>
          </w:p>
        </w:tc>
        <w:tc>
          <w:tcPr>
            <w:tcW w:w="636" w:type="dxa"/>
            <w:noWrap/>
          </w:tcPr>
          <w:p w14:paraId="4D51933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36" w:type="dxa"/>
            <w:noWrap/>
          </w:tcPr>
          <w:p w14:paraId="66FB5E8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76" w:type="dxa"/>
            <w:noWrap/>
          </w:tcPr>
          <w:p w14:paraId="3A2B124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129 </w:t>
            </w:r>
          </w:p>
        </w:tc>
        <w:tc>
          <w:tcPr>
            <w:tcW w:w="636" w:type="dxa"/>
            <w:noWrap/>
          </w:tcPr>
          <w:p w14:paraId="191CF4A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0 </w:t>
            </w:r>
          </w:p>
        </w:tc>
        <w:tc>
          <w:tcPr>
            <w:tcW w:w="682" w:type="dxa"/>
            <w:noWrap/>
          </w:tcPr>
          <w:p w14:paraId="10FC85A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129 </w:t>
            </w:r>
          </w:p>
        </w:tc>
        <w:tc>
          <w:tcPr>
            <w:tcW w:w="855" w:type="dxa"/>
            <w:noWrap/>
          </w:tcPr>
          <w:p w14:paraId="0E6505A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1.79%</w:t>
            </w:r>
          </w:p>
        </w:tc>
      </w:tr>
    </w:tbl>
    <w:p w14:paraId="5E08D498">
      <w:pPr>
        <w:pStyle w:val="51"/>
        <w:rPr>
          <w:color w:val="000000" w:themeColor="text1"/>
          <w14:textFill>
            <w14:solidFill>
              <w14:schemeClr w14:val="tx1"/>
            </w14:solidFill>
          </w14:textFill>
        </w:rPr>
      </w:pPr>
      <w:r>
        <w:rPr>
          <w:color w:val="000000" w:themeColor="text1"/>
          <w14:textFill>
            <w14:solidFill>
              <w14:schemeClr w14:val="tx1"/>
            </w14:solidFill>
          </w14:textFill>
        </w:rPr>
        <w:t xml:space="preserve">表1.1.4-10  </w:t>
      </w:r>
      <w:r>
        <w:rPr>
          <w:rFonts w:eastAsia="黑体"/>
          <w:color w:val="000000" w:themeColor="text1"/>
          <w14:textFill>
            <w14:solidFill>
              <w14:schemeClr w14:val="tx1"/>
            </w14:solidFill>
          </w14:textFill>
        </w:rPr>
        <w:t>滇中引水受水区水资源配置方案</w:t>
      </w:r>
      <w:r>
        <w:rPr>
          <w:color w:val="000000" w:themeColor="text1"/>
          <w14:textFill>
            <w14:solidFill>
              <w14:schemeClr w14:val="tx1"/>
            </w14:solidFill>
          </w14:textFill>
        </w:rPr>
        <w:t xml:space="preserve">      单位：万m³</w:t>
      </w:r>
    </w:p>
    <w:tbl>
      <w:tblPr>
        <w:tblStyle w:val="24"/>
        <w:tblW w:w="14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32"/>
        <w:gridCol w:w="784"/>
        <w:gridCol w:w="692"/>
        <w:gridCol w:w="784"/>
        <w:gridCol w:w="784"/>
        <w:gridCol w:w="597"/>
        <w:gridCol w:w="784"/>
        <w:gridCol w:w="698"/>
        <w:gridCol w:w="692"/>
        <w:gridCol w:w="784"/>
        <w:gridCol w:w="784"/>
        <w:gridCol w:w="597"/>
        <w:gridCol w:w="784"/>
        <w:gridCol w:w="706"/>
        <w:gridCol w:w="597"/>
        <w:gridCol w:w="784"/>
        <w:gridCol w:w="784"/>
        <w:gridCol w:w="597"/>
        <w:gridCol w:w="591"/>
      </w:tblGrid>
      <w:tr w14:paraId="20DA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9" w:hRule="atLeast"/>
          <w:tblHeader/>
        </w:trPr>
        <w:tc>
          <w:tcPr>
            <w:tcW w:w="1532" w:type="dxa"/>
            <w:vMerge w:val="restart"/>
            <w:shd w:val="clear" w:color="auto" w:fill="auto"/>
            <w:vAlign w:val="center"/>
          </w:tcPr>
          <w:p w14:paraId="4B7A076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计算单元</w:t>
            </w:r>
          </w:p>
        </w:tc>
        <w:tc>
          <w:tcPr>
            <w:tcW w:w="784" w:type="dxa"/>
            <w:vMerge w:val="restart"/>
            <w:shd w:val="clear" w:color="auto" w:fill="auto"/>
            <w:vAlign w:val="center"/>
          </w:tcPr>
          <w:p w14:paraId="26D461D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水平年</w:t>
            </w:r>
          </w:p>
        </w:tc>
        <w:tc>
          <w:tcPr>
            <w:tcW w:w="4339" w:type="dxa"/>
            <w:gridSpan w:val="6"/>
            <w:shd w:val="clear" w:color="000000" w:fill="FFFFFF"/>
            <w:noWrap/>
            <w:vAlign w:val="center"/>
          </w:tcPr>
          <w:p w14:paraId="6309FC6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供水量</w:t>
            </w:r>
          </w:p>
        </w:tc>
        <w:tc>
          <w:tcPr>
            <w:tcW w:w="4347" w:type="dxa"/>
            <w:gridSpan w:val="6"/>
            <w:shd w:val="clear" w:color="000000" w:fill="FFFFFF"/>
            <w:noWrap/>
            <w:vAlign w:val="center"/>
          </w:tcPr>
          <w:p w14:paraId="230B456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新增供水量</w:t>
            </w:r>
          </w:p>
        </w:tc>
        <w:tc>
          <w:tcPr>
            <w:tcW w:w="3353" w:type="dxa"/>
            <w:gridSpan w:val="5"/>
            <w:shd w:val="clear" w:color="000000" w:fill="FFFFFF"/>
            <w:noWrap/>
            <w:vAlign w:val="center"/>
          </w:tcPr>
          <w:p w14:paraId="317AABE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退减（置换）水量</w:t>
            </w:r>
          </w:p>
        </w:tc>
      </w:tr>
      <w:tr w14:paraId="07F4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9" w:hRule="atLeast"/>
          <w:tblHeader/>
        </w:trPr>
        <w:tc>
          <w:tcPr>
            <w:tcW w:w="1532" w:type="dxa"/>
            <w:vMerge w:val="continue"/>
            <w:shd w:val="clear" w:color="auto" w:fill="auto"/>
            <w:vAlign w:val="center"/>
          </w:tcPr>
          <w:p w14:paraId="1D929A3D">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784" w:type="dxa"/>
            <w:vMerge w:val="continue"/>
            <w:shd w:val="clear" w:color="auto" w:fill="auto"/>
            <w:vAlign w:val="center"/>
          </w:tcPr>
          <w:p w14:paraId="5F60A5A1">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692" w:type="dxa"/>
            <w:vMerge w:val="restart"/>
            <w:shd w:val="clear" w:color="000000" w:fill="FFFFFF"/>
            <w:noWrap/>
            <w:vAlign w:val="center"/>
          </w:tcPr>
          <w:p w14:paraId="4E2D89C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3647" w:type="dxa"/>
            <w:gridSpan w:val="5"/>
            <w:shd w:val="clear" w:color="auto" w:fill="auto"/>
            <w:noWrap/>
            <w:vAlign w:val="center"/>
          </w:tcPr>
          <w:p w14:paraId="6C0A207D">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其中</w:t>
            </w:r>
          </w:p>
        </w:tc>
        <w:tc>
          <w:tcPr>
            <w:tcW w:w="692" w:type="dxa"/>
            <w:vMerge w:val="restart"/>
            <w:shd w:val="clear" w:color="auto" w:fill="auto"/>
            <w:noWrap/>
            <w:vAlign w:val="center"/>
          </w:tcPr>
          <w:p w14:paraId="370A24D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3655" w:type="dxa"/>
            <w:gridSpan w:val="5"/>
            <w:shd w:val="clear" w:color="auto" w:fill="auto"/>
            <w:noWrap/>
            <w:vAlign w:val="center"/>
          </w:tcPr>
          <w:p w14:paraId="048C5B2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其中</w:t>
            </w:r>
          </w:p>
        </w:tc>
        <w:tc>
          <w:tcPr>
            <w:tcW w:w="597" w:type="dxa"/>
            <w:vMerge w:val="restart"/>
            <w:shd w:val="clear" w:color="000000" w:fill="FFFFFF"/>
            <w:noWrap/>
            <w:vAlign w:val="center"/>
          </w:tcPr>
          <w:p w14:paraId="6096BB2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小计</w:t>
            </w:r>
          </w:p>
        </w:tc>
        <w:tc>
          <w:tcPr>
            <w:tcW w:w="2756" w:type="dxa"/>
            <w:gridSpan w:val="4"/>
            <w:shd w:val="clear" w:color="000000" w:fill="FFFFFF"/>
            <w:noWrap/>
            <w:vAlign w:val="center"/>
          </w:tcPr>
          <w:p w14:paraId="18B8613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其中</w:t>
            </w:r>
          </w:p>
        </w:tc>
      </w:tr>
      <w:tr w14:paraId="468F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9" w:hRule="atLeast"/>
          <w:tblHeader/>
        </w:trPr>
        <w:tc>
          <w:tcPr>
            <w:tcW w:w="1532" w:type="dxa"/>
            <w:vMerge w:val="continue"/>
            <w:shd w:val="clear" w:color="auto" w:fill="auto"/>
            <w:vAlign w:val="center"/>
          </w:tcPr>
          <w:p w14:paraId="736246F2">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784" w:type="dxa"/>
            <w:vMerge w:val="continue"/>
            <w:shd w:val="clear" w:color="auto" w:fill="auto"/>
            <w:vAlign w:val="center"/>
          </w:tcPr>
          <w:p w14:paraId="788FDF60">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692" w:type="dxa"/>
            <w:vMerge w:val="continue"/>
            <w:shd w:val="clear" w:color="auto" w:fill="auto"/>
            <w:vAlign w:val="center"/>
          </w:tcPr>
          <w:p w14:paraId="60A13D0D">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784" w:type="dxa"/>
            <w:shd w:val="clear" w:color="000000" w:fill="FFFFFF"/>
            <w:noWrap/>
            <w:vAlign w:val="center"/>
          </w:tcPr>
          <w:p w14:paraId="0F4C1D5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地表水</w:t>
            </w:r>
          </w:p>
        </w:tc>
        <w:tc>
          <w:tcPr>
            <w:tcW w:w="784" w:type="dxa"/>
            <w:shd w:val="clear" w:color="000000" w:fill="FFFFFF"/>
            <w:noWrap/>
            <w:vAlign w:val="center"/>
          </w:tcPr>
          <w:p w14:paraId="042DA75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地下水</w:t>
            </w:r>
          </w:p>
        </w:tc>
        <w:tc>
          <w:tcPr>
            <w:tcW w:w="597" w:type="dxa"/>
            <w:shd w:val="clear" w:color="000000" w:fill="FFFFFF"/>
            <w:noWrap/>
            <w:vAlign w:val="center"/>
          </w:tcPr>
          <w:p w14:paraId="279A2009">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湖泊</w:t>
            </w:r>
          </w:p>
        </w:tc>
        <w:tc>
          <w:tcPr>
            <w:tcW w:w="784" w:type="dxa"/>
            <w:shd w:val="clear" w:color="000000" w:fill="FFFFFF"/>
            <w:noWrap/>
            <w:vAlign w:val="center"/>
          </w:tcPr>
          <w:p w14:paraId="3CD9A231">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大龙潭</w:t>
            </w:r>
          </w:p>
          <w:p w14:paraId="6798EA6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引水</w:t>
            </w:r>
          </w:p>
        </w:tc>
        <w:tc>
          <w:tcPr>
            <w:tcW w:w="698" w:type="dxa"/>
            <w:shd w:val="clear" w:color="000000" w:fill="FFFFFF"/>
            <w:noWrap/>
            <w:vAlign w:val="center"/>
          </w:tcPr>
          <w:p w14:paraId="39B4FBB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滇中</w:t>
            </w:r>
          </w:p>
          <w:p w14:paraId="7717A52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调水</w:t>
            </w:r>
          </w:p>
        </w:tc>
        <w:tc>
          <w:tcPr>
            <w:tcW w:w="692" w:type="dxa"/>
            <w:vMerge w:val="continue"/>
            <w:shd w:val="clear" w:color="auto" w:fill="auto"/>
            <w:vAlign w:val="center"/>
          </w:tcPr>
          <w:p w14:paraId="748CBEC4">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784" w:type="dxa"/>
            <w:shd w:val="clear" w:color="000000" w:fill="FFFFFF"/>
            <w:noWrap/>
            <w:vAlign w:val="center"/>
          </w:tcPr>
          <w:p w14:paraId="27F0992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地表水</w:t>
            </w:r>
          </w:p>
        </w:tc>
        <w:tc>
          <w:tcPr>
            <w:tcW w:w="784" w:type="dxa"/>
            <w:shd w:val="clear" w:color="000000" w:fill="FFFFFF"/>
            <w:noWrap/>
            <w:vAlign w:val="center"/>
          </w:tcPr>
          <w:p w14:paraId="58C98FC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地下水</w:t>
            </w:r>
          </w:p>
        </w:tc>
        <w:tc>
          <w:tcPr>
            <w:tcW w:w="597" w:type="dxa"/>
            <w:shd w:val="clear" w:color="000000" w:fill="FFFFFF"/>
            <w:noWrap/>
            <w:vAlign w:val="center"/>
          </w:tcPr>
          <w:p w14:paraId="5D27598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湖泊</w:t>
            </w:r>
          </w:p>
        </w:tc>
        <w:tc>
          <w:tcPr>
            <w:tcW w:w="784" w:type="dxa"/>
            <w:shd w:val="clear" w:color="000000" w:fill="FFFFFF"/>
            <w:noWrap/>
            <w:vAlign w:val="center"/>
          </w:tcPr>
          <w:p w14:paraId="7B95D7F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大龙潭</w:t>
            </w:r>
          </w:p>
          <w:p w14:paraId="0DAE08A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引水</w:t>
            </w:r>
          </w:p>
        </w:tc>
        <w:tc>
          <w:tcPr>
            <w:tcW w:w="706" w:type="dxa"/>
            <w:shd w:val="clear" w:color="000000" w:fill="FFFFFF"/>
            <w:noWrap/>
            <w:vAlign w:val="center"/>
          </w:tcPr>
          <w:p w14:paraId="0BF2A17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滇中</w:t>
            </w:r>
          </w:p>
          <w:p w14:paraId="471FA126">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调水</w:t>
            </w:r>
          </w:p>
        </w:tc>
        <w:tc>
          <w:tcPr>
            <w:tcW w:w="597" w:type="dxa"/>
            <w:vMerge w:val="continue"/>
            <w:shd w:val="clear" w:color="auto" w:fill="auto"/>
            <w:vAlign w:val="center"/>
          </w:tcPr>
          <w:p w14:paraId="2D09C0C1">
            <w:pPr>
              <w:widowControl/>
              <w:spacing w:line="240" w:lineRule="auto"/>
              <w:ind w:firstLine="0" w:firstLineChars="0"/>
              <w:jc w:val="center"/>
              <w:rPr>
                <w:color w:val="000000" w:themeColor="text1"/>
                <w:kern w:val="0"/>
                <w:sz w:val="20"/>
                <w:szCs w:val="20"/>
                <w14:textFill>
                  <w14:solidFill>
                    <w14:schemeClr w14:val="tx1"/>
                  </w14:solidFill>
                </w14:textFill>
              </w:rPr>
            </w:pPr>
          </w:p>
        </w:tc>
        <w:tc>
          <w:tcPr>
            <w:tcW w:w="784" w:type="dxa"/>
            <w:shd w:val="clear" w:color="000000" w:fill="FFFFFF"/>
            <w:noWrap/>
            <w:vAlign w:val="center"/>
          </w:tcPr>
          <w:p w14:paraId="06B6E35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退减生</w:t>
            </w:r>
          </w:p>
          <w:p w14:paraId="0B96D6FC">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态流量</w:t>
            </w:r>
          </w:p>
        </w:tc>
        <w:tc>
          <w:tcPr>
            <w:tcW w:w="784" w:type="dxa"/>
            <w:shd w:val="clear" w:color="000000" w:fill="FFFFFF"/>
            <w:noWrap/>
            <w:vAlign w:val="center"/>
          </w:tcPr>
          <w:p w14:paraId="03380090">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地下水</w:t>
            </w:r>
          </w:p>
        </w:tc>
        <w:tc>
          <w:tcPr>
            <w:tcW w:w="597" w:type="dxa"/>
            <w:shd w:val="clear" w:color="000000" w:fill="FFFFFF"/>
            <w:noWrap/>
            <w:vAlign w:val="center"/>
          </w:tcPr>
          <w:p w14:paraId="283131A5">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湖泊</w:t>
            </w:r>
          </w:p>
        </w:tc>
        <w:tc>
          <w:tcPr>
            <w:tcW w:w="591" w:type="dxa"/>
            <w:shd w:val="clear" w:color="000000" w:fill="FFFFFF"/>
            <w:noWrap/>
            <w:vAlign w:val="center"/>
          </w:tcPr>
          <w:p w14:paraId="7E8F17AA">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其它</w:t>
            </w:r>
          </w:p>
        </w:tc>
      </w:tr>
      <w:tr w14:paraId="665B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9" w:hRule="atLeast"/>
          <w:tblHeader/>
        </w:trPr>
        <w:tc>
          <w:tcPr>
            <w:tcW w:w="1532" w:type="dxa"/>
            <w:shd w:val="clear" w:color="auto" w:fill="auto"/>
            <w:vAlign w:val="center"/>
          </w:tcPr>
          <w:p w14:paraId="67B9D0BB">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扒河上段</w:t>
            </w:r>
          </w:p>
        </w:tc>
        <w:tc>
          <w:tcPr>
            <w:tcW w:w="784" w:type="dxa"/>
            <w:shd w:val="clear" w:color="auto" w:fill="auto"/>
            <w:vAlign w:val="center"/>
          </w:tcPr>
          <w:p w14:paraId="444E8148">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基准年</w:t>
            </w:r>
          </w:p>
        </w:tc>
        <w:tc>
          <w:tcPr>
            <w:tcW w:w="692" w:type="dxa"/>
            <w:shd w:val="clear" w:color="000000" w:fill="FFFFFF"/>
            <w:noWrap/>
            <w:vAlign w:val="center"/>
          </w:tcPr>
          <w:p w14:paraId="5339E91B">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4663</w:t>
            </w:r>
          </w:p>
        </w:tc>
        <w:tc>
          <w:tcPr>
            <w:tcW w:w="784" w:type="dxa"/>
            <w:shd w:val="clear" w:color="000000" w:fill="FFFFFF"/>
            <w:noWrap/>
            <w:vAlign w:val="center"/>
          </w:tcPr>
          <w:p w14:paraId="699CF441">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4657</w:t>
            </w:r>
          </w:p>
        </w:tc>
        <w:tc>
          <w:tcPr>
            <w:tcW w:w="784" w:type="dxa"/>
            <w:shd w:val="clear" w:color="000000" w:fill="FFFFFF"/>
            <w:noWrap/>
            <w:vAlign w:val="center"/>
          </w:tcPr>
          <w:p w14:paraId="2EAA081A">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w:t>
            </w:r>
          </w:p>
        </w:tc>
        <w:tc>
          <w:tcPr>
            <w:tcW w:w="597" w:type="dxa"/>
            <w:shd w:val="clear" w:color="000000" w:fill="FFFFFF"/>
            <w:noWrap/>
            <w:vAlign w:val="center"/>
          </w:tcPr>
          <w:p w14:paraId="496ABFCC">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84" w:type="dxa"/>
            <w:shd w:val="clear" w:color="000000" w:fill="FFFFFF"/>
            <w:noWrap/>
            <w:vAlign w:val="center"/>
          </w:tcPr>
          <w:p w14:paraId="7F1F7B28">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98" w:type="dxa"/>
            <w:shd w:val="clear" w:color="000000" w:fill="FFFFFF"/>
            <w:noWrap/>
            <w:vAlign w:val="center"/>
          </w:tcPr>
          <w:p w14:paraId="2EAEED05">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92" w:type="dxa"/>
            <w:shd w:val="clear" w:color="000000" w:fill="FFFFFF"/>
            <w:noWrap/>
            <w:vAlign w:val="center"/>
          </w:tcPr>
          <w:p w14:paraId="28A7E4FD">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84" w:type="dxa"/>
            <w:shd w:val="clear" w:color="000000" w:fill="FFFFFF"/>
            <w:noWrap/>
            <w:vAlign w:val="center"/>
          </w:tcPr>
          <w:p w14:paraId="6FCF1F7A">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84" w:type="dxa"/>
            <w:shd w:val="clear" w:color="000000" w:fill="FFFFFF"/>
            <w:noWrap/>
            <w:vAlign w:val="center"/>
          </w:tcPr>
          <w:p w14:paraId="3017CB2D">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597" w:type="dxa"/>
            <w:shd w:val="clear" w:color="000000" w:fill="FFFFFF"/>
            <w:noWrap/>
            <w:vAlign w:val="center"/>
          </w:tcPr>
          <w:p w14:paraId="2941051D">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84" w:type="dxa"/>
            <w:shd w:val="clear" w:color="000000" w:fill="FFFFFF"/>
            <w:noWrap/>
            <w:vAlign w:val="center"/>
          </w:tcPr>
          <w:p w14:paraId="47556033">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06" w:type="dxa"/>
            <w:shd w:val="clear" w:color="000000" w:fill="FFFFFF"/>
            <w:noWrap/>
            <w:vAlign w:val="center"/>
          </w:tcPr>
          <w:p w14:paraId="541A2856">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597" w:type="dxa"/>
            <w:shd w:val="clear" w:color="000000" w:fill="FFFFFF"/>
            <w:noWrap/>
            <w:vAlign w:val="center"/>
          </w:tcPr>
          <w:p w14:paraId="79456FFF">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84" w:type="dxa"/>
            <w:shd w:val="clear" w:color="000000" w:fill="FFFFFF"/>
            <w:noWrap/>
            <w:vAlign w:val="center"/>
          </w:tcPr>
          <w:p w14:paraId="7CA78F5C">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84" w:type="dxa"/>
            <w:shd w:val="clear" w:color="000000" w:fill="FFFFFF"/>
            <w:noWrap/>
            <w:vAlign w:val="center"/>
          </w:tcPr>
          <w:p w14:paraId="5826417D">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597" w:type="dxa"/>
            <w:shd w:val="clear" w:color="000000" w:fill="FFFFFF"/>
            <w:noWrap/>
            <w:vAlign w:val="center"/>
          </w:tcPr>
          <w:p w14:paraId="56FDC798">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591" w:type="dxa"/>
            <w:shd w:val="clear" w:color="000000" w:fill="FFFFFF"/>
            <w:noWrap/>
            <w:vAlign w:val="center"/>
          </w:tcPr>
          <w:p w14:paraId="621072F9">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r>
      <w:tr w14:paraId="6588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9" w:hRule="atLeast"/>
          <w:tblHeader/>
        </w:trPr>
        <w:tc>
          <w:tcPr>
            <w:tcW w:w="1532" w:type="dxa"/>
            <w:shd w:val="clear" w:color="auto" w:fill="auto"/>
            <w:vAlign w:val="center"/>
          </w:tcPr>
          <w:p w14:paraId="121CFF47">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扒河上段</w:t>
            </w:r>
          </w:p>
        </w:tc>
        <w:tc>
          <w:tcPr>
            <w:tcW w:w="784" w:type="dxa"/>
            <w:shd w:val="clear" w:color="auto" w:fill="auto"/>
            <w:vAlign w:val="center"/>
          </w:tcPr>
          <w:p w14:paraId="3273E002">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2020</w:t>
            </w:r>
          </w:p>
        </w:tc>
        <w:tc>
          <w:tcPr>
            <w:tcW w:w="692" w:type="dxa"/>
            <w:shd w:val="clear" w:color="000000" w:fill="FFFFFF"/>
            <w:noWrap/>
            <w:vAlign w:val="center"/>
          </w:tcPr>
          <w:p w14:paraId="06161227">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6116</w:t>
            </w:r>
          </w:p>
        </w:tc>
        <w:tc>
          <w:tcPr>
            <w:tcW w:w="784" w:type="dxa"/>
            <w:shd w:val="clear" w:color="000000" w:fill="FFFFFF"/>
            <w:noWrap/>
            <w:vAlign w:val="center"/>
          </w:tcPr>
          <w:p w14:paraId="1CD2659A">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6086</w:t>
            </w:r>
          </w:p>
        </w:tc>
        <w:tc>
          <w:tcPr>
            <w:tcW w:w="784" w:type="dxa"/>
            <w:shd w:val="clear" w:color="000000" w:fill="FFFFFF"/>
            <w:noWrap/>
            <w:vAlign w:val="center"/>
          </w:tcPr>
          <w:p w14:paraId="09D85C7C">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30</w:t>
            </w:r>
          </w:p>
        </w:tc>
        <w:tc>
          <w:tcPr>
            <w:tcW w:w="597" w:type="dxa"/>
            <w:shd w:val="clear" w:color="000000" w:fill="FFFFFF"/>
            <w:noWrap/>
            <w:vAlign w:val="center"/>
          </w:tcPr>
          <w:p w14:paraId="3E903729">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84" w:type="dxa"/>
            <w:shd w:val="clear" w:color="000000" w:fill="FFFFFF"/>
            <w:noWrap/>
            <w:vAlign w:val="center"/>
          </w:tcPr>
          <w:p w14:paraId="7C5933CE">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98" w:type="dxa"/>
            <w:shd w:val="clear" w:color="000000" w:fill="FFFFFF"/>
            <w:noWrap/>
            <w:vAlign w:val="center"/>
          </w:tcPr>
          <w:p w14:paraId="0E00044C">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92" w:type="dxa"/>
            <w:shd w:val="clear" w:color="000000" w:fill="FFFFFF"/>
            <w:noWrap/>
            <w:vAlign w:val="center"/>
          </w:tcPr>
          <w:p w14:paraId="40F9BC54">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1459</w:t>
            </w:r>
          </w:p>
        </w:tc>
        <w:tc>
          <w:tcPr>
            <w:tcW w:w="784" w:type="dxa"/>
            <w:shd w:val="clear" w:color="000000" w:fill="FFFFFF"/>
            <w:noWrap/>
            <w:vAlign w:val="center"/>
          </w:tcPr>
          <w:p w14:paraId="50BF535C">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1436</w:t>
            </w:r>
          </w:p>
        </w:tc>
        <w:tc>
          <w:tcPr>
            <w:tcW w:w="784" w:type="dxa"/>
            <w:shd w:val="clear" w:color="000000" w:fill="FFFFFF"/>
            <w:noWrap/>
            <w:vAlign w:val="center"/>
          </w:tcPr>
          <w:p w14:paraId="7D52BF8A">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23</w:t>
            </w:r>
          </w:p>
        </w:tc>
        <w:tc>
          <w:tcPr>
            <w:tcW w:w="597" w:type="dxa"/>
            <w:shd w:val="clear" w:color="000000" w:fill="FFFFFF"/>
            <w:noWrap/>
            <w:vAlign w:val="center"/>
          </w:tcPr>
          <w:p w14:paraId="2EB815B0">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84" w:type="dxa"/>
            <w:shd w:val="clear" w:color="000000" w:fill="FFFFFF"/>
            <w:noWrap/>
            <w:vAlign w:val="center"/>
          </w:tcPr>
          <w:p w14:paraId="2F9CC0FB">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06" w:type="dxa"/>
            <w:shd w:val="clear" w:color="000000" w:fill="FFFFFF"/>
            <w:noWrap/>
            <w:vAlign w:val="center"/>
          </w:tcPr>
          <w:p w14:paraId="4690B24A">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597" w:type="dxa"/>
            <w:shd w:val="clear" w:color="000000" w:fill="FFFFFF"/>
            <w:noWrap/>
            <w:vAlign w:val="center"/>
          </w:tcPr>
          <w:p w14:paraId="08806A5B">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w:t>
            </w:r>
          </w:p>
        </w:tc>
        <w:tc>
          <w:tcPr>
            <w:tcW w:w="784" w:type="dxa"/>
            <w:shd w:val="clear" w:color="000000" w:fill="FFFFFF"/>
            <w:noWrap/>
            <w:vAlign w:val="center"/>
          </w:tcPr>
          <w:p w14:paraId="0C59A24B">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84" w:type="dxa"/>
            <w:shd w:val="clear" w:color="000000" w:fill="FFFFFF"/>
            <w:noWrap/>
            <w:vAlign w:val="center"/>
          </w:tcPr>
          <w:p w14:paraId="50C07609">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597" w:type="dxa"/>
            <w:shd w:val="clear" w:color="000000" w:fill="FFFFFF"/>
            <w:noWrap/>
            <w:vAlign w:val="center"/>
          </w:tcPr>
          <w:p w14:paraId="471D46F6">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591" w:type="dxa"/>
            <w:shd w:val="clear" w:color="000000" w:fill="FFFFFF"/>
            <w:noWrap/>
            <w:vAlign w:val="center"/>
          </w:tcPr>
          <w:p w14:paraId="26E783E9">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w:t>
            </w:r>
          </w:p>
        </w:tc>
      </w:tr>
      <w:tr w14:paraId="7D62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9" w:hRule="atLeast"/>
          <w:tblHeader/>
        </w:trPr>
        <w:tc>
          <w:tcPr>
            <w:tcW w:w="1532" w:type="dxa"/>
            <w:shd w:val="clear" w:color="auto" w:fill="auto"/>
            <w:vAlign w:val="center"/>
          </w:tcPr>
          <w:p w14:paraId="1F53A06E">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扒河上段</w:t>
            </w:r>
          </w:p>
        </w:tc>
        <w:tc>
          <w:tcPr>
            <w:tcW w:w="784" w:type="dxa"/>
            <w:shd w:val="clear" w:color="auto" w:fill="auto"/>
            <w:vAlign w:val="center"/>
          </w:tcPr>
          <w:p w14:paraId="6BD65B33">
            <w:pPr>
              <w:widowControl/>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2030</w:t>
            </w:r>
          </w:p>
        </w:tc>
        <w:tc>
          <w:tcPr>
            <w:tcW w:w="692" w:type="dxa"/>
            <w:shd w:val="clear" w:color="000000" w:fill="FFFFFF"/>
            <w:noWrap/>
            <w:vAlign w:val="center"/>
          </w:tcPr>
          <w:p w14:paraId="770BCE5E">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7089</w:t>
            </w:r>
          </w:p>
        </w:tc>
        <w:tc>
          <w:tcPr>
            <w:tcW w:w="784" w:type="dxa"/>
            <w:shd w:val="clear" w:color="000000" w:fill="FFFFFF"/>
            <w:noWrap/>
            <w:vAlign w:val="center"/>
          </w:tcPr>
          <w:p w14:paraId="4FD907B8">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4021</w:t>
            </w:r>
          </w:p>
        </w:tc>
        <w:tc>
          <w:tcPr>
            <w:tcW w:w="784" w:type="dxa"/>
            <w:shd w:val="clear" w:color="000000" w:fill="FFFFFF"/>
            <w:noWrap/>
            <w:vAlign w:val="center"/>
          </w:tcPr>
          <w:p w14:paraId="1923B352">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597" w:type="dxa"/>
            <w:shd w:val="clear" w:color="000000" w:fill="FFFFFF"/>
            <w:noWrap/>
            <w:vAlign w:val="center"/>
          </w:tcPr>
          <w:p w14:paraId="4A951F91">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84" w:type="dxa"/>
            <w:shd w:val="clear" w:color="000000" w:fill="FFFFFF"/>
            <w:noWrap/>
            <w:vAlign w:val="center"/>
          </w:tcPr>
          <w:p w14:paraId="12DBAC83">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698" w:type="dxa"/>
            <w:shd w:val="clear" w:color="000000" w:fill="FFFFFF"/>
            <w:noWrap/>
            <w:vAlign w:val="center"/>
          </w:tcPr>
          <w:p w14:paraId="756F4282">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3068</w:t>
            </w:r>
          </w:p>
        </w:tc>
        <w:tc>
          <w:tcPr>
            <w:tcW w:w="692" w:type="dxa"/>
            <w:shd w:val="clear" w:color="000000" w:fill="FFFFFF"/>
            <w:noWrap/>
            <w:vAlign w:val="center"/>
          </w:tcPr>
          <w:p w14:paraId="27AECB27">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3088</w:t>
            </w:r>
          </w:p>
        </w:tc>
        <w:tc>
          <w:tcPr>
            <w:tcW w:w="784" w:type="dxa"/>
            <w:shd w:val="clear" w:color="000000" w:fill="FFFFFF"/>
            <w:noWrap/>
            <w:vAlign w:val="center"/>
          </w:tcPr>
          <w:p w14:paraId="17BB7988">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20</w:t>
            </w:r>
          </w:p>
        </w:tc>
        <w:tc>
          <w:tcPr>
            <w:tcW w:w="784" w:type="dxa"/>
            <w:shd w:val="clear" w:color="000000" w:fill="FFFFFF"/>
            <w:noWrap/>
            <w:vAlign w:val="center"/>
          </w:tcPr>
          <w:p w14:paraId="3D5DAC7D">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597" w:type="dxa"/>
            <w:shd w:val="clear" w:color="000000" w:fill="FFFFFF"/>
            <w:noWrap/>
            <w:vAlign w:val="center"/>
          </w:tcPr>
          <w:p w14:paraId="0AA7B225">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84" w:type="dxa"/>
            <w:shd w:val="clear" w:color="000000" w:fill="FFFFFF"/>
            <w:noWrap/>
            <w:vAlign w:val="center"/>
          </w:tcPr>
          <w:p w14:paraId="0B5FBC6F">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706" w:type="dxa"/>
            <w:shd w:val="clear" w:color="000000" w:fill="FFFFFF"/>
            <w:noWrap/>
            <w:vAlign w:val="center"/>
          </w:tcPr>
          <w:p w14:paraId="4BF677CE">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3068</w:t>
            </w:r>
          </w:p>
        </w:tc>
        <w:tc>
          <w:tcPr>
            <w:tcW w:w="597" w:type="dxa"/>
            <w:shd w:val="clear" w:color="000000" w:fill="FFFFFF"/>
            <w:noWrap/>
            <w:vAlign w:val="center"/>
          </w:tcPr>
          <w:p w14:paraId="1C2AA21B">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2115</w:t>
            </w:r>
          </w:p>
        </w:tc>
        <w:tc>
          <w:tcPr>
            <w:tcW w:w="784" w:type="dxa"/>
            <w:shd w:val="clear" w:color="000000" w:fill="FFFFFF"/>
            <w:noWrap/>
            <w:vAlign w:val="center"/>
          </w:tcPr>
          <w:p w14:paraId="2098C726">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1741</w:t>
            </w:r>
          </w:p>
        </w:tc>
        <w:tc>
          <w:tcPr>
            <w:tcW w:w="784" w:type="dxa"/>
            <w:shd w:val="clear" w:color="000000" w:fill="FFFFFF"/>
            <w:noWrap/>
            <w:vAlign w:val="center"/>
          </w:tcPr>
          <w:p w14:paraId="039026DD">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30</w:t>
            </w:r>
          </w:p>
        </w:tc>
        <w:tc>
          <w:tcPr>
            <w:tcW w:w="597" w:type="dxa"/>
            <w:shd w:val="clear" w:color="000000" w:fill="FFFFFF"/>
            <w:noWrap/>
            <w:vAlign w:val="center"/>
          </w:tcPr>
          <w:p w14:paraId="015FFBDF">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591" w:type="dxa"/>
            <w:shd w:val="clear" w:color="000000" w:fill="FFFFFF"/>
            <w:noWrap/>
            <w:vAlign w:val="center"/>
          </w:tcPr>
          <w:p w14:paraId="501E5307">
            <w:pPr>
              <w:spacing w:line="240" w:lineRule="auto"/>
              <w:ind w:firstLine="0" w:firstLineChars="0"/>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344</w:t>
            </w:r>
          </w:p>
        </w:tc>
      </w:tr>
    </w:tbl>
    <w:p w14:paraId="6FDBB566">
      <w:pPr>
        <w:pStyle w:val="7"/>
        <w:ind w:firstLine="640"/>
        <w:rPr>
          <w:rFonts w:ascii="Times New Roman"/>
          <w:color w:val="000000" w:themeColor="text1"/>
          <w14:textFill>
            <w14:solidFill>
              <w14:schemeClr w14:val="tx1"/>
            </w14:solidFill>
          </w14:textFill>
        </w:rPr>
        <w:sectPr>
          <w:pgSz w:w="16838" w:h="11906" w:orient="landscape"/>
          <w:pgMar w:top="1871" w:right="1304" w:bottom="1418" w:left="1304" w:header="851" w:footer="850" w:gutter="0"/>
          <w:pgNumType w:fmt="numberInDash"/>
          <w:cols w:space="425" w:num="1"/>
          <w:docGrid w:linePitch="435" w:charSpace="0"/>
        </w:sectPr>
      </w:pPr>
    </w:p>
    <w:p w14:paraId="1C683B1C">
      <w:pPr>
        <w:pStyle w:val="45"/>
        <w:rPr>
          <w:color w:val="000000" w:themeColor="text1"/>
          <w14:textFill>
            <w14:solidFill>
              <w14:schemeClr w14:val="tx1"/>
            </w14:solidFill>
          </w14:textFill>
        </w:rPr>
      </w:pPr>
      <w:r>
        <w:rPr>
          <w:color w:val="000000" w:themeColor="text1"/>
          <w14:textFill>
            <w14:solidFill>
              <w14:schemeClr w14:val="tx1"/>
            </w14:solidFill>
          </w14:textFill>
        </w:rPr>
        <w:t>水利改革发展现状</w:t>
      </w:r>
      <w:bookmarkEnd w:id="23"/>
      <w:bookmarkEnd w:id="24"/>
      <w:bookmarkEnd w:id="25"/>
    </w:p>
    <w:p w14:paraId="2701E969">
      <w:pPr>
        <w:ind w:firstLine="640"/>
        <w:rPr>
          <w:color w:val="000000" w:themeColor="text1"/>
          <w14:textFill>
            <w14:solidFill>
              <w14:schemeClr w14:val="tx1"/>
            </w14:solidFill>
          </w14:textFill>
        </w:rPr>
      </w:pPr>
      <w:r>
        <w:rPr>
          <w:color w:val="000000" w:themeColor="text1"/>
          <w14:textFill>
            <w14:solidFill>
              <w14:schemeClr w14:val="tx1"/>
            </w14:solidFill>
          </w14:textFill>
        </w:rPr>
        <w:t>2020年是全面完成“十三五”水利发展规划的收官之年，是全面深化水利改革的关键之年。根据县委、县政府及市水利局的统一安排和部署，易门县水利局主动适应新常态，积极抢抓新机遇，全力推动易门县水利改革发展工作。</w:t>
      </w:r>
    </w:p>
    <w:p w14:paraId="38B0BE76">
      <w:pPr>
        <w:pStyle w:val="47"/>
        <w:rPr>
          <w:color w:val="000000" w:themeColor="text1"/>
          <w14:textFill>
            <w14:solidFill>
              <w14:schemeClr w14:val="tx1"/>
            </w14:solidFill>
          </w14:textFill>
        </w:rPr>
      </w:pPr>
      <w:r>
        <w:rPr>
          <w:color w:val="000000" w:themeColor="text1"/>
          <w14:textFill>
            <w14:solidFill>
              <w14:schemeClr w14:val="tx1"/>
            </w14:solidFill>
          </w14:textFill>
        </w:rPr>
        <w:t>主要指标完成情况</w:t>
      </w:r>
    </w:p>
    <w:p w14:paraId="4083C070">
      <w:pPr>
        <w:ind w:firstLine="640"/>
        <w:rPr>
          <w:color w:val="000000" w:themeColor="text1"/>
          <w14:textFill>
            <w14:solidFill>
              <w14:schemeClr w14:val="tx1"/>
            </w14:solidFill>
          </w14:textFill>
        </w:rPr>
      </w:pPr>
      <w:r>
        <w:rPr>
          <w:color w:val="000000" w:themeColor="text1"/>
          <w14:textFill>
            <w14:solidFill>
              <w14:schemeClr w14:val="tx1"/>
            </w14:solidFill>
          </w14:textFill>
        </w:rPr>
        <w:t>水耗（用水总量控制）:《易门县国民经济和社会发展第十三个五年规划纲要》生态指标中，水耗完成市下达目标任务。</w:t>
      </w:r>
    </w:p>
    <w:p w14:paraId="11649DD2">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易门县在水利发展“十三五”期间实测用水总量为：2016年0.726亿m³、2017年0.7655亿m³、2018年0.7677亿m³、2019年0.7405亿m³、2020年0.42亿m³（</w:t>
      </w:r>
      <w:r>
        <w:rPr>
          <w:rFonts w:hint="eastAsia"/>
          <w:color w:val="000000" w:themeColor="text1"/>
          <w:lang w:eastAsia="zh-CN"/>
          <w14:textFill>
            <w14:solidFill>
              <w14:schemeClr w14:val="tx1"/>
            </w14:solidFill>
          </w14:textFill>
        </w:rPr>
        <w:t>截至</w:t>
      </w:r>
      <w:r>
        <w:rPr>
          <w:color w:val="000000" w:themeColor="text1"/>
          <w14:textFill>
            <w14:solidFill>
              <w14:schemeClr w14:val="tx1"/>
            </w14:solidFill>
          </w14:textFill>
        </w:rPr>
        <w:t>2020年6月数据）。</w:t>
      </w:r>
    </w:p>
    <w:p w14:paraId="7D8DEBC1">
      <w:pPr>
        <w:ind w:firstLine="640"/>
        <w:rPr>
          <w:color w:val="000000" w:themeColor="text1"/>
          <w14:textFill>
            <w14:solidFill>
              <w14:schemeClr w14:val="tx1"/>
            </w14:solidFill>
          </w14:textFill>
        </w:rPr>
      </w:pPr>
      <w:r>
        <w:rPr>
          <w:color w:val="000000" w:themeColor="text1"/>
          <w14:textFill>
            <w14:solidFill>
              <w14:schemeClr w14:val="tx1"/>
            </w14:solidFill>
          </w14:textFill>
        </w:rPr>
        <w:t>2020年全年预测实际用水总量控制为0.75亿m³，控制在市级下达的用水总量控制指标0.82亿m³以内。</w:t>
      </w:r>
    </w:p>
    <w:p w14:paraId="22CAC9DC">
      <w:pPr>
        <w:ind w:firstLine="640"/>
        <w:rPr>
          <w:color w:val="000000" w:themeColor="text1"/>
          <w14:textFill>
            <w14:solidFill>
              <w14:schemeClr w14:val="tx1"/>
            </w14:solidFill>
          </w14:textFill>
        </w:rPr>
      </w:pPr>
      <w:r>
        <w:rPr>
          <w:color w:val="000000" w:themeColor="text1"/>
          <w14:textFill>
            <w14:solidFill>
              <w14:schemeClr w14:val="tx1"/>
            </w14:solidFill>
          </w14:textFill>
        </w:rPr>
        <w:t>2．其它规划指标完成情况详见表1.1。</w:t>
      </w:r>
    </w:p>
    <w:p w14:paraId="60018B07">
      <w:pPr>
        <w:widowControl/>
        <w:adjustRightInd/>
        <w:snapToGrid/>
        <w:spacing w:line="240" w:lineRule="auto"/>
        <w:ind w:firstLine="0" w:firstLineChars="0"/>
        <w:jc w:val="left"/>
        <w:rPr>
          <w:rFonts w:eastAsia="宋体"/>
          <w:b/>
          <w:color w:val="000000" w:themeColor="text1"/>
          <w:sz w:val="30"/>
          <w14:textFill>
            <w14:solidFill>
              <w14:schemeClr w14:val="tx1"/>
            </w14:solidFill>
          </w14:textFill>
        </w:rPr>
      </w:pPr>
      <w:r>
        <w:rPr>
          <w:color w:val="000000" w:themeColor="text1"/>
          <w14:textFill>
            <w14:solidFill>
              <w14:schemeClr w14:val="tx1"/>
            </w14:solidFill>
          </w14:textFill>
        </w:rPr>
        <w:br w:type="page"/>
      </w:r>
    </w:p>
    <w:p w14:paraId="7EE3940D">
      <w:pPr>
        <w:pStyle w:val="51"/>
        <w:rPr>
          <w:color w:val="000000" w:themeColor="text1"/>
          <w14:textFill>
            <w14:solidFill>
              <w14:schemeClr w14:val="tx1"/>
            </w14:solidFill>
          </w14:textFill>
        </w:rPr>
      </w:pPr>
      <w:r>
        <w:rPr>
          <w:color w:val="000000" w:themeColor="text1"/>
          <w14:textFill>
            <w14:solidFill>
              <w14:schemeClr w14:val="tx1"/>
            </w14:solidFill>
          </w14:textFill>
        </w:rPr>
        <w:t>表1.2-1易门县水利发展“十三五”规划目标指标完成情况</w:t>
      </w:r>
    </w:p>
    <w:tbl>
      <w:tblPr>
        <w:tblStyle w:val="24"/>
        <w:tblpPr w:leftFromText="181" w:rightFromText="181" w:bottomFromText="284" w:vertAnchor="text" w:tblpY="1"/>
        <w:tblOverlap w:val="never"/>
        <w:tblW w:w="9328" w:type="dxa"/>
        <w:tblInd w:w="0" w:type="dxa"/>
        <w:tblLayout w:type="fixed"/>
        <w:tblCellMar>
          <w:top w:w="0" w:type="dxa"/>
          <w:left w:w="0" w:type="dxa"/>
          <w:bottom w:w="0" w:type="dxa"/>
          <w:right w:w="0" w:type="dxa"/>
        </w:tblCellMar>
      </w:tblPr>
      <w:tblGrid>
        <w:gridCol w:w="671"/>
        <w:gridCol w:w="4140"/>
        <w:gridCol w:w="1135"/>
        <w:gridCol w:w="1323"/>
        <w:gridCol w:w="924"/>
        <w:gridCol w:w="1135"/>
      </w:tblGrid>
      <w:tr w14:paraId="29C05C40">
        <w:tblPrEx>
          <w:tblCellMar>
            <w:top w:w="0" w:type="dxa"/>
            <w:left w:w="0" w:type="dxa"/>
            <w:bottom w:w="0" w:type="dxa"/>
            <w:right w:w="0" w:type="dxa"/>
          </w:tblCellMar>
        </w:tblPrEx>
        <w:trPr>
          <w:trHeight w:val="454"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67D83B">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序号</w:t>
            </w:r>
          </w:p>
        </w:tc>
        <w:tc>
          <w:tcPr>
            <w:tcW w:w="4140"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7E1C8FD">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指标名称</w:t>
            </w:r>
          </w:p>
        </w:tc>
        <w:tc>
          <w:tcPr>
            <w:tcW w:w="1135"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9F8A477">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指标属性</w:t>
            </w:r>
          </w:p>
        </w:tc>
        <w:tc>
          <w:tcPr>
            <w:tcW w:w="1323"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A8A10DC">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“十三五”规划目标</w:t>
            </w:r>
          </w:p>
        </w:tc>
        <w:tc>
          <w:tcPr>
            <w:tcW w:w="924"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2D8C09">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2020年</w:t>
            </w:r>
            <w:r>
              <w:rPr>
                <w:rFonts w:eastAsia="等线" w:cs="宋体"/>
                <w:color w:val="000000" w:themeColor="text1"/>
                <w:kern w:val="0"/>
                <w:sz w:val="22"/>
                <w:szCs w:val="22"/>
                <w14:textFill>
                  <w14:solidFill>
                    <w14:schemeClr w14:val="tx1"/>
                  </w14:solidFill>
                </w14:textFill>
              </w:rPr>
              <w:br w:type="textWrapping"/>
            </w:r>
            <w:r>
              <w:rPr>
                <w:rFonts w:eastAsia="等线" w:cs="宋体"/>
                <w:color w:val="000000" w:themeColor="text1"/>
                <w:kern w:val="0"/>
                <w:sz w:val="22"/>
                <w:szCs w:val="22"/>
                <w14:textFill>
                  <w14:solidFill>
                    <w14:schemeClr w14:val="tx1"/>
                  </w14:solidFill>
                </w14:textFill>
              </w:rPr>
              <w:t>完成值</w:t>
            </w:r>
          </w:p>
        </w:tc>
        <w:tc>
          <w:tcPr>
            <w:tcW w:w="1135"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1D872E6">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完成情况</w:t>
            </w:r>
          </w:p>
        </w:tc>
      </w:tr>
      <w:tr w14:paraId="103E43D1">
        <w:tblPrEx>
          <w:tblCellMar>
            <w:top w:w="0" w:type="dxa"/>
            <w:left w:w="0" w:type="dxa"/>
            <w:bottom w:w="0" w:type="dxa"/>
            <w:right w:w="0" w:type="dxa"/>
          </w:tblCellMar>
        </w:tblPrEx>
        <w:trPr>
          <w:trHeight w:val="454" w:hRule="atLeast"/>
        </w:trPr>
        <w:tc>
          <w:tcPr>
            <w:tcW w:w="67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572814">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1</w:t>
            </w:r>
          </w:p>
        </w:tc>
        <w:tc>
          <w:tcPr>
            <w:tcW w:w="4140"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33A20DC">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江河堤防达标率</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FE172FF">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预期性</w:t>
            </w:r>
          </w:p>
        </w:tc>
        <w:tc>
          <w:tcPr>
            <w:tcW w:w="132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7685616">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60</w:t>
            </w:r>
          </w:p>
        </w:tc>
        <w:tc>
          <w:tcPr>
            <w:tcW w:w="92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CFC53E4">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60</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AA6C44F">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完成</w:t>
            </w:r>
          </w:p>
        </w:tc>
      </w:tr>
      <w:tr w14:paraId="7637786B">
        <w:tblPrEx>
          <w:tblCellMar>
            <w:top w:w="0" w:type="dxa"/>
            <w:left w:w="0" w:type="dxa"/>
            <w:bottom w:w="0" w:type="dxa"/>
            <w:right w:w="0" w:type="dxa"/>
          </w:tblCellMar>
        </w:tblPrEx>
        <w:trPr>
          <w:trHeight w:val="454" w:hRule="atLeast"/>
        </w:trPr>
        <w:tc>
          <w:tcPr>
            <w:tcW w:w="67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26E772">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2</w:t>
            </w:r>
          </w:p>
        </w:tc>
        <w:tc>
          <w:tcPr>
            <w:tcW w:w="4140"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51D600F">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重点水功境区水质达标率（%）</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9F83909">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约束性</w:t>
            </w:r>
          </w:p>
        </w:tc>
        <w:tc>
          <w:tcPr>
            <w:tcW w:w="1323"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3D1CD1BE">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87</w:t>
            </w:r>
          </w:p>
        </w:tc>
        <w:tc>
          <w:tcPr>
            <w:tcW w:w="92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A7ED774">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100</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90183BC">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完成</w:t>
            </w:r>
          </w:p>
        </w:tc>
      </w:tr>
      <w:tr w14:paraId="2EC9A634">
        <w:tblPrEx>
          <w:tblCellMar>
            <w:top w:w="0" w:type="dxa"/>
            <w:left w:w="0" w:type="dxa"/>
            <w:bottom w:w="0" w:type="dxa"/>
            <w:right w:w="0" w:type="dxa"/>
          </w:tblCellMar>
        </w:tblPrEx>
        <w:trPr>
          <w:trHeight w:val="454" w:hRule="atLeast"/>
        </w:trPr>
        <w:tc>
          <w:tcPr>
            <w:tcW w:w="67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77CD59">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3</w:t>
            </w:r>
          </w:p>
        </w:tc>
        <w:tc>
          <w:tcPr>
            <w:tcW w:w="4140"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2FC9B31">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新增水土流失治理面积（万k㎡）</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45CD418">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预期性</w:t>
            </w:r>
          </w:p>
        </w:tc>
        <w:tc>
          <w:tcPr>
            <w:tcW w:w="132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89B5DA">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0.3</w:t>
            </w:r>
          </w:p>
        </w:tc>
        <w:tc>
          <w:tcPr>
            <w:tcW w:w="92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06D148B">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0.27</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2E4683">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未完成</w:t>
            </w:r>
          </w:p>
        </w:tc>
      </w:tr>
      <w:tr w14:paraId="3288C62E">
        <w:tblPrEx>
          <w:tblCellMar>
            <w:top w:w="0" w:type="dxa"/>
            <w:left w:w="0" w:type="dxa"/>
            <w:bottom w:w="0" w:type="dxa"/>
            <w:right w:w="0" w:type="dxa"/>
          </w:tblCellMar>
        </w:tblPrEx>
        <w:trPr>
          <w:trHeight w:val="454" w:hRule="atLeast"/>
        </w:trPr>
        <w:tc>
          <w:tcPr>
            <w:tcW w:w="67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2AF6B8">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4</w:t>
            </w:r>
          </w:p>
        </w:tc>
        <w:tc>
          <w:tcPr>
            <w:tcW w:w="4140"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9E76639">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用水总量（亿m³）</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FF4D76F">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约束性</w:t>
            </w:r>
          </w:p>
        </w:tc>
        <w:tc>
          <w:tcPr>
            <w:tcW w:w="1323"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2CD16770">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0.82</w:t>
            </w:r>
          </w:p>
        </w:tc>
        <w:tc>
          <w:tcPr>
            <w:tcW w:w="924"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382CF77C">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0.75</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608C0A">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完成</w:t>
            </w:r>
          </w:p>
        </w:tc>
      </w:tr>
      <w:tr w14:paraId="70196138">
        <w:tblPrEx>
          <w:tblCellMar>
            <w:top w:w="0" w:type="dxa"/>
            <w:left w:w="0" w:type="dxa"/>
            <w:bottom w:w="0" w:type="dxa"/>
            <w:right w:w="0" w:type="dxa"/>
          </w:tblCellMar>
        </w:tblPrEx>
        <w:trPr>
          <w:trHeight w:val="454" w:hRule="atLeast"/>
        </w:trPr>
        <w:tc>
          <w:tcPr>
            <w:tcW w:w="67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73BF90">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5</w:t>
            </w:r>
          </w:p>
        </w:tc>
        <w:tc>
          <w:tcPr>
            <w:tcW w:w="4140"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022A819">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万元工业增加值用水量下降（%）</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AF169A">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约束性</w:t>
            </w:r>
          </w:p>
        </w:tc>
        <w:tc>
          <w:tcPr>
            <w:tcW w:w="132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B11E214">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28</w:t>
            </w:r>
          </w:p>
        </w:tc>
        <w:tc>
          <w:tcPr>
            <w:tcW w:w="92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6DB9277">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79.3</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B23B1ED">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完成</w:t>
            </w:r>
          </w:p>
        </w:tc>
      </w:tr>
      <w:tr w14:paraId="6D431757">
        <w:tblPrEx>
          <w:tblCellMar>
            <w:top w:w="0" w:type="dxa"/>
            <w:left w:w="0" w:type="dxa"/>
            <w:bottom w:w="0" w:type="dxa"/>
            <w:right w:w="0" w:type="dxa"/>
          </w:tblCellMar>
        </w:tblPrEx>
        <w:trPr>
          <w:trHeight w:val="454" w:hRule="atLeast"/>
        </w:trPr>
        <w:tc>
          <w:tcPr>
            <w:tcW w:w="67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64D18B8">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6</w:t>
            </w:r>
          </w:p>
        </w:tc>
        <w:tc>
          <w:tcPr>
            <w:tcW w:w="4140"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7735EA4">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万元国内生产总值用水量下降（%）</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D03F912">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约束性</w:t>
            </w:r>
          </w:p>
        </w:tc>
        <w:tc>
          <w:tcPr>
            <w:tcW w:w="132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1D589A">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28</w:t>
            </w:r>
          </w:p>
        </w:tc>
        <w:tc>
          <w:tcPr>
            <w:tcW w:w="924"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3BA8931A">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 xml:space="preserve">38 </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44C40D5">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完成</w:t>
            </w:r>
          </w:p>
        </w:tc>
      </w:tr>
      <w:tr w14:paraId="7D337C35">
        <w:tblPrEx>
          <w:tblCellMar>
            <w:top w:w="0" w:type="dxa"/>
            <w:left w:w="0" w:type="dxa"/>
            <w:bottom w:w="0" w:type="dxa"/>
            <w:right w:w="0" w:type="dxa"/>
          </w:tblCellMar>
        </w:tblPrEx>
        <w:trPr>
          <w:trHeight w:val="454" w:hRule="atLeast"/>
        </w:trPr>
        <w:tc>
          <w:tcPr>
            <w:tcW w:w="67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2EF29C">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7</w:t>
            </w:r>
          </w:p>
        </w:tc>
        <w:tc>
          <w:tcPr>
            <w:tcW w:w="4140"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28E909">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新增蓄水能力（亿m³）</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F681BE">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预期性</w:t>
            </w:r>
          </w:p>
        </w:tc>
        <w:tc>
          <w:tcPr>
            <w:tcW w:w="132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761050A">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0.1</w:t>
            </w:r>
          </w:p>
        </w:tc>
        <w:tc>
          <w:tcPr>
            <w:tcW w:w="92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37B5741">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0.13</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A8239E">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完成</w:t>
            </w:r>
          </w:p>
        </w:tc>
      </w:tr>
      <w:tr w14:paraId="38B9541C">
        <w:tblPrEx>
          <w:tblCellMar>
            <w:top w:w="0" w:type="dxa"/>
            <w:left w:w="0" w:type="dxa"/>
            <w:bottom w:w="0" w:type="dxa"/>
            <w:right w:w="0" w:type="dxa"/>
          </w:tblCellMar>
        </w:tblPrEx>
        <w:trPr>
          <w:trHeight w:val="454" w:hRule="atLeast"/>
        </w:trPr>
        <w:tc>
          <w:tcPr>
            <w:tcW w:w="67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F63DF1">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8</w:t>
            </w:r>
          </w:p>
        </w:tc>
        <w:tc>
          <w:tcPr>
            <w:tcW w:w="4140"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1F0D654">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新增供水能力（亿m³）</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F86A47">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预期性</w:t>
            </w:r>
          </w:p>
        </w:tc>
        <w:tc>
          <w:tcPr>
            <w:tcW w:w="132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B9FFBF">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0.3</w:t>
            </w:r>
          </w:p>
        </w:tc>
        <w:tc>
          <w:tcPr>
            <w:tcW w:w="92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61E4CBC">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0.35</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48F8FFB">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完成</w:t>
            </w:r>
          </w:p>
        </w:tc>
      </w:tr>
      <w:tr w14:paraId="78C9C1DE">
        <w:tblPrEx>
          <w:tblCellMar>
            <w:top w:w="0" w:type="dxa"/>
            <w:left w:w="0" w:type="dxa"/>
            <w:bottom w:w="0" w:type="dxa"/>
            <w:right w:w="0" w:type="dxa"/>
          </w:tblCellMar>
        </w:tblPrEx>
        <w:trPr>
          <w:trHeight w:val="454" w:hRule="atLeast"/>
        </w:trPr>
        <w:tc>
          <w:tcPr>
            <w:tcW w:w="67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381A0A">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9</w:t>
            </w:r>
          </w:p>
        </w:tc>
        <w:tc>
          <w:tcPr>
            <w:tcW w:w="4140"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03EFD90">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农田灌溉水有效利用系数</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4CCC62A">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预期性</w:t>
            </w:r>
          </w:p>
        </w:tc>
        <w:tc>
          <w:tcPr>
            <w:tcW w:w="1323"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7EC9929D">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0.508</w:t>
            </w:r>
          </w:p>
        </w:tc>
        <w:tc>
          <w:tcPr>
            <w:tcW w:w="924"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46AF4712">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0.518</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5859E8">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完成</w:t>
            </w:r>
          </w:p>
        </w:tc>
      </w:tr>
      <w:tr w14:paraId="1CC2DA42">
        <w:tblPrEx>
          <w:tblCellMar>
            <w:top w:w="0" w:type="dxa"/>
            <w:left w:w="0" w:type="dxa"/>
            <w:bottom w:w="0" w:type="dxa"/>
            <w:right w:w="0" w:type="dxa"/>
          </w:tblCellMar>
        </w:tblPrEx>
        <w:trPr>
          <w:trHeight w:val="454" w:hRule="atLeast"/>
        </w:trPr>
        <w:tc>
          <w:tcPr>
            <w:tcW w:w="67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44D1766">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10</w:t>
            </w:r>
          </w:p>
        </w:tc>
        <w:tc>
          <w:tcPr>
            <w:tcW w:w="4140"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F5A496">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农村自来水普及率(%)</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849DEEE">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预期性</w:t>
            </w:r>
          </w:p>
        </w:tc>
        <w:tc>
          <w:tcPr>
            <w:tcW w:w="1323"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16666484">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98</w:t>
            </w:r>
          </w:p>
        </w:tc>
        <w:tc>
          <w:tcPr>
            <w:tcW w:w="924" w:type="dxa"/>
            <w:tcBorders>
              <w:top w:val="nil"/>
              <w:left w:val="nil"/>
              <w:bottom w:val="single" w:color="000000" w:sz="4" w:space="0"/>
              <w:right w:val="single" w:color="000000" w:sz="4" w:space="0"/>
            </w:tcBorders>
            <w:shd w:val="clear" w:color="auto" w:fill="auto"/>
            <w:noWrap/>
            <w:tcMar>
              <w:top w:w="15" w:type="dxa"/>
              <w:left w:w="15" w:type="dxa"/>
              <w:bottom w:w="0" w:type="dxa"/>
              <w:right w:w="15" w:type="dxa"/>
            </w:tcMar>
            <w:vAlign w:val="center"/>
          </w:tcPr>
          <w:p w14:paraId="4245B1D5">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100</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13E1D1E">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完成</w:t>
            </w:r>
          </w:p>
        </w:tc>
      </w:tr>
      <w:tr w14:paraId="13545033">
        <w:tblPrEx>
          <w:tblCellMar>
            <w:top w:w="0" w:type="dxa"/>
            <w:left w:w="0" w:type="dxa"/>
            <w:bottom w:w="0" w:type="dxa"/>
            <w:right w:w="0" w:type="dxa"/>
          </w:tblCellMar>
        </w:tblPrEx>
        <w:trPr>
          <w:trHeight w:val="454" w:hRule="atLeast"/>
        </w:trPr>
        <w:tc>
          <w:tcPr>
            <w:tcW w:w="67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F81FA1E">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11</w:t>
            </w:r>
          </w:p>
        </w:tc>
        <w:tc>
          <w:tcPr>
            <w:tcW w:w="4140"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B6815B5">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新增有效灌溉面积（万亩）</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D07460B">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预期性</w:t>
            </w:r>
          </w:p>
        </w:tc>
        <w:tc>
          <w:tcPr>
            <w:tcW w:w="132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D885A2E">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1.5</w:t>
            </w:r>
          </w:p>
        </w:tc>
        <w:tc>
          <w:tcPr>
            <w:tcW w:w="92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5D8C59D">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1.36</w:t>
            </w:r>
          </w:p>
        </w:tc>
        <w:tc>
          <w:tcPr>
            <w:tcW w:w="113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811FBE1">
            <w:pPr>
              <w:widowControl/>
              <w:adjustRightInd/>
              <w:snapToGrid/>
              <w:spacing w:line="240" w:lineRule="auto"/>
              <w:ind w:firstLine="0" w:firstLineChars="0"/>
              <w:jc w:val="center"/>
              <w:rPr>
                <w:rFonts w:eastAsia="等线" w:cs="宋体"/>
                <w:color w:val="000000" w:themeColor="text1"/>
                <w:kern w:val="0"/>
                <w:sz w:val="22"/>
                <w:szCs w:val="22"/>
                <w14:textFill>
                  <w14:solidFill>
                    <w14:schemeClr w14:val="tx1"/>
                  </w14:solidFill>
                </w14:textFill>
              </w:rPr>
            </w:pPr>
            <w:r>
              <w:rPr>
                <w:rFonts w:eastAsia="等线" w:cs="宋体"/>
                <w:color w:val="000000" w:themeColor="text1"/>
                <w:kern w:val="0"/>
                <w:sz w:val="22"/>
                <w:szCs w:val="22"/>
                <w14:textFill>
                  <w14:solidFill>
                    <w14:schemeClr w14:val="tx1"/>
                  </w14:solidFill>
                </w14:textFill>
              </w:rPr>
              <w:t>未完成</w:t>
            </w:r>
          </w:p>
        </w:tc>
      </w:tr>
    </w:tbl>
    <w:p w14:paraId="6B2744B6">
      <w:pPr>
        <w:pStyle w:val="47"/>
        <w:rPr>
          <w:color w:val="000000" w:themeColor="text1"/>
          <w14:textFill>
            <w14:solidFill>
              <w14:schemeClr w14:val="tx1"/>
            </w14:solidFill>
          </w14:textFill>
        </w:rPr>
      </w:pPr>
      <w:r>
        <w:rPr>
          <w:color w:val="000000" w:themeColor="text1"/>
          <w14:textFill>
            <w14:solidFill>
              <w14:schemeClr w14:val="tx1"/>
            </w14:solidFill>
          </w14:textFill>
        </w:rPr>
        <w:t xml:space="preserve"> “十三五”规划重点任务完成情况</w:t>
      </w:r>
    </w:p>
    <w:p w14:paraId="41342A19">
      <w:pPr>
        <w:ind w:firstLine="640"/>
        <w:rPr>
          <w:color w:val="000000" w:themeColor="text1"/>
          <w14:textFill>
            <w14:solidFill>
              <w14:schemeClr w14:val="tx1"/>
            </w14:solidFill>
          </w14:textFill>
        </w:rPr>
      </w:pPr>
      <w:r>
        <w:rPr>
          <w:color w:val="000000" w:themeColor="text1"/>
          <w14:textFill>
            <w14:solidFill>
              <w14:schemeClr w14:val="tx1"/>
            </w14:solidFill>
          </w14:textFill>
        </w:rPr>
        <w:t>全县五年来累计完成水利建设投资82167.57万元，新增</w:t>
      </w:r>
      <w:r>
        <w:rPr>
          <w:rFonts w:hint="eastAsia"/>
          <w:color w:val="000000" w:themeColor="text1"/>
          <w:lang w:eastAsia="zh-CN"/>
          <w14:textFill>
            <w14:solidFill>
              <w14:schemeClr w14:val="tx1"/>
            </w14:solidFill>
          </w14:textFill>
        </w:rPr>
        <w:t>蓄水</w:t>
      </w:r>
      <w:r>
        <w:rPr>
          <w:color w:val="000000" w:themeColor="text1"/>
          <w14:textFill>
            <w14:solidFill>
              <w14:schemeClr w14:val="tx1"/>
            </w14:solidFill>
          </w14:textFill>
        </w:rPr>
        <w:t>能力1300万m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，新增供水能力3518万m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，改善灌溉面积1.06万亩，新增灌溉面积1.36万亩，解决4.37万人的农村人饮安全问题，治理水土流失面积97.52 k㎡，维修加固堤防7.56 km，疏浚河道10 km。目前，全县已建成中型水库2座、小（1）型水库10座、小（2）型水库62座、小塘坝133座、水池水窖6.3万个，引水工程617件，提水工程62件，年蓄水能力10545.92万m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，年可供水能力达1.2亿m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。为全县“三农”工作的持续发展提供了有力支撑。</w:t>
      </w:r>
    </w:p>
    <w:p w14:paraId="770D6340">
      <w:pPr>
        <w:ind w:firstLine="643"/>
        <w:rPr>
          <w:color w:val="000000" w:themeColor="text1"/>
          <w14:textFill>
            <w14:solidFill>
              <w14:schemeClr w14:val="tx1"/>
            </w14:solidFill>
          </w14:textFill>
        </w:rPr>
      </w:pPr>
      <w:r>
        <w:rPr>
          <w:b/>
          <w:color w:val="000000" w:themeColor="text1"/>
          <w14:textFill>
            <w14:solidFill>
              <w14:schemeClr w14:val="tx1"/>
            </w14:solidFill>
          </w14:textFill>
        </w:rPr>
        <w:t>水利建设取得重大进展。</w:t>
      </w:r>
      <w:r>
        <w:rPr>
          <w:color w:val="000000" w:themeColor="text1"/>
          <w14:textFill>
            <w14:solidFill>
              <w14:schemeClr w14:val="tx1"/>
            </w14:solidFill>
          </w14:textFill>
        </w:rPr>
        <w:t>五年来，全县水利建设投资达到82167.57万元，为加快水利基础设施建设创造了有利条件，争取县外投入达到49184.4万元，极大缓解了易门县水利建设资金投入不足的被动局面。</w:t>
      </w:r>
    </w:p>
    <w:p w14:paraId="0F55C2C6">
      <w:pPr>
        <w:ind w:firstLine="643"/>
        <w:rPr>
          <w:color w:val="000000" w:themeColor="text1"/>
          <w14:textFill>
            <w14:solidFill>
              <w14:schemeClr w14:val="tx1"/>
            </w14:solidFill>
          </w14:textFill>
        </w:rPr>
      </w:pPr>
      <w:r>
        <w:rPr>
          <w:b/>
          <w:color w:val="000000" w:themeColor="text1"/>
          <w14:textFill>
            <w14:solidFill>
              <w14:schemeClr w14:val="tx1"/>
            </w14:solidFill>
          </w14:textFill>
        </w:rPr>
        <w:t>重点工程项目进展顺利。</w:t>
      </w:r>
      <w:r>
        <w:rPr>
          <w:color w:val="000000" w:themeColor="text1"/>
          <w14:textFill>
            <w14:solidFill>
              <w14:schemeClr w14:val="tx1"/>
            </w14:solidFill>
          </w14:textFill>
        </w:rPr>
        <w:t>扎实抓好骨干水源工程建设，着力优化水利资源配置，不断提高水利保障能力。完成了投资5133.40万元的团结水库扩建工程；投资1222.98万元的新建刘家营水库工程建设；开工建设了投资20694万元的苗茂水库（中型水库）和投资19981万元的岔河水库连通工程工程建设。</w:t>
      </w:r>
    </w:p>
    <w:p w14:paraId="49EAD32F">
      <w:pPr>
        <w:ind w:firstLine="643"/>
        <w:rPr>
          <w:color w:val="000000" w:themeColor="text1"/>
          <w14:textFill>
            <w14:solidFill>
              <w14:schemeClr w14:val="tx1"/>
            </w14:solidFill>
          </w14:textFill>
        </w:rPr>
      </w:pPr>
      <w:r>
        <w:rPr>
          <w:b/>
          <w:color w:val="000000" w:themeColor="text1"/>
          <w14:textFill>
            <w14:solidFill>
              <w14:schemeClr w14:val="tx1"/>
            </w14:solidFill>
          </w14:textFill>
        </w:rPr>
        <w:t>病险水库除险扎实推进。</w:t>
      </w:r>
      <w:r>
        <w:rPr>
          <w:color w:val="000000" w:themeColor="text1"/>
          <w14:textFill>
            <w14:solidFill>
              <w14:schemeClr w14:val="tx1"/>
            </w14:solidFill>
          </w14:textFill>
        </w:rPr>
        <w:t>抓住中央、省、市加大病险水库除险加固工程投资的机遇，扎实推进病险水库除险加固工程建设。完成了投资2269万元的15件小（2）型病险水库除险加固工程建设、投资2000万元的40座病险小坝塘除险加固工程建设；概算投资4223.23万元的大谷厂水库除险加固工程于2020年11月开工实施。</w:t>
      </w:r>
    </w:p>
    <w:p w14:paraId="7A42CACC">
      <w:pPr>
        <w:ind w:firstLine="643"/>
        <w:rPr>
          <w:color w:val="000000" w:themeColor="text1"/>
          <w14:textFill>
            <w14:solidFill>
              <w14:schemeClr w14:val="tx1"/>
            </w14:solidFill>
          </w14:textFill>
        </w:rPr>
      </w:pPr>
      <w:r>
        <w:rPr>
          <w:b/>
          <w:color w:val="000000" w:themeColor="text1"/>
          <w14:textFill>
            <w14:solidFill>
              <w14:schemeClr w14:val="tx1"/>
            </w14:solidFill>
          </w14:textFill>
        </w:rPr>
        <w:t>农村水利建设成效显著。</w:t>
      </w:r>
      <w:r>
        <w:rPr>
          <w:color w:val="000000" w:themeColor="text1"/>
          <w14:textFill>
            <w14:solidFill>
              <w14:schemeClr w14:val="tx1"/>
            </w14:solidFill>
          </w14:textFill>
        </w:rPr>
        <w:t>抓住中央提出广泛开展小型农田水利设施项目建设的机遇，以县级农田水利建设规划为依托，搞好灌区改造、小型农田水利重点县和“五小水利”工程建设，着力提高全县农田水利化程度，不断改善农村生产生活条件。完成了投资921.11万元的2017年、2018年农村饮水安全巩固提升工程建设，投资1626.34万元的小革鲊</w:t>
      </w:r>
      <w:r>
        <w:rPr>
          <w:rFonts w:eastAsia="仿宋_GB2312" w:cs="仿宋_GB2312"/>
          <w:color w:val="000000" w:themeColor="text1"/>
          <w14:textFill>
            <w14:solidFill>
              <w14:schemeClr w14:val="tx1"/>
            </w14:solidFill>
          </w14:textFill>
        </w:rPr>
        <w:t>电站增效扩容改造项目建设</w:t>
      </w:r>
      <w:r>
        <w:rPr>
          <w:rFonts w:cs="仿宋_GB2312"/>
          <w:color w:val="000000" w:themeColor="text1"/>
          <w14:textFill>
            <w14:solidFill>
              <w14:schemeClr w14:val="tx1"/>
            </w14:solidFill>
          </w14:textFill>
        </w:rPr>
        <w:t>；</w:t>
      </w:r>
      <w:r>
        <w:rPr>
          <w:rFonts w:eastAsia="仿宋_GB2312" w:cs="仿宋_GB2312"/>
          <w:color w:val="000000" w:themeColor="text1"/>
          <w14:textFill>
            <w14:solidFill>
              <w14:schemeClr w14:val="tx1"/>
            </w14:solidFill>
          </w14:textFill>
        </w:rPr>
        <w:t>投资</w:t>
      </w:r>
      <w:r>
        <w:rPr>
          <w:color w:val="000000" w:themeColor="text1"/>
          <w14:textFill>
            <w14:solidFill>
              <w14:schemeClr w14:val="tx1"/>
            </w14:solidFill>
          </w14:textFill>
        </w:rPr>
        <w:t>6598.5万元的第八批中央财政小型农田水利重点县项目2016年建设项目已经完工，2017年、2018年建设项目正在实施，投资5102.63万元的2018—2019年省级补助资金农村饮水安全巩固提升工程和2019年第一、二批脱贫攻坚人饮巩固提升工程。</w:t>
      </w:r>
    </w:p>
    <w:p w14:paraId="07CA9571">
      <w:pPr>
        <w:ind w:firstLine="643"/>
        <w:rPr>
          <w:color w:val="000000" w:themeColor="text1"/>
          <w14:textFill>
            <w14:solidFill>
              <w14:schemeClr w14:val="tx1"/>
            </w14:solidFill>
          </w14:textFill>
        </w:rPr>
      </w:pPr>
      <w:r>
        <w:rPr>
          <w:b/>
          <w:color w:val="000000" w:themeColor="text1"/>
          <w14:textFill>
            <w14:solidFill>
              <w14:schemeClr w14:val="tx1"/>
            </w14:solidFill>
          </w14:textFill>
        </w:rPr>
        <w:t>高效节水灌溉全力推进。</w:t>
      </w:r>
      <w:r>
        <w:rPr>
          <w:color w:val="000000" w:themeColor="text1"/>
          <w14:textFill>
            <w14:solidFill>
              <w14:schemeClr w14:val="tx1"/>
            </w14:solidFill>
          </w14:textFill>
        </w:rPr>
        <w:t>依靠工程技术手段，最大限度地减少输水过程中水的损失，提高水利用效率。抓住中央提出大力发展高效节水灌溉项目的机遇，完成了投资1416.73万元的十街张所石太塘箐片区，占马田何家山片区、粮点后山片区高效节水灌溉项目建设和投资1889.03万元的扒河中型灌区节水改造项目。</w:t>
      </w:r>
    </w:p>
    <w:p w14:paraId="6E461DE0">
      <w:pPr>
        <w:ind w:firstLine="643"/>
        <w:rPr>
          <w:color w:val="000000" w:themeColor="text1"/>
          <w14:textFill>
            <w14:solidFill>
              <w14:schemeClr w14:val="tx1"/>
            </w14:solidFill>
          </w14:textFill>
        </w:rPr>
      </w:pPr>
      <w:r>
        <w:rPr>
          <w:b/>
          <w:color w:val="000000" w:themeColor="text1"/>
          <w14:textFill>
            <w14:solidFill>
              <w14:schemeClr w14:val="tx1"/>
            </w14:solidFill>
          </w14:textFill>
        </w:rPr>
        <w:t>防汛抗旱工作成效明显。</w:t>
      </w:r>
      <w:r>
        <w:rPr>
          <w:color w:val="000000" w:themeColor="text1"/>
          <w14:textFill>
            <w14:solidFill>
              <w14:schemeClr w14:val="tx1"/>
            </w14:solidFill>
          </w14:textFill>
        </w:rPr>
        <w:t>认真落实防汛抗旱责任制，层层签订目标责任书，明确水库防汛行政责任人、技术负责人、管理责任人，做好汛前、汛中、汛后检查，落实防汛抗旱物资，扎实开展好防汛抗旱工作。虽然主汛期间雨情、灾情明显重于往年，但由于防灾减灾工作措施扎实，全县呈现出未垮一库一坝，重要堤防无一决堤的良好态势，取得显著的社会效益。完成了投资4913.38万元的绿汁江上游易门段治理工程、投资1747.1万元的2015—2016年十街乡、浦贝乡、铜厂乡、绿汁镇4件抗旱应急工程建设、投资130万元的山洪灾害非工程措施项目、投资392.5万元的抗旱应急工程；批复投资3300万元的扒河浦贝段治理工程已经批复。</w:t>
      </w:r>
    </w:p>
    <w:p w14:paraId="4E26EC82">
      <w:pPr>
        <w:ind w:firstLine="643"/>
        <w:rPr>
          <w:color w:val="000000" w:themeColor="text1"/>
          <w14:textFill>
            <w14:solidFill>
              <w14:schemeClr w14:val="tx1"/>
            </w14:solidFill>
          </w14:textFill>
        </w:rPr>
      </w:pPr>
      <w:r>
        <w:rPr>
          <w:b/>
          <w:color w:val="000000" w:themeColor="text1"/>
          <w14:textFill>
            <w14:solidFill>
              <w14:schemeClr w14:val="tx1"/>
            </w14:solidFill>
          </w14:textFill>
        </w:rPr>
        <w:t>依法治水进程不断加快。</w:t>
      </w:r>
      <w:r>
        <w:rPr>
          <w:color w:val="000000" w:themeColor="text1"/>
          <w14:textFill>
            <w14:solidFill>
              <w14:schemeClr w14:val="tx1"/>
            </w14:solidFill>
          </w14:textFill>
        </w:rPr>
        <w:t>认真开展好开发建设项目水土保持督促执法专项行动、取水许可和供水水源地保护执法专项整治行动，加强涉水法律法规宣传，严格取水许可审批和取水许可监督管理，严厉查处水事违法案件，促进了依法行政、依法治水和科学管水。抓住易门县列入全省14个小流域坡耕地水土综合整治试点工程项目县之一的机遇，扎实抓好小流域治理项目建设。完成了投资3575万元的龙泉双龙片区水资源保护项目以及投资2500万元的大村、马头小流域坡耕地水土流失综合治理工程建设；有序推进了大椿树工业集聚区地下水开采管理，启动封填了大椿树工业集聚区地下水取水设施；《易门县浦贝石莲寺饮用水水源地保护区划分技术报告》已经市政府批复，待组织实施。</w:t>
      </w:r>
    </w:p>
    <w:p w14:paraId="5E8173A1">
      <w:pPr>
        <w:ind w:firstLine="643"/>
        <w:rPr>
          <w:color w:val="000000" w:themeColor="text1"/>
          <w14:textFill>
            <w14:solidFill>
              <w14:schemeClr w14:val="tx1"/>
            </w14:solidFill>
          </w14:textFill>
        </w:rPr>
      </w:pPr>
      <w:r>
        <w:rPr>
          <w:b/>
          <w:color w:val="000000" w:themeColor="text1"/>
          <w14:textFill>
            <w14:solidFill>
              <w14:schemeClr w14:val="tx1"/>
            </w14:solidFill>
          </w14:textFill>
        </w:rPr>
        <w:t>全面推行河（湖）长制目标建设。</w:t>
      </w:r>
      <w:r>
        <w:rPr>
          <w:color w:val="000000" w:themeColor="text1"/>
          <w14:textFill>
            <w14:solidFill>
              <w14:schemeClr w14:val="tx1"/>
            </w14:solidFill>
          </w14:textFill>
        </w:rPr>
        <w:t>在省、市、县高度重视和高位推动下，水利部门主动担当、扛起重任，提前一年全面建立河（湖）长制。县级出台三级河长制工作方案，建立“六项制度”，实现“四个到位”。全县3座中型水库及干渠、10座小（1）型水库及干渠，2条主要河流、11条主要河道共纳入河湖库渠管理。目前全县已设立了20位县级河长、72位乡级河长、63位村级河长，完成了30个县级“一河一策”方案正在编制，县、乡、村三级河长体系基本完善，县、乡、村级河长巡河已经日常化，护河管河成效显著。</w:t>
      </w:r>
    </w:p>
    <w:p w14:paraId="3F737018">
      <w:pPr>
        <w:ind w:firstLine="643"/>
        <w:rPr>
          <w:color w:val="000000" w:themeColor="text1"/>
          <w14:textFill>
            <w14:solidFill>
              <w14:schemeClr w14:val="tx1"/>
            </w14:solidFill>
          </w14:textFill>
        </w:rPr>
      </w:pPr>
      <w:r>
        <w:rPr>
          <w:b/>
          <w:color w:val="000000" w:themeColor="text1"/>
          <w14:textFill>
            <w14:solidFill>
              <w14:schemeClr w14:val="tx1"/>
            </w14:solidFill>
          </w14:textFill>
        </w:rPr>
        <w:t>安全生产工作进一步强化。</w:t>
      </w:r>
      <w:r>
        <w:rPr>
          <w:color w:val="000000" w:themeColor="text1"/>
          <w14:textFill>
            <w14:solidFill>
              <w14:schemeClr w14:val="tx1"/>
            </w14:solidFill>
          </w14:textFill>
        </w:rPr>
        <w:t>按照“一岗双责、党政同责、齐抓共管、失职追责”的安全生产责任机制，党政一把手亲力亲为抓安全、保生产，不断加强在建水利工程质量监管，从源头筑牢安全生产防线，对全县在建的重点项目开展全程质量与安全监督工作，实现2016-2020年上半年行业安全责任零事故目标。</w:t>
      </w:r>
    </w:p>
    <w:p w14:paraId="6D6828CE">
      <w:pPr>
        <w:ind w:firstLine="643"/>
        <w:rPr>
          <w:color w:val="000000" w:themeColor="text1"/>
          <w14:textFill>
            <w14:solidFill>
              <w14:schemeClr w14:val="tx1"/>
            </w14:solidFill>
          </w14:textFill>
        </w:rPr>
      </w:pPr>
      <w:r>
        <w:rPr>
          <w:b/>
          <w:color w:val="000000" w:themeColor="text1"/>
          <w14:textFill>
            <w14:solidFill>
              <w14:schemeClr w14:val="tx1"/>
            </w14:solidFill>
          </w14:textFill>
        </w:rPr>
        <w:t>项目储备形成滚动机制。</w:t>
      </w:r>
      <w:r>
        <w:rPr>
          <w:color w:val="000000" w:themeColor="text1"/>
          <w14:textFill>
            <w14:solidFill>
              <w14:schemeClr w14:val="tx1"/>
            </w14:solidFill>
          </w14:textFill>
        </w:rPr>
        <w:t>项目储备形成滚动机制。按照“启动实施一批、前期推进一批、策划储备一批”的梯次推进思路，扎实抓好项目规划储备工作，储备了一大批符合中央、省、市投资方向的项目，初步形成了水利建设项目“开工一批、论证一批、报批一批”的有储备、可调整的滚动机制，目前规划储备的项目估算总投资达53.84亿元，为今后的发展奠定了坚实基础。</w:t>
      </w:r>
    </w:p>
    <w:p w14:paraId="18117E9F">
      <w:pPr>
        <w:ind w:firstLine="643"/>
        <w:rPr>
          <w:color w:val="000000" w:themeColor="text1"/>
          <w14:textFill>
            <w14:solidFill>
              <w14:schemeClr w14:val="tx1"/>
            </w14:solidFill>
          </w14:textFill>
        </w:rPr>
      </w:pPr>
      <w:r>
        <w:rPr>
          <w:b/>
          <w:color w:val="000000" w:themeColor="text1"/>
          <w14:textFill>
            <w14:solidFill>
              <w14:schemeClr w14:val="tx1"/>
            </w14:solidFill>
          </w14:textFill>
        </w:rPr>
        <w:t>全面从严治党扎实推进。</w:t>
      </w:r>
      <w:r>
        <w:rPr>
          <w:color w:val="000000" w:themeColor="text1"/>
          <w14:textFill>
            <w14:solidFill>
              <w14:schemeClr w14:val="tx1"/>
            </w14:solidFill>
          </w14:textFill>
        </w:rPr>
        <w:t>扎实推进“两学一做”学习教育常态化制度化，认真落实“作风转变年”各项工作，深入开展“软弱涣散”基层党组织和机关党建“灯下黑”专项整治，持续加强基层党组织和党员队伍建设，着力推动党风廉政主体责任和监督责任落实，制定县委巡察整改方案，结合实际认真开展学习党的十九大精神，坚持正确选人用人导向，着力加强领导班子和干部队伍建设，从严从实加强干部日常教育和管理监督，意识形态、精神文明建设、思想宣传教育等工作进一步加强。</w:t>
      </w:r>
    </w:p>
    <w:p w14:paraId="4EC9F8CF">
      <w:pPr>
        <w:ind w:firstLine="640"/>
        <w:rPr>
          <w:color w:val="000000" w:themeColor="text1"/>
          <w14:textFill>
            <w14:solidFill>
              <w14:schemeClr w14:val="tx1"/>
            </w14:solidFill>
          </w14:textFill>
        </w:rPr>
      </w:pPr>
      <w:bookmarkStart w:id="26" w:name="_Toc7735"/>
      <w:r>
        <w:rPr>
          <w:color w:val="000000" w:themeColor="text1"/>
          <w14:textFill>
            <w14:solidFill>
              <w14:schemeClr w14:val="tx1"/>
            </w14:solidFill>
          </w14:textFill>
        </w:rPr>
        <w:t>“十三五”以来，易门县水利建设顺利推进：一是加快完善水利基础设施网络体系，更加精准有力地发挥对区域协同发展的先行引导作用，强化水资源管理，全面提升水利保障经济社会发展的能力；二是着力解决好水利发展中不平衡、不协调、不可持续的问题，加快推进水利公共服务均等化，强化保障和改善民生；三是坚持人水和谐，加快转变用水方式，着力缓解水资源水环境约束趋紧的矛盾，在推进水利绿色发展、可持续发展方面迈出新的步伐，实现水生态环境质量总体改善；四是加快构建充满活力、富有效率、创新引领、法治保障的水利体制机制，推进水治理体系和治理能力规范化。</w:t>
      </w:r>
    </w:p>
    <w:p w14:paraId="028C1CDE">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水利改革发展已取得一定成绩，但与高质量跨越式发展的要求还有很大差距，迫切需要树立新的治水理念、补齐发展短板、强化监督管理，努力提升水安全保障能力，大力推进水生态文明建设，为社会主义现代化建设征程开好局、起好步提供保障和支撑。</w:t>
      </w:r>
    </w:p>
    <w:p w14:paraId="4CF90353">
      <w:pPr>
        <w:pStyle w:val="45"/>
        <w:rPr>
          <w:color w:val="000000" w:themeColor="text1"/>
          <w14:textFill>
            <w14:solidFill>
              <w14:schemeClr w14:val="tx1"/>
            </w14:solidFill>
          </w14:textFill>
        </w:rPr>
      </w:pPr>
      <w:bookmarkStart w:id="27" w:name="_Toc18915"/>
      <w:bookmarkStart w:id="28" w:name="_Toc15232"/>
      <w:r>
        <w:rPr>
          <w:color w:val="000000" w:themeColor="text1"/>
          <w14:textFill>
            <w14:solidFill>
              <w14:schemeClr w14:val="tx1"/>
            </w14:solidFill>
          </w14:textFill>
        </w:rPr>
        <w:t>面临形势</w:t>
      </w:r>
      <w:bookmarkEnd w:id="26"/>
      <w:bookmarkEnd w:id="27"/>
      <w:bookmarkEnd w:id="28"/>
    </w:p>
    <w:p w14:paraId="6014F056">
      <w:pPr>
        <w:ind w:firstLine="640"/>
        <w:rPr>
          <w:color w:val="000000" w:themeColor="text1"/>
          <w14:textFill>
            <w14:solidFill>
              <w14:schemeClr w14:val="tx1"/>
            </w14:solidFill>
          </w14:textFill>
        </w:rPr>
      </w:pPr>
      <w:bookmarkStart w:id="29" w:name="_Toc12443"/>
      <w:r>
        <w:rPr>
          <w:color w:val="000000" w:themeColor="text1"/>
          <w14:textFill>
            <w14:solidFill>
              <w14:schemeClr w14:val="tx1"/>
            </w14:solidFill>
          </w14:textFill>
        </w:rPr>
        <w:t>“十四五”时期，是易门县开启社会主义现代化建设新征程、推动高质量跨越式发展的关键时期，水利工作既拥有难得的机遇，同时也面临严峻挑战。</w:t>
      </w:r>
    </w:p>
    <w:p w14:paraId="65C8F803">
      <w:pPr>
        <w:pStyle w:val="76"/>
        <w:rPr>
          <w:color w:val="000000" w:themeColor="text1"/>
          <w14:textFill>
            <w14:solidFill>
              <w14:schemeClr w14:val="tx1"/>
            </w14:solidFill>
          </w14:textFill>
        </w:rPr>
      </w:pPr>
      <w:r>
        <w:rPr>
          <w:color w:val="000000" w:themeColor="text1"/>
          <w14:textFill>
            <w14:solidFill>
              <w14:schemeClr w14:val="tx1"/>
            </w14:solidFill>
          </w14:textFill>
        </w:rPr>
        <w:t>（一）面临机遇</w:t>
      </w:r>
    </w:p>
    <w:p w14:paraId="1197E8F8">
      <w:pPr>
        <w:ind w:firstLine="643"/>
        <w:rPr>
          <w:color w:val="000000" w:themeColor="text1"/>
          <w14:textFill>
            <w14:solidFill>
              <w14:schemeClr w14:val="tx1"/>
            </w14:solidFill>
          </w14:textFill>
        </w:rPr>
      </w:pPr>
      <w:r>
        <w:rPr>
          <w:b/>
          <w:color w:val="000000" w:themeColor="text1"/>
          <w14:textFill>
            <w14:solidFill>
              <w14:schemeClr w14:val="tx1"/>
            </w14:solidFill>
          </w14:textFill>
        </w:rPr>
        <w:t>从国家层面来看，</w:t>
      </w:r>
      <w:r>
        <w:rPr>
          <w:color w:val="000000" w:themeColor="text1"/>
          <w14:textFill>
            <w14:solidFill>
              <w14:schemeClr w14:val="tx1"/>
            </w14:solidFill>
          </w14:textFill>
        </w:rPr>
        <w:t>党中央系列顶层设计战略部署，对水利改革发展赋予了新使命。党的十九大以来，习近平</w:t>
      </w:r>
      <w:r>
        <w:rPr>
          <w:rFonts w:hint="eastAsia"/>
          <w:color w:val="000000" w:themeColor="text1"/>
          <w:lang w:eastAsia="zh-CN"/>
          <w14:textFill>
            <w14:solidFill>
              <w14:schemeClr w14:val="tx1"/>
            </w14:solidFill>
          </w14:textFill>
        </w:rPr>
        <w:t>总</w:t>
      </w:r>
      <w:r>
        <w:rPr>
          <w:color w:val="000000" w:themeColor="text1"/>
          <w14:textFill>
            <w14:solidFill>
              <w14:schemeClr w14:val="tx1"/>
            </w14:solidFill>
          </w14:textFill>
        </w:rPr>
        <w:t>书记深刻洞察国情水情、针对我国水安全严峻形势提出“节水优先、空间均衡、系统治理、两手发力”的治水思路，突出强调要从改变自然、征服自然转向调整人的行为、纠结人的错误行为，为水利发展指明了方向。国家水利部在深入贯彻落实党的十九大和十九届二中、三中、四中及五中全会精神基础上，准确把握当前水利改革方位，清醒认识治水主要矛盾、加快转变治水思路和方式，确立了“水利工程补短板、水利行业强监管”的水利改革发展总基调，提出要着力构建“节约高效、保障有力、人水和谐、风险可控、与基本实现社会主义现代化国家相适应”的水安全保障体系，为新时代水利改革发展明确了目标。</w:t>
      </w:r>
      <w:r>
        <w:rPr>
          <w:b/>
          <w:color w:val="000000" w:themeColor="text1"/>
          <w14:textFill>
            <w14:solidFill>
              <w14:schemeClr w14:val="tx1"/>
            </w14:solidFill>
          </w14:textFill>
        </w:rPr>
        <w:t>从省级层面来看，</w:t>
      </w:r>
      <w:r>
        <w:rPr>
          <w:color w:val="000000" w:themeColor="text1"/>
          <w14:textFill>
            <w14:solidFill>
              <w14:schemeClr w14:val="tx1"/>
            </w14:solidFill>
          </w14:textFill>
        </w:rPr>
        <w:t>省委、省政府始终把水利事业摆在全省经济社会发展的重要位置，立足于把云南建成中国最美丽省份，对做好水利工作作出了一系列战略部署，省委十届十一次全会提出要实施地上地下、河湖岸线、水系流域统筹的水生态环境治理，推进生态脆弱区、重点流域水生态修复，强化河（湖）长制，以革命性举措抓好九大高原湖泊保护治理，彻底转变“环湖造城、环湖布局”的发展格局、“就湖抓湖”的治理格局、“救火式治理”的工作方式和“不给钱就不治理”的被动状态，推进九大高原湖泊水质稳定向好，实现水清、河畅、岸绿，努力成为我国生态文明建设排头兵，为新时期云南水利改革发展明确了新任务。</w:t>
      </w:r>
      <w:r>
        <w:rPr>
          <w:b/>
          <w:color w:val="000000" w:themeColor="text1"/>
          <w14:textFill>
            <w14:solidFill>
              <w14:schemeClr w14:val="tx1"/>
            </w14:solidFill>
          </w14:textFill>
        </w:rPr>
        <w:t>从市级层面来看，</w:t>
      </w:r>
      <w:r>
        <w:rPr>
          <w:color w:val="000000" w:themeColor="text1"/>
          <w14:textFill>
            <w14:solidFill>
              <w14:schemeClr w14:val="tx1"/>
            </w14:solidFill>
          </w14:textFill>
        </w:rPr>
        <w:t>市委、市政府着眼于打造“云南社会主义现代化建设先行区、全国绿色创新发展示范区、国际高品质康养旅居新高地”的新目标，提出以全域、全流程、全生命周期“三全”理念为统领，以“三湖两江”为水网骨干，以重点水库、生态湿地等为关键节点，积极推进滇中引水工程（玉溪段）、骨干水源、“三湖”水生态修复治理、新元大型灌区、重要水库除险加固、抗旱应急等工程实施，巩固提升农村饮水安全，全面提升水利信息化水平，着力构建“四纵四横”“五水统筹”“三网联动”“三片融合”的“44533”全域现代化水网体系，为易门县水利工作高质量改革发展提供了重大机遇。</w:t>
      </w:r>
      <w:r>
        <w:rPr>
          <w:b/>
          <w:color w:val="000000" w:themeColor="text1"/>
          <w14:textFill>
            <w14:solidFill>
              <w14:schemeClr w14:val="tx1"/>
            </w14:solidFill>
          </w14:textFill>
        </w:rPr>
        <w:t>从县级层面来看，</w:t>
      </w:r>
      <w:r>
        <w:rPr>
          <w:color w:val="000000" w:themeColor="text1"/>
          <w14:textFill>
            <w14:solidFill>
              <w14:schemeClr w14:val="tx1"/>
            </w14:solidFill>
          </w14:textFill>
        </w:rPr>
        <w:t>县委、县政府贯彻落实省委省政府玉溪现场办公会精神，重拾“敢闯敢试、敢为人先”的玉溪精神，全力推进“一极两区”建设。优化水资源开发利用，统筹推进滇中引水易门县配网工程、农村饮水安全保障、城市管网、抗旱应急、灌区续建配套等工程，加强水利工程管理信息化建设，构建高效智慧的水利网，结合易门实际，打造昆玉同城化发展先行区、滇中菌乡山水公园城、西南循环经济科创城，实现在“十四五”时期的高质量发展。</w:t>
      </w:r>
    </w:p>
    <w:p w14:paraId="2B361DA9">
      <w:pPr>
        <w:pStyle w:val="76"/>
        <w:rPr>
          <w:color w:val="000000" w:themeColor="text1"/>
          <w14:textFill>
            <w14:solidFill>
              <w14:schemeClr w14:val="tx1"/>
            </w14:solidFill>
          </w14:textFill>
        </w:rPr>
      </w:pPr>
      <w:r>
        <w:rPr>
          <w:color w:val="000000" w:themeColor="text1"/>
          <w14:textFill>
            <w14:solidFill>
              <w14:schemeClr w14:val="tx1"/>
            </w14:solidFill>
          </w14:textFill>
        </w:rPr>
        <w:t>（二）面临挑战</w:t>
      </w:r>
    </w:p>
    <w:p w14:paraId="2AA482FC">
      <w:pPr>
        <w:ind w:firstLine="640"/>
        <w:rPr>
          <w:color w:val="000000" w:themeColor="text1"/>
          <w14:textFill>
            <w14:solidFill>
              <w14:schemeClr w14:val="tx1"/>
            </w14:solidFill>
          </w14:textFill>
        </w:rPr>
      </w:pPr>
      <w:r>
        <w:rPr>
          <w:color w:val="000000" w:themeColor="text1"/>
          <w14:textFill>
            <w14:solidFill>
              <w14:schemeClr w14:val="tx1"/>
            </w14:solidFill>
          </w14:textFill>
        </w:rPr>
        <w:t>一是县内河道沟渠、沟道普遍弱化老化，防洪标准较低，无法满足现状规范防洪要求，防汛任务日益繁重。二是抗旱形势依然严峻，抗旱压力持续增大，农村饮水安全问题仍然没有得到彻底解决。三是向上争取资金难度加大，历史欠账增多，工程建设、管护资金严重不足。四是水行政监督执法力度不够，监督执法工作亟待加强。五是水土流失治理任务重，投资渠道单一，治后管护工作有待加强。六是河（湖）长制工作中，部门协作还有待加强，合力共治工作格局尚未形成；七是水利信息化、现代化水平仍然带后，行业能力水平亟待提升。</w:t>
      </w:r>
    </w:p>
    <w:p w14:paraId="69E1E2F9">
      <w:pPr>
        <w:pStyle w:val="45"/>
        <w:rPr>
          <w:color w:val="000000" w:themeColor="text1"/>
          <w14:textFill>
            <w14:solidFill>
              <w14:schemeClr w14:val="tx1"/>
            </w14:solidFill>
          </w14:textFill>
        </w:rPr>
      </w:pPr>
      <w:bookmarkStart w:id="30" w:name="_Toc32036"/>
      <w:bookmarkStart w:id="31" w:name="_Toc25374"/>
      <w:r>
        <w:rPr>
          <w:color w:val="000000" w:themeColor="text1"/>
          <w14:textFill>
            <w14:solidFill>
              <w14:schemeClr w14:val="tx1"/>
            </w14:solidFill>
          </w14:textFill>
        </w:rPr>
        <w:t>存在问题</w:t>
      </w:r>
      <w:bookmarkEnd w:id="29"/>
      <w:bookmarkEnd w:id="30"/>
      <w:bookmarkEnd w:id="31"/>
    </w:p>
    <w:p w14:paraId="4BA4869C">
      <w:pPr>
        <w:ind w:firstLine="640"/>
        <w:rPr>
          <w:color w:val="000000" w:themeColor="text1"/>
          <w14:textFill>
            <w14:solidFill>
              <w14:schemeClr w14:val="tx1"/>
            </w14:solidFill>
          </w14:textFill>
        </w:rPr>
      </w:pPr>
      <w:r>
        <w:rPr>
          <w:color w:val="000000" w:themeColor="text1"/>
          <w14:textFill>
            <w14:solidFill>
              <w14:schemeClr w14:val="tx1"/>
            </w14:solidFill>
          </w14:textFill>
        </w:rPr>
        <w:t>目前，易门县水利行业既面临着难于增加有效水利基础设施建设投资的问题和困难，又面临着深化供给侧结构性改革，强化“水利工程补短板、水利行业强监管”的责任和挑战。</w:t>
      </w:r>
    </w:p>
    <w:p w14:paraId="0CDEB759">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水利经过多年的建设，兴建了一批包括水库、塘坝、堤防、泵站、水闸、农村五小水利等在内的水利基础设施，已初步形成了集防洪、排涝、灌溉、供水等为一体的水利设施体系，在兴利除害和促进经济发展方面取得了较好的成就。但目前的水利发展与新时期治水的思路及易门县经济社会发展要求还存在不相适应的地方，主要表现在以下六个方面：</w:t>
      </w:r>
    </w:p>
    <w:p w14:paraId="5ECD2380">
      <w:pPr>
        <w:pStyle w:val="47"/>
        <w:rPr>
          <w:color w:val="000000" w:themeColor="text1"/>
          <w14:textFill>
            <w14:solidFill>
              <w14:schemeClr w14:val="tx1"/>
            </w14:solidFill>
          </w14:textFill>
        </w:rPr>
      </w:pPr>
      <w:r>
        <w:rPr>
          <w:color w:val="000000" w:themeColor="text1"/>
          <w14:textFill>
            <w14:solidFill>
              <w14:schemeClr w14:val="tx1"/>
            </w14:solidFill>
          </w14:textFill>
        </w:rPr>
        <w:t>水资源配置不平衡，用水矛盾日益突出。</w:t>
      </w:r>
    </w:p>
    <w:p w14:paraId="76EC78C1">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由于水资源时空分布不均匀、水土资源配置不平衡和水利基础设施配套不到位，水利工程调控能力低，工程性缺水、资源性缺水、水质性缺水矛盾突出，随着“工业富县”和“生态立县”战略的推进，工业发展用水和城市生态景观用水需求不断增加，全县的用水矛盾日益突出。</w:t>
      </w:r>
    </w:p>
    <w:p w14:paraId="57D4A99D">
      <w:pPr>
        <w:pStyle w:val="47"/>
        <w:rPr>
          <w:color w:val="000000" w:themeColor="text1"/>
          <w14:textFill>
            <w14:solidFill>
              <w14:schemeClr w14:val="tx1"/>
            </w14:solidFill>
          </w14:textFill>
        </w:rPr>
      </w:pPr>
      <w:r>
        <w:rPr>
          <w:rFonts w:eastAsia="楷体_GB2312"/>
          <w:b/>
          <w:bCs w:val="0"/>
          <w:color w:val="000000" w:themeColor="text1"/>
          <w14:textFill>
            <w14:solidFill>
              <w14:schemeClr w14:val="tx1"/>
            </w14:solidFill>
          </w14:textFill>
        </w:rPr>
        <w:t>江河防洪能力弱。</w:t>
      </w:r>
    </w:p>
    <w:p w14:paraId="187112CE">
      <w:pPr>
        <w:ind w:firstLine="640"/>
        <w:rPr>
          <w:color w:val="000000" w:themeColor="text1"/>
          <w14:textFill>
            <w14:solidFill>
              <w14:schemeClr w14:val="tx1"/>
            </w14:solidFill>
          </w14:textFill>
        </w:rPr>
      </w:pPr>
      <w:r>
        <w:rPr>
          <w:color w:val="000000" w:themeColor="text1"/>
          <w14:textFill>
            <w14:solidFill>
              <w14:schemeClr w14:val="tx1"/>
            </w14:solidFill>
          </w14:textFill>
        </w:rPr>
        <w:t>途经县境的绿汁江、境内的扒河及其他小河流防洪标准低。近年来，虽已对扒河、绿汁江、十街三乡河部分河道进行治理，但全县大多数河流防洪能力均达不到5年一遇的标准，在发生局部暴雨洪水或汛期大流量行洪时极易发生险情，维护任务重。</w:t>
      </w:r>
    </w:p>
    <w:p w14:paraId="1303331C">
      <w:pPr>
        <w:pStyle w:val="47"/>
        <w:rPr>
          <w:color w:val="000000" w:themeColor="text1"/>
          <w14:textFill>
            <w14:solidFill>
              <w14:schemeClr w14:val="tx1"/>
            </w14:solidFill>
          </w14:textFill>
        </w:rPr>
      </w:pPr>
      <w:r>
        <w:rPr>
          <w:color w:val="000000" w:themeColor="text1"/>
          <w14:textFill>
            <w14:solidFill>
              <w14:schemeClr w14:val="tx1"/>
            </w14:solidFill>
          </w14:textFill>
        </w:rPr>
        <w:t>病险水库仍然存在。</w:t>
      </w:r>
    </w:p>
    <w:p w14:paraId="53575ADF">
      <w:pPr>
        <w:ind w:firstLine="640"/>
        <w:rPr>
          <w:color w:val="000000" w:themeColor="text1"/>
          <w14:textFill>
            <w14:solidFill>
              <w14:schemeClr w14:val="tx1"/>
            </w14:solidFill>
          </w14:textFill>
        </w:rPr>
      </w:pPr>
      <w:r>
        <w:rPr>
          <w:color w:val="000000" w:themeColor="text1"/>
          <w14:textFill>
            <w14:solidFill>
              <w14:schemeClr w14:val="tx1"/>
            </w14:solidFill>
          </w14:textFill>
        </w:rPr>
        <w:t>目前仍有部分水库、小塘坝带病运行，安全隐患较大，特别是村组管理小（2）型水库和小塘坝，总体管理较差，“三无”（无监测设施、无经费、无管理人员）、“三低”（防洪标准低、施工设计标准低、渠系配套标准低）现象突出，库坝管理不到位，防洪安全隐患多，除险任务重，急需解决库坝管理经费及人员问题。</w:t>
      </w:r>
    </w:p>
    <w:p w14:paraId="4996C5B7">
      <w:pPr>
        <w:pStyle w:val="47"/>
        <w:rPr>
          <w:color w:val="000000" w:themeColor="text1"/>
          <w14:textFill>
            <w14:solidFill>
              <w14:schemeClr w14:val="tx1"/>
            </w14:solidFill>
          </w14:textFill>
        </w:rPr>
      </w:pPr>
      <w:r>
        <w:rPr>
          <w:color w:val="000000" w:themeColor="text1"/>
          <w14:textFill>
            <w14:solidFill>
              <w14:schemeClr w14:val="tx1"/>
            </w14:solidFill>
          </w14:textFill>
        </w:rPr>
        <w:t>项目建设资金投入不足，项目推进困难重重。</w:t>
      </w:r>
    </w:p>
    <w:p w14:paraId="6B5749E8">
      <w:pPr>
        <w:ind w:firstLine="640"/>
        <w:rPr>
          <w:color w:val="000000" w:themeColor="text1"/>
          <w14:textFill>
            <w14:solidFill>
              <w14:schemeClr w14:val="tx1"/>
            </w14:solidFill>
          </w14:textFill>
        </w:rPr>
      </w:pPr>
      <w:r>
        <w:rPr>
          <w:color w:val="000000" w:themeColor="text1"/>
          <w14:textFill>
            <w14:solidFill>
              <w14:schemeClr w14:val="tx1"/>
            </w14:solidFill>
          </w14:textFill>
        </w:rPr>
        <w:t>因县级水利基础设施项目建设缺口资金大，项目建设管理资金到位率低，造成在建工程建设管理难度大、工程难于有序推进。</w:t>
      </w:r>
    </w:p>
    <w:p w14:paraId="4F5B8CF5">
      <w:pPr>
        <w:pStyle w:val="47"/>
        <w:rPr>
          <w:color w:val="000000" w:themeColor="text1"/>
          <w14:textFill>
            <w14:solidFill>
              <w14:schemeClr w14:val="tx1"/>
            </w14:solidFill>
          </w14:textFill>
        </w:rPr>
      </w:pPr>
      <w:r>
        <w:rPr>
          <w:color w:val="000000" w:themeColor="text1"/>
          <w14:textFill>
            <w14:solidFill>
              <w14:schemeClr w14:val="tx1"/>
            </w14:solidFill>
          </w14:textFill>
        </w:rPr>
        <w:t>项目前期工作保障不到位，项目储备和前期工作开展难度较大。</w:t>
      </w:r>
    </w:p>
    <w:p w14:paraId="7DC9A172">
      <w:pPr>
        <w:ind w:firstLine="640"/>
        <w:rPr>
          <w:color w:val="000000" w:themeColor="text1"/>
          <w14:textFill>
            <w14:solidFill>
              <w14:schemeClr w14:val="tx1"/>
            </w14:solidFill>
          </w14:textFill>
        </w:rPr>
      </w:pPr>
      <w:r>
        <w:rPr>
          <w:color w:val="000000" w:themeColor="text1"/>
          <w14:textFill>
            <w14:solidFill>
              <w14:schemeClr w14:val="tx1"/>
            </w14:solidFill>
          </w14:textFill>
        </w:rPr>
        <w:t>水利建设项目安全性要求高，技术要求强，项目前期工作如项目可研、病险水库安全鉴定和初步设计等，都需聘请具有相应资质的专业机构做，都需项目有充足的前期工作经费保障。近年来，水利建设项目前期工作经费不足的问题已形成了项目储备和推进的障碍。</w:t>
      </w:r>
    </w:p>
    <w:p w14:paraId="2D8C9BC5">
      <w:pPr>
        <w:pStyle w:val="47"/>
        <w:rPr>
          <w:color w:val="000000" w:themeColor="text1"/>
          <w14:textFill>
            <w14:solidFill>
              <w14:schemeClr w14:val="tx1"/>
            </w14:solidFill>
          </w14:textFill>
        </w:rPr>
      </w:pPr>
      <w:r>
        <w:rPr>
          <w:color w:val="000000" w:themeColor="text1"/>
          <w14:textFill>
            <w14:solidFill>
              <w14:schemeClr w14:val="tx1"/>
            </w14:solidFill>
          </w14:textFill>
        </w:rPr>
        <w:t>农业水费征收难度加大。</w:t>
      </w:r>
    </w:p>
    <w:p w14:paraId="162E1F13">
      <w:pPr>
        <w:ind w:firstLine="640"/>
        <w:rPr>
          <w:color w:val="000000" w:themeColor="text1"/>
          <w14:textFill>
            <w14:solidFill>
              <w14:schemeClr w14:val="tx1"/>
            </w14:solidFill>
          </w14:textFill>
        </w:rPr>
      </w:pPr>
      <w:r>
        <w:rPr>
          <w:color w:val="000000" w:themeColor="text1"/>
          <w14:textFill>
            <w14:solidFill>
              <w14:schemeClr w14:val="tx1"/>
            </w14:solidFill>
          </w14:textFill>
        </w:rPr>
        <w:t>农村水利改革工作中，税费改革后，农业水费征收难度加大，2012年易门县取消了县管水利工程供水的农业水费，推进水利工程供水价格改革有较大难度。同时，鼓励和引导社会资本参与农田水利设施建设运营管理的思路不广办法不多。</w:t>
      </w:r>
    </w:p>
    <w:p w14:paraId="3835A779">
      <w:pPr>
        <w:pStyle w:val="47"/>
        <w:rPr>
          <w:color w:val="000000" w:themeColor="text1"/>
          <w14:textFill>
            <w14:solidFill>
              <w14:schemeClr w14:val="tx1"/>
            </w14:solidFill>
          </w14:textFill>
        </w:rPr>
      </w:pPr>
      <w:r>
        <w:rPr>
          <w:color w:val="000000" w:themeColor="text1"/>
          <w14:textFill>
            <w14:solidFill>
              <w14:schemeClr w14:val="tx1"/>
            </w14:solidFill>
          </w14:textFill>
        </w:rPr>
        <w:t>水环境治理难度较大。</w:t>
      </w:r>
    </w:p>
    <w:p w14:paraId="38F0DD0D">
      <w:pPr>
        <w:ind w:firstLine="640"/>
        <w:rPr>
          <w:color w:val="000000" w:themeColor="text1"/>
          <w14:textFill>
            <w14:solidFill>
              <w14:schemeClr w14:val="tx1"/>
            </w14:solidFill>
          </w14:textFill>
        </w:rPr>
      </w:pPr>
      <w:r>
        <w:rPr>
          <w:color w:val="000000" w:themeColor="text1"/>
          <w:szCs w:val="32"/>
          <w:shd w:val="clear" w:color="auto" w:fill="FFFFFF"/>
          <w14:textFill>
            <w14:solidFill>
              <w14:schemeClr w14:val="tx1"/>
            </w14:solidFill>
          </w14:textFill>
        </w:rPr>
        <w:t>县城污水排放治理投资较高，流域内农村面源污染治理难度较大、当地人民的环保意识较为淡薄，未能切实保护河道安全，使得河道遭受一定程度的污染，整体生态平衡被打乱。</w:t>
      </w:r>
      <w:r>
        <w:rPr>
          <w:color w:val="000000" w:themeColor="text1"/>
          <w14:textFill>
            <w14:solidFill>
              <w14:schemeClr w14:val="tx1"/>
            </w14:solidFill>
          </w14:textFill>
        </w:rPr>
        <w:t>设施配套投入不足。</w:t>
      </w:r>
    </w:p>
    <w:p w14:paraId="21F1F1B0">
      <w:pPr>
        <w:pStyle w:val="47"/>
        <w:rPr>
          <w:color w:val="000000" w:themeColor="text1"/>
          <w14:textFill>
            <w14:solidFill>
              <w14:schemeClr w14:val="tx1"/>
            </w14:solidFill>
          </w14:textFill>
        </w:rPr>
      </w:pPr>
      <w:r>
        <w:rPr>
          <w:color w:val="000000" w:themeColor="text1"/>
          <w14:textFill>
            <w14:solidFill>
              <w14:schemeClr w14:val="tx1"/>
            </w14:solidFill>
          </w14:textFill>
        </w:rPr>
        <w:t>节水问题依然存在。</w:t>
      </w:r>
    </w:p>
    <w:p w14:paraId="198A1FCD">
      <w:pPr>
        <w:ind w:firstLine="640"/>
        <w:rPr>
          <w:color w:val="000000" w:themeColor="text1"/>
          <w14:textFill>
            <w14:solidFill>
              <w14:schemeClr w14:val="tx1"/>
            </w14:solidFill>
          </w14:textFill>
        </w:rPr>
      </w:pPr>
      <w:r>
        <w:rPr>
          <w:color w:val="000000" w:themeColor="text1"/>
          <w14:textFill>
            <w14:solidFill>
              <w14:schemeClr w14:val="tx1"/>
            </w14:solidFill>
          </w14:textFill>
        </w:rPr>
        <w:t>因复杂多变的地形地势，各地区多年平均降水量有较大差异且时空分布极不均匀，季节性、区域性缺水严重。灌区呈现小、散、乱，没有形成规模化，灌溉利用系数低，用水量大、消耗大等等。加之全县节水意识不强、用水粗放、水资源利用效率相对较低。已经成为易门县生态文明建设和经济社会可持续发展的瓶颈制约。</w:t>
      </w:r>
    </w:p>
    <w:p w14:paraId="06E6DB36">
      <w:pPr>
        <w:pStyle w:val="47"/>
        <w:rPr>
          <w:color w:val="000000" w:themeColor="text1"/>
          <w14:textFill>
            <w14:solidFill>
              <w14:schemeClr w14:val="tx1"/>
            </w14:solidFill>
          </w14:textFill>
        </w:rPr>
      </w:pPr>
      <w:r>
        <w:rPr>
          <w:color w:val="000000" w:themeColor="text1"/>
          <w14:textFill>
            <w14:solidFill>
              <w14:schemeClr w14:val="tx1"/>
            </w14:solidFill>
          </w14:textFill>
        </w:rPr>
        <w:t>抗旱形势依然严峻。</w:t>
      </w:r>
    </w:p>
    <w:p w14:paraId="5A1CD5F3">
      <w:pPr>
        <w:ind w:firstLine="640"/>
        <w:rPr>
          <w:color w:val="000000" w:themeColor="text1"/>
          <w14:textFill>
            <w14:solidFill>
              <w14:schemeClr w14:val="tx1"/>
            </w14:solidFill>
          </w14:textFill>
        </w:rPr>
      </w:pPr>
      <w:r>
        <w:rPr>
          <w:color w:val="000000" w:themeColor="text1"/>
          <w14:textFill>
            <w14:solidFill>
              <w14:schemeClr w14:val="tx1"/>
            </w14:solidFill>
          </w14:textFill>
        </w:rPr>
        <w:t>近年来易门县加大抗旱投资力度，完善健全抗旱工作机制，抵御旱灾能力稳步提升，但抗旱能力仍然偏低。</w:t>
      </w:r>
    </w:p>
    <w:p w14:paraId="647EC9C7">
      <w:pPr>
        <w:pStyle w:val="47"/>
        <w:rPr>
          <w:color w:val="000000" w:themeColor="text1"/>
          <w14:textFill>
            <w14:solidFill>
              <w14:schemeClr w14:val="tx1"/>
            </w14:solidFill>
          </w14:textFill>
        </w:rPr>
      </w:pPr>
      <w:bookmarkStart w:id="32" w:name="_Toc5175"/>
      <w:bookmarkStart w:id="33" w:name="_Toc20069"/>
      <w:bookmarkStart w:id="34" w:name="_Toc28370"/>
      <w:r>
        <w:rPr>
          <w:color w:val="000000" w:themeColor="text1"/>
          <w14:textFill>
            <w14:solidFill>
              <w14:schemeClr w14:val="tx1"/>
            </w14:solidFill>
          </w14:textFill>
        </w:rPr>
        <w:t>水利信息化建设发展仍然任重道远</w:t>
      </w:r>
    </w:p>
    <w:p w14:paraId="4795306C">
      <w:pPr>
        <w:ind w:firstLine="640"/>
        <w:rPr>
          <w:color w:val="000000" w:themeColor="text1"/>
          <w14:textFill>
            <w14:solidFill>
              <w14:schemeClr w14:val="tx1"/>
            </w14:solidFill>
          </w14:textFill>
        </w:rPr>
      </w:pPr>
      <w:r>
        <w:rPr>
          <w:color w:val="000000" w:themeColor="text1"/>
          <w14:textFill>
            <w14:solidFill>
              <w14:schemeClr w14:val="tx1"/>
            </w14:solidFill>
          </w14:textFill>
        </w:rPr>
        <w:t>随着互联网的发展越发成熟起来，易门县水利信息化建设工作也得到不断的发展，取得了许多可喜的成果，但从整体来看，还存在着许多的问题。水利信息化建设属于高科技的技术工程，需要拥有一支高质量的信息化建设和管理人才队伍，但就现状而言，这方面的人才是匮乏的，缺少专门的人才培训机构。缺乏在水利信息化建设经验、教训方面的积累，这便使得信息化建设、管理过程略显艰难。在水利信息化领域的投资占水利总投资的比例较小，目前的水利信息化基础设施建设的资金投入还较小，没有为水利信息化建设提供必要的物质保障。</w:t>
      </w:r>
    </w:p>
    <w:p w14:paraId="346CBF31">
      <w:pPr>
        <w:widowControl/>
        <w:adjustRightInd/>
        <w:snapToGrid/>
        <w:spacing w:line="240" w:lineRule="auto"/>
        <w:ind w:firstLine="0" w:firstLineChars="0"/>
        <w:jc w:val="left"/>
        <w:rPr>
          <w:rFonts w:eastAsia="黑体" w:cs="Arial"/>
          <w:color w:val="000000" w:themeColor="text1"/>
          <w:sz w:val="36"/>
          <w:szCs w:val="30"/>
          <w14:textFill>
            <w14:solidFill>
              <w14:schemeClr w14:val="tx1"/>
            </w14:solidFill>
          </w14:textFill>
        </w:rPr>
      </w:pPr>
      <w:r>
        <w:rPr>
          <w:color w:val="000000" w:themeColor="text1"/>
          <w14:textFill>
            <w14:solidFill>
              <w14:schemeClr w14:val="tx1"/>
            </w14:solidFill>
          </w14:textFill>
        </w:rPr>
        <w:br w:type="page"/>
      </w:r>
    </w:p>
    <w:p w14:paraId="6875F2C4">
      <w:pPr>
        <w:pStyle w:val="43"/>
        <w:rPr>
          <w:color w:val="000000" w:themeColor="text1"/>
          <w14:textFill>
            <w14:solidFill>
              <w14:schemeClr w14:val="tx1"/>
            </w14:solidFill>
          </w14:textFill>
        </w:rPr>
      </w:pPr>
      <w:r>
        <w:rPr>
          <w:color w:val="000000" w:themeColor="text1"/>
          <w14:textFill>
            <w14:solidFill>
              <w14:schemeClr w14:val="tx1"/>
            </w14:solidFill>
          </w14:textFill>
        </w:rPr>
        <w:t>总体思路</w:t>
      </w:r>
      <w:bookmarkEnd w:id="32"/>
      <w:bookmarkEnd w:id="33"/>
      <w:bookmarkEnd w:id="34"/>
    </w:p>
    <w:p w14:paraId="2AC3DA1E">
      <w:pPr>
        <w:pStyle w:val="45"/>
        <w:rPr>
          <w:color w:val="000000" w:themeColor="text1"/>
          <w14:textFill>
            <w14:solidFill>
              <w14:schemeClr w14:val="tx1"/>
            </w14:solidFill>
          </w14:textFill>
        </w:rPr>
      </w:pPr>
      <w:bookmarkStart w:id="35" w:name="_Toc1966"/>
      <w:bookmarkStart w:id="36" w:name="_Toc5272"/>
      <w:bookmarkStart w:id="37" w:name="_Toc28990"/>
      <w:r>
        <w:rPr>
          <w:color w:val="000000" w:themeColor="text1"/>
          <w14:textFill>
            <w14:solidFill>
              <w14:schemeClr w14:val="tx1"/>
            </w14:solidFill>
          </w14:textFill>
        </w:rPr>
        <w:t>指导思想</w:t>
      </w:r>
      <w:bookmarkEnd w:id="35"/>
      <w:bookmarkEnd w:id="36"/>
      <w:bookmarkEnd w:id="37"/>
    </w:p>
    <w:p w14:paraId="1F863919">
      <w:pPr>
        <w:ind w:firstLine="640"/>
        <w:rPr>
          <w:color w:val="000000" w:themeColor="text1"/>
          <w14:textFill>
            <w14:solidFill>
              <w14:schemeClr w14:val="tx1"/>
            </w14:solidFill>
          </w14:textFill>
        </w:rPr>
      </w:pPr>
      <w:bookmarkStart w:id="38" w:name="_Toc18426"/>
      <w:r>
        <w:rPr>
          <w:color w:val="000000" w:themeColor="text1"/>
          <w14:textFill>
            <w14:solidFill>
              <w14:schemeClr w14:val="tx1"/>
            </w14:solidFill>
          </w14:textFill>
        </w:rPr>
        <w:t>“十四五”水安全保障规划编制，要以</w:t>
      </w:r>
      <w:r>
        <w:rPr>
          <w:color w:val="000000" w:themeColor="text1"/>
          <w:shd w:val="clear" w:color="auto" w:fill="FFFFFF"/>
          <w14:textFill>
            <w14:solidFill>
              <w14:schemeClr w14:val="tx1"/>
            </w14:solidFill>
          </w14:textFill>
        </w:rPr>
        <w:t>习近平新时代中国特色社会主义思想为指导，全面贯彻党的十九大和十九届二中、三中、四中、五中全会精神，深入贯彻习近平生态文明思想，立足新发展阶段，完整、准确、全面贯彻新发展理念，构建新发展格局，坚持生态优先、绿色发展，以有效应对生物多样性面临的挑战、全面提升生物多样性保护水平为目标，扎实推进生物多样性保护重大工程，持续加大监督和执法力度，进一步提高保护能力和管理水平，确保重要生态系统、生物物种和生物遗传资源得到全面保护，将生物多样性保护理念融入生态文明建设全过程，积极参与全球生物多样性治理，共建万物和谐的美丽家园。</w:t>
      </w:r>
      <w:r>
        <w:rPr>
          <w:color w:val="000000" w:themeColor="text1"/>
          <w14:textFill>
            <w14:solidFill>
              <w14:schemeClr w14:val="tx1"/>
            </w14:solidFill>
          </w14:textFill>
        </w:rPr>
        <w:t>深入贯彻习近平总书记治水重要论述精神和考察云南重要讲话精神，牢固树立新发展理念，统筹推进“五位一体”总体布局和协调推进“四个全面”战略布局，深入落实“节水优先、空间均衡、系统治理、两手发力”的治水思路和水资源、水生态、水环境、水灾害统筹治理的治水新思路，践行“水利工程补短板，水利行业强监管”的新时代水利改革发展总基调。认真贯彻党的十九大精神，坚决落实习近平总书记考察云南“一个跨越、三个定位、五个着力”的重大部署，贯彻落实省委省政府玉溪现场办公会精神，重拾“敢闯敢试、敢为人先”的玉溪精神，全力推进“一极两区”建设。牢固树立“四个意识”，</w:t>
      </w:r>
      <w:bookmarkStart w:id="234" w:name="_GoBack"/>
      <w:bookmarkEnd w:id="234"/>
      <w:r>
        <w:rPr>
          <w:rFonts w:hint="eastAsia"/>
          <w:color w:val="000000" w:themeColor="text1"/>
          <w:lang w:eastAsia="zh-CN"/>
          <w14:textFill>
            <w14:solidFill>
              <w14:schemeClr w14:val="tx1"/>
            </w14:solidFill>
          </w14:textFill>
        </w:rPr>
        <w:t>坚定“四个自信”、做到“两个维护”</w:t>
      </w:r>
      <w:r>
        <w:rPr>
          <w:color w:val="000000" w:themeColor="text1"/>
          <w14:textFill>
            <w14:solidFill>
              <w14:schemeClr w14:val="tx1"/>
            </w14:solidFill>
          </w14:textFill>
        </w:rPr>
        <w:t>，推动玉溪高质量跨越式发展，以党建、党风廉政、水网、水生态文明建设和乡村振兴战略为核心，积极推进河（湖）长制、最严格水资源管理、水源工程、民生水利、防汛抗旱、水利改革等重点工作，精心组织，全力抓好强基础、补短板工作。</w:t>
      </w:r>
    </w:p>
    <w:p w14:paraId="7A464DE7">
      <w:pPr>
        <w:ind w:firstLine="640"/>
        <w:rPr>
          <w:color w:val="000000" w:themeColor="text1"/>
          <w14:textFill>
            <w14:solidFill>
              <w14:schemeClr w14:val="tx1"/>
            </w14:solidFill>
          </w14:textFill>
        </w:rPr>
      </w:pPr>
      <w:r>
        <w:rPr>
          <w:color w:val="000000" w:themeColor="text1"/>
          <w14:textFill>
            <w14:solidFill>
              <w14:schemeClr w14:val="tx1"/>
            </w14:solidFill>
          </w14:textFill>
        </w:rPr>
        <w:t>根据省级、市级部署，易门县立足于县情水情，构建特色的现代化水安全保障体系，不断推进易门县水治理体系和治理能力现代化，为推动易门县实现高质量跨越式发展提供水安全保障和支撑。</w:t>
      </w:r>
    </w:p>
    <w:p w14:paraId="187BE327">
      <w:pPr>
        <w:pStyle w:val="45"/>
        <w:rPr>
          <w:color w:val="000000" w:themeColor="text1"/>
          <w14:textFill>
            <w14:solidFill>
              <w14:schemeClr w14:val="tx1"/>
            </w14:solidFill>
          </w14:textFill>
        </w:rPr>
      </w:pPr>
      <w:bookmarkStart w:id="39" w:name="_Toc32343"/>
      <w:bookmarkStart w:id="40" w:name="_Toc5411"/>
      <w:r>
        <w:rPr>
          <w:color w:val="000000" w:themeColor="text1"/>
          <w14:textFill>
            <w14:solidFill>
              <w14:schemeClr w14:val="tx1"/>
            </w14:solidFill>
          </w14:textFill>
        </w:rPr>
        <w:t>基本原则</w:t>
      </w:r>
      <w:bookmarkEnd w:id="38"/>
      <w:bookmarkEnd w:id="39"/>
      <w:bookmarkEnd w:id="40"/>
    </w:p>
    <w:p w14:paraId="6BA66995">
      <w:pPr>
        <w:ind w:firstLine="643"/>
        <w:rPr>
          <w:color w:val="000000" w:themeColor="text1"/>
          <w14:textFill>
            <w14:solidFill>
              <w14:schemeClr w14:val="tx1"/>
            </w14:solidFill>
          </w14:textFill>
        </w:rPr>
      </w:pPr>
      <w:bookmarkStart w:id="41" w:name="_Toc11730"/>
      <w:r>
        <w:rPr>
          <w:b/>
          <w:bCs/>
          <w:color w:val="000000" w:themeColor="text1"/>
          <w14:textFill>
            <w14:solidFill>
              <w14:schemeClr w14:val="tx1"/>
            </w14:solidFill>
          </w14:textFill>
        </w:rPr>
        <w:t>节水优先，高效利用。</w:t>
      </w:r>
      <w:r>
        <w:rPr>
          <w:color w:val="000000" w:themeColor="text1"/>
          <w14:textFill>
            <w14:solidFill>
              <w14:schemeClr w14:val="tx1"/>
            </w14:solidFill>
          </w14:textFill>
        </w:rPr>
        <w:t>提高用水效率，转变用水方式，把节水作为解决易门县水资源短缺问题的重要举措，贯穿于经济社会发展全过程和各领域，推动用水方式由粗放向节约集约转变，形成节水型生产生活方式，不断提高用水效率和效益。</w:t>
      </w:r>
    </w:p>
    <w:p w14:paraId="265718C0">
      <w:pPr>
        <w:ind w:firstLine="643"/>
        <w:rPr>
          <w:color w:val="000000" w:themeColor="text1"/>
          <w14:textFill>
            <w14:solidFill>
              <w14:schemeClr w14:val="tx1"/>
            </w14:solidFill>
          </w14:textFill>
        </w:rPr>
      </w:pPr>
      <w:r>
        <w:rPr>
          <w:b/>
          <w:bCs/>
          <w:color w:val="000000" w:themeColor="text1"/>
          <w14:textFill>
            <w14:solidFill>
              <w14:schemeClr w14:val="tx1"/>
            </w14:solidFill>
          </w14:textFill>
        </w:rPr>
        <w:t>空间均衡，协同发展。</w:t>
      </w:r>
      <w:r>
        <w:rPr>
          <w:color w:val="000000" w:themeColor="text1"/>
          <w14:textFill>
            <w14:solidFill>
              <w14:schemeClr w14:val="tx1"/>
            </w14:solidFill>
          </w14:textFill>
        </w:rPr>
        <w:t>坚持“创新、协调、绿色、开放、共享”的发展理念，尊重自然、顺应自然、保护自然，转变治水思路和方式，以水定需、量水而行、因水制宜，促进人口经济与水资源水生态水环境承载能力相均衡，约束和规范各类水事行为，统筹经济社会发展和生态文明建设要求，提升水安全保障能力，推动易门县实现高质量跨越式发展。</w:t>
      </w:r>
    </w:p>
    <w:p w14:paraId="4C16F50D">
      <w:pPr>
        <w:ind w:firstLine="643"/>
        <w:rPr>
          <w:color w:val="000000" w:themeColor="text1"/>
          <w14:textFill>
            <w14:solidFill>
              <w14:schemeClr w14:val="tx1"/>
            </w14:solidFill>
          </w14:textFill>
        </w:rPr>
      </w:pPr>
      <w:r>
        <w:rPr>
          <w:b/>
          <w:bCs/>
          <w:color w:val="000000" w:themeColor="text1"/>
          <w14:textFill>
            <w14:solidFill>
              <w14:schemeClr w14:val="tx1"/>
            </w14:solidFill>
          </w14:textFill>
        </w:rPr>
        <w:t>系统治理，综合施策。</w:t>
      </w:r>
      <w:r>
        <w:rPr>
          <w:color w:val="000000" w:themeColor="text1"/>
          <w14:textFill>
            <w14:solidFill>
              <w14:schemeClr w14:val="tx1"/>
            </w14:solidFill>
          </w14:textFill>
        </w:rPr>
        <w:t>坚持生态优先，树立山水林田湖草是一个生命共同体的系统思想，以流域为单元，统筹上下游、左右岸、地上地下、城市乡村，加强综合治理和生态保护修复，彰显河湖人文历史，提升河岸景观品味，统筹解决水资源水生态水环境水灾害问题，建设水清河畅、岸绿景美、江河安澜的美好家园。</w:t>
      </w:r>
    </w:p>
    <w:p w14:paraId="533D2B57">
      <w:pPr>
        <w:ind w:firstLine="643"/>
        <w:rPr>
          <w:color w:val="000000" w:themeColor="text1"/>
          <w14:textFill>
            <w14:solidFill>
              <w14:schemeClr w14:val="tx1"/>
            </w14:solidFill>
          </w14:textFill>
        </w:rPr>
      </w:pPr>
      <w:r>
        <w:rPr>
          <w:b/>
          <w:bCs/>
          <w:color w:val="000000" w:themeColor="text1"/>
          <w14:textFill>
            <w14:solidFill>
              <w14:schemeClr w14:val="tx1"/>
            </w14:solidFill>
          </w14:textFill>
        </w:rPr>
        <w:t>两手发力，改革创新。</w:t>
      </w:r>
      <w:r>
        <w:rPr>
          <w:color w:val="000000" w:themeColor="text1"/>
          <w14:textFill>
            <w14:solidFill>
              <w14:schemeClr w14:val="tx1"/>
            </w14:solidFill>
          </w14:textFill>
        </w:rPr>
        <w:t>充分发挥市场在资源配置中的重要作用，更好发挥政府作用，依法治水管水护水，加强科技创新和人才培养，大力推进体制机制创新，强化行业监督管理，提升行业服务能力和水平，加快构建系统完备的水治理体系。</w:t>
      </w:r>
    </w:p>
    <w:p w14:paraId="34EDDBA5">
      <w:pPr>
        <w:ind w:firstLine="643"/>
        <w:rPr>
          <w:color w:val="000000" w:themeColor="text1"/>
          <w14:textFill>
            <w14:solidFill>
              <w14:schemeClr w14:val="tx1"/>
            </w14:solidFill>
          </w14:textFill>
        </w:rPr>
      </w:pPr>
      <w:r>
        <w:rPr>
          <w:b/>
          <w:bCs/>
          <w:color w:val="000000" w:themeColor="text1"/>
          <w14:textFill>
            <w14:solidFill>
              <w14:schemeClr w14:val="tx1"/>
            </w14:solidFill>
          </w14:textFill>
        </w:rPr>
        <w:t>以人为本，保障民生。</w:t>
      </w:r>
      <w:r>
        <w:rPr>
          <w:color w:val="000000" w:themeColor="text1"/>
          <w14:textFill>
            <w14:solidFill>
              <w14:schemeClr w14:val="tx1"/>
            </w14:solidFill>
          </w14:textFill>
        </w:rPr>
        <w:t>牢固树立以人民为中心的发展思想，把人民对美好生活的向往作为出发点和落脚点，加快解决民众最关心最直接最现实的饮水、防洪、生态环境等问题，提升水安全公共服务均等化水平，不断增强人民群众的获得感、幸福感、安全感。</w:t>
      </w:r>
    </w:p>
    <w:p w14:paraId="3874A959">
      <w:pPr>
        <w:pStyle w:val="45"/>
        <w:rPr>
          <w:color w:val="000000" w:themeColor="text1"/>
          <w14:textFill>
            <w14:solidFill>
              <w14:schemeClr w14:val="tx1"/>
            </w14:solidFill>
          </w14:textFill>
        </w:rPr>
      </w:pPr>
      <w:r>
        <w:rPr>
          <w:color w:val="000000" w:themeColor="text1"/>
          <w14:textFill>
            <w14:solidFill>
              <w14:schemeClr w14:val="tx1"/>
            </w14:solidFill>
          </w14:textFill>
        </w:rPr>
        <w:t>规划依据</w:t>
      </w:r>
    </w:p>
    <w:p w14:paraId="0603C5D1">
      <w:pPr>
        <w:ind w:firstLine="643"/>
        <w:rPr>
          <w:b/>
          <w:color w:val="000000" w:themeColor="text1"/>
          <w:szCs w:val="30"/>
          <w14:textFill>
            <w14:solidFill>
              <w14:schemeClr w14:val="tx1"/>
            </w14:solidFill>
          </w14:textFill>
        </w:rPr>
      </w:pPr>
      <w:r>
        <w:rPr>
          <w:b/>
          <w:color w:val="000000" w:themeColor="text1"/>
          <w:szCs w:val="30"/>
          <w14:textFill>
            <w14:solidFill>
              <w14:schemeClr w14:val="tx1"/>
            </w14:solidFill>
          </w14:textFill>
        </w:rPr>
        <w:t>1、法律法规</w:t>
      </w:r>
    </w:p>
    <w:p w14:paraId="72EB9900">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（1）《中华人民共和国水法》（2016年修正）</w:t>
      </w:r>
    </w:p>
    <w:p w14:paraId="2EE98D54">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（2）《中华人民共和国环境保护法》（2014年修正）</w:t>
      </w:r>
    </w:p>
    <w:p w14:paraId="0A157024">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（3）《中华人民共和国防洪法》（2016年修正）</w:t>
      </w:r>
    </w:p>
    <w:p w14:paraId="32090840">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（4）《中华人民共和国水土保持法》（2010年修正）</w:t>
      </w:r>
    </w:p>
    <w:p w14:paraId="79B21ECD">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（5）《中华人民共和国河道管理条例》（2017年修订）</w:t>
      </w:r>
    </w:p>
    <w:p w14:paraId="3A08A3A6">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（6）其他国家相关法律、法规</w:t>
      </w:r>
    </w:p>
    <w:p w14:paraId="201403FF">
      <w:pPr>
        <w:ind w:firstLine="643"/>
        <w:rPr>
          <w:b/>
          <w:color w:val="000000" w:themeColor="text1"/>
          <w:szCs w:val="30"/>
          <w14:textFill>
            <w14:solidFill>
              <w14:schemeClr w14:val="tx1"/>
            </w14:solidFill>
          </w14:textFill>
        </w:rPr>
      </w:pPr>
      <w:r>
        <w:rPr>
          <w:b/>
          <w:color w:val="000000" w:themeColor="text1"/>
          <w:szCs w:val="30"/>
          <w14:textFill>
            <w14:solidFill>
              <w14:schemeClr w14:val="tx1"/>
            </w14:solidFill>
          </w14:textFill>
        </w:rPr>
        <w:t>2、规范规程</w:t>
      </w:r>
    </w:p>
    <w:p w14:paraId="0887E722">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（1）《水资源规划规范》（GB/T51051-2014）</w:t>
      </w:r>
    </w:p>
    <w:p w14:paraId="3A58CEDC">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（2）《江河流域规划编制规程》（SL201-2015）</w:t>
      </w:r>
    </w:p>
    <w:p w14:paraId="36025535">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（3）其他相关规程、规范和技术标准</w:t>
      </w:r>
    </w:p>
    <w:p w14:paraId="23AD6C39">
      <w:pPr>
        <w:ind w:firstLine="643"/>
        <w:rPr>
          <w:b/>
          <w:color w:val="000000" w:themeColor="text1"/>
          <w:szCs w:val="30"/>
          <w14:textFill>
            <w14:solidFill>
              <w14:schemeClr w14:val="tx1"/>
            </w14:solidFill>
          </w14:textFill>
        </w:rPr>
      </w:pPr>
      <w:r>
        <w:rPr>
          <w:b/>
          <w:color w:val="000000" w:themeColor="text1"/>
          <w:szCs w:val="30"/>
          <w14:textFill>
            <w14:solidFill>
              <w14:schemeClr w14:val="tx1"/>
            </w14:solidFill>
          </w14:textFill>
        </w:rPr>
        <w:t>3、相关文件及技术报告</w:t>
      </w:r>
    </w:p>
    <w:p w14:paraId="6A90C373">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（1）《国务院办公厅关于保持基础设施领域补短板力度的指导意见》</w:t>
      </w:r>
    </w:p>
    <w:p w14:paraId="46404D76">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（2）《云南省水利厅关于贯彻落实水利部加快推进水利基础设施补短板的指导意见的通知》</w:t>
      </w:r>
    </w:p>
    <w:p w14:paraId="2E3DFD53">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（3）《云南省水利厅关于印发云南省“十四五”水安全保障规划编制工作方案的通知》（云水规计〔2020〕12号）</w:t>
      </w:r>
    </w:p>
    <w:p w14:paraId="4547C935">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（4）</w:t>
      </w:r>
      <w:r>
        <w:rPr>
          <w:rFonts w:hint="eastAsia"/>
          <w:color w:val="000000" w:themeColor="text1"/>
          <w:szCs w:val="30"/>
          <w14:textFill>
            <w14:solidFill>
              <w14:schemeClr w14:val="tx1"/>
            </w14:solidFill>
          </w14:textFill>
        </w:rPr>
        <w:t>《中共云南省委 云南省人民政府 关于加快兴水润滇工程建设的决定》（2021年10月10日）</w:t>
      </w:r>
    </w:p>
    <w:p w14:paraId="430EA145">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（5）《玉溪市水利发展规划（2016-2020年）》</w:t>
      </w:r>
    </w:p>
    <w:p w14:paraId="7D9589AB">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（6）《玉溪市易门县水利发展规划（2016-2020年）》</w:t>
      </w:r>
    </w:p>
    <w:p w14:paraId="198D3372">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（7）《玉溪市水资源综合规划》</w:t>
      </w:r>
    </w:p>
    <w:p w14:paraId="6B8DC71B">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（8）《玉溪市水资源公报》</w:t>
      </w:r>
    </w:p>
    <w:p w14:paraId="297F306E">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（9）《玉溪市全域现代化水网建设规划》</w:t>
      </w:r>
    </w:p>
    <w:p w14:paraId="302D350F">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（10）《玉溪市</w:t>
      </w:r>
      <w:r>
        <w:rPr>
          <w:rFonts w:hint="eastAsia"/>
          <w:color w:val="000000" w:themeColor="text1"/>
          <w:szCs w:val="30"/>
          <w14:textFill>
            <w14:solidFill>
              <w14:schemeClr w14:val="tx1"/>
            </w14:solidFill>
          </w14:textFill>
        </w:rPr>
        <w:t>“十四五”水 安 全 保 障 规 划</w:t>
      </w:r>
      <w:r>
        <w:rPr>
          <w:color w:val="000000" w:themeColor="text1"/>
          <w:szCs w:val="30"/>
          <w14:textFill>
            <w14:solidFill>
              <w14:schemeClr w14:val="tx1"/>
            </w14:solidFill>
          </w14:textFill>
        </w:rPr>
        <w:t>（2016-2020年）》</w:t>
      </w:r>
    </w:p>
    <w:p w14:paraId="537B0BC4">
      <w:pPr>
        <w:ind w:firstLine="640"/>
        <w:rPr>
          <w:color w:val="000000" w:themeColor="text1"/>
          <w14:textFill>
            <w14:solidFill>
              <w14:schemeClr w14:val="tx1"/>
            </w14:solidFill>
          </w14:textFill>
        </w:rPr>
      </w:pPr>
      <w:r>
        <w:rPr>
          <w:color w:val="000000" w:themeColor="text1"/>
          <w:szCs w:val="30"/>
          <w14:textFill>
            <w14:solidFill>
              <w14:schemeClr w14:val="tx1"/>
            </w14:solidFill>
          </w14:textFill>
        </w:rPr>
        <w:t>（11）其他相关专业规划</w:t>
      </w:r>
    </w:p>
    <w:p w14:paraId="5D8CB229">
      <w:pPr>
        <w:pStyle w:val="45"/>
        <w:rPr>
          <w:color w:val="000000" w:themeColor="text1"/>
          <w14:textFill>
            <w14:solidFill>
              <w14:schemeClr w14:val="tx1"/>
            </w14:solidFill>
          </w14:textFill>
        </w:rPr>
      </w:pPr>
      <w:bookmarkStart w:id="42" w:name="_Toc30161"/>
      <w:bookmarkStart w:id="43" w:name="_Toc5305"/>
      <w:r>
        <w:rPr>
          <w:color w:val="000000" w:themeColor="text1"/>
          <w14:textFill>
            <w14:solidFill>
              <w14:schemeClr w14:val="tx1"/>
            </w14:solidFill>
          </w14:textFill>
        </w:rPr>
        <w:t>规划水平年</w:t>
      </w:r>
      <w:bookmarkEnd w:id="41"/>
      <w:bookmarkEnd w:id="42"/>
      <w:bookmarkEnd w:id="43"/>
    </w:p>
    <w:p w14:paraId="140283AB">
      <w:pPr>
        <w:ind w:firstLine="640"/>
        <w:rPr>
          <w:color w:val="000000" w:themeColor="text1"/>
          <w14:textFill>
            <w14:solidFill>
              <w14:schemeClr w14:val="tx1"/>
            </w14:solidFill>
          </w14:textFill>
        </w:rPr>
      </w:pPr>
      <w:r>
        <w:rPr>
          <w:color w:val="000000" w:themeColor="text1"/>
          <w14:textFill>
            <w14:solidFill>
              <w14:schemeClr w14:val="tx1"/>
            </w14:solidFill>
          </w14:textFill>
        </w:rPr>
        <w:t>现状水平年：2020年；</w:t>
      </w:r>
    </w:p>
    <w:p w14:paraId="3E1AB021">
      <w:pPr>
        <w:ind w:firstLine="640"/>
        <w:rPr>
          <w:color w:val="000000" w:themeColor="text1"/>
          <w14:textFill>
            <w14:solidFill>
              <w14:schemeClr w14:val="tx1"/>
            </w14:solidFill>
          </w14:textFill>
        </w:rPr>
      </w:pPr>
      <w:r>
        <w:rPr>
          <w:color w:val="000000" w:themeColor="text1"/>
          <w14:textFill>
            <w14:solidFill>
              <w14:schemeClr w14:val="tx1"/>
            </w14:solidFill>
          </w14:textFill>
        </w:rPr>
        <w:t>规划水平年：2025年，重大战略展望2035年。</w:t>
      </w:r>
    </w:p>
    <w:p w14:paraId="5EE2E9BA">
      <w:pPr>
        <w:pStyle w:val="45"/>
        <w:rPr>
          <w:color w:val="000000" w:themeColor="text1"/>
          <w14:textFill>
            <w14:solidFill>
              <w14:schemeClr w14:val="tx1"/>
            </w14:solidFill>
          </w14:textFill>
        </w:rPr>
      </w:pPr>
      <w:bookmarkStart w:id="44" w:name="_Toc1666"/>
      <w:bookmarkStart w:id="45" w:name="_Toc24434"/>
      <w:bookmarkStart w:id="46" w:name="_Toc16280"/>
      <w:r>
        <w:rPr>
          <w:color w:val="000000" w:themeColor="text1"/>
          <w14:textFill>
            <w14:solidFill>
              <w14:schemeClr w14:val="tx1"/>
            </w14:solidFill>
          </w14:textFill>
        </w:rPr>
        <w:t>主要目标</w:t>
      </w:r>
      <w:bookmarkEnd w:id="44"/>
      <w:bookmarkEnd w:id="45"/>
      <w:bookmarkEnd w:id="46"/>
    </w:p>
    <w:p w14:paraId="009A071F">
      <w:pPr>
        <w:pStyle w:val="47"/>
        <w:rPr>
          <w:color w:val="000000" w:themeColor="text1"/>
          <w14:textFill>
            <w14:solidFill>
              <w14:schemeClr w14:val="tx1"/>
            </w14:solidFill>
          </w14:textFill>
        </w:rPr>
      </w:pPr>
      <w:r>
        <w:rPr>
          <w:color w:val="000000" w:themeColor="text1"/>
          <w14:textFill>
            <w14:solidFill>
              <w14:schemeClr w14:val="tx1"/>
            </w14:solidFill>
          </w14:textFill>
        </w:rPr>
        <w:t>初步工作目标</w:t>
      </w:r>
    </w:p>
    <w:p w14:paraId="4703E3E8">
      <w:pPr>
        <w:ind w:firstLine="640"/>
        <w:rPr>
          <w:color w:val="000000" w:themeColor="text1"/>
          <w14:textFill>
            <w14:solidFill>
              <w14:schemeClr w14:val="tx1"/>
            </w14:solidFill>
          </w14:textFill>
        </w:rPr>
      </w:pPr>
      <w:r>
        <w:rPr>
          <w:color w:val="000000" w:themeColor="text1"/>
          <w14:textFill>
            <w14:solidFill>
              <w14:schemeClr w14:val="tx1"/>
            </w14:solidFill>
          </w14:textFill>
        </w:rPr>
        <w:t>至“十四五”末，全县水利化程度力争达到80%，城乡供水保障能力进一步提高，2025年底全县农村供水总目标：集中供水率力争达到100%，自来水普及率力争达到100%；农田灌溉保证率力争达到65%以上，全县用水总量控制在0.86亿m³之内。“十四五”期间基本完成重点中小河流重要河段治理、完成小型病险水库及病险小坝塘除险加固和山洪灾害易发区预警预报系统建设；基本建成水资源优化配置和高效利用体系，中心城区饮用水源有效解决，城乡供水保证率显著提高，城乡居民饮水安全得到巩固提升，万元国内生产总值和万元工业增加值用水量明显降低，农田灌溉水有效利用系数提高到0.52以上；基本建成水资源保护和河道健康保障体系，主要河道水功能区水质明显改善，城镇供水水源地水质全面达标，重点区域水土流失得到有效治理，地下水超采基本遏制；基本建成有利于水利科学发展的制度体系，最严格的水资源管理制度基本建立，水利投入稳定增长机制进一步完善，有利于水资源节约和优化配置的水价形成机制基本建立，水利工程良性运行机制基本形成。</w:t>
      </w:r>
    </w:p>
    <w:p w14:paraId="74541571">
      <w:pPr>
        <w:pStyle w:val="47"/>
        <w:rPr>
          <w:color w:val="000000" w:themeColor="text1"/>
          <w14:textFill>
            <w14:solidFill>
              <w14:schemeClr w14:val="tx1"/>
            </w14:solidFill>
          </w14:textFill>
        </w:rPr>
      </w:pPr>
      <w:r>
        <w:rPr>
          <w:color w:val="000000" w:themeColor="text1"/>
          <w14:textFill>
            <w14:solidFill>
              <w14:schemeClr w14:val="tx1"/>
            </w14:solidFill>
          </w14:textFill>
        </w:rPr>
        <w:t>重点工作任务及措施打算</w:t>
      </w:r>
    </w:p>
    <w:p w14:paraId="4FAF7B5A">
      <w:pPr>
        <w:ind w:firstLine="643"/>
        <w:rPr>
          <w:color w:val="000000" w:themeColor="text1"/>
          <w14:textFill>
            <w14:solidFill>
              <w14:schemeClr w14:val="tx1"/>
            </w14:solidFill>
          </w14:textFill>
        </w:rPr>
      </w:pPr>
      <w:r>
        <w:rPr>
          <w:b/>
          <w:color w:val="000000" w:themeColor="text1"/>
          <w14:textFill>
            <w14:solidFill>
              <w14:schemeClr w14:val="tx1"/>
            </w14:solidFill>
          </w14:textFill>
        </w:rPr>
        <w:t>一是防洪抗旱减灾工作。</w:t>
      </w:r>
      <w:r>
        <w:rPr>
          <w:color w:val="000000" w:themeColor="text1"/>
          <w14:textFill>
            <w14:solidFill>
              <w14:schemeClr w14:val="tx1"/>
            </w14:solidFill>
          </w14:textFill>
        </w:rPr>
        <w:t>对洪涝灾害易发、保护区人口密集、保护对象重要的中小河流重点河段进行集中治理，从整体上提升全县防洪保障水平。中小河流治理优先安排洪涝灾害易发、保护区人口密集、保护对象重要的河流及河段，加固河岸，清淤疏浚，使治理河段基本达到国家防洪标准，重点推进绿汁江易门县上游段、扒河、贾姑河、浦贝河、白龙河、双龙河、绿汁大田河、三五大河等河道的治工作。加快苗茂河、冷水箐河、罗所银河麻箐等山洪沟治理；推进三五大河水闸病险水闸除险加固工程。到2025年，河道的防洪能力达到30年一遇，重要支流防洪标准达到20年一遇。重点沟渠排涝标准达到5～10年一遇，重点灌区排涝标准达到10年一遇。水库和水闸达到国家规定的防洪标准，全面降低病险率，中小河流重要河段防洪标准显著提高。</w:t>
      </w:r>
    </w:p>
    <w:p w14:paraId="79C6D5CF">
      <w:pPr>
        <w:ind w:firstLine="643"/>
        <w:rPr>
          <w:color w:val="000000" w:themeColor="text1"/>
          <w14:textFill>
            <w14:solidFill>
              <w14:schemeClr w14:val="tx1"/>
            </w14:solidFill>
          </w14:textFill>
        </w:rPr>
      </w:pPr>
      <w:r>
        <w:rPr>
          <w:b/>
          <w:color w:val="000000" w:themeColor="text1"/>
          <w14:textFill>
            <w14:solidFill>
              <w14:schemeClr w14:val="tx1"/>
            </w14:solidFill>
          </w14:textFill>
        </w:rPr>
        <w:t>二是农村水利工作。</w:t>
      </w:r>
      <w:r>
        <w:rPr>
          <w:color w:val="000000" w:themeColor="text1"/>
          <w14:textFill>
            <w14:solidFill>
              <w14:schemeClr w14:val="tx1"/>
            </w14:solidFill>
          </w14:textFill>
        </w:rPr>
        <w:t>通过巩固提升，逐步建立“从源头到龙头”的农村饮水工程建设和运行管护体系，提高全县农村饮水安全保障水平，使广大农村居民喝上更加方便、稳定和安全的饮用水。计划建设农村饮水安全保障工程169件，改善全县10.5万农村人口的饮水安全问题。进一步巩固小型病险水库除险加固成果，对2座中型水库、1座小（1）型水库和14座小（2）型水库进行病险水库除险加固，加快病险小坝塘除险加固步伐，尽快消除水库、坝塘安全隐患，恢复防洪库容，增强水资源调控能力，充分发挥水库工程效益。</w:t>
      </w:r>
    </w:p>
    <w:p w14:paraId="3430BABC">
      <w:pPr>
        <w:ind w:firstLine="643"/>
        <w:rPr>
          <w:color w:val="000000" w:themeColor="text1"/>
          <w14:textFill>
            <w14:solidFill>
              <w14:schemeClr w14:val="tx1"/>
            </w14:solidFill>
          </w14:textFill>
        </w:rPr>
      </w:pPr>
      <w:r>
        <w:rPr>
          <w:b/>
          <w:color w:val="000000" w:themeColor="text1"/>
          <w14:textFill>
            <w14:solidFill>
              <w14:schemeClr w14:val="tx1"/>
            </w14:solidFill>
          </w14:textFill>
        </w:rPr>
        <w:t>三是水资源开发利用方面。</w:t>
      </w:r>
      <w:r>
        <w:rPr>
          <w:color w:val="000000" w:themeColor="text1"/>
          <w14:textFill>
            <w14:solidFill>
              <w14:schemeClr w14:val="tx1"/>
            </w14:solidFill>
          </w14:textFill>
        </w:rPr>
        <w:t>基本建立城市应急水源保障体系，工农业用水基本得到保障。重点规划新建龙口坝水库、大谷厂水库应急提水工程2件，供水能力新增1.02万m³/天，新增供水人口3.2万人。</w:t>
      </w:r>
    </w:p>
    <w:p w14:paraId="6B58DA8F">
      <w:pPr>
        <w:ind w:firstLine="643"/>
        <w:rPr>
          <w:color w:val="000000" w:themeColor="text1"/>
          <w14:textFill>
            <w14:solidFill>
              <w14:schemeClr w14:val="tx1"/>
            </w14:solidFill>
          </w14:textFill>
        </w:rPr>
      </w:pPr>
      <w:r>
        <w:rPr>
          <w:b/>
          <w:color w:val="000000" w:themeColor="text1"/>
          <w14:textFill>
            <w14:solidFill>
              <w14:schemeClr w14:val="tx1"/>
            </w14:solidFill>
          </w14:textFill>
        </w:rPr>
        <w:t>四是水资源节约保护方面。</w:t>
      </w:r>
      <w:r>
        <w:rPr>
          <w:color w:val="000000" w:themeColor="text1"/>
          <w14:textFill>
            <w14:solidFill>
              <w14:schemeClr w14:val="tx1"/>
            </w14:solidFill>
          </w14:textFill>
        </w:rPr>
        <w:t>按照中央、省、市实行最严格水资源管理制度要求，到2025年，农田灌溉水有效利用系数提高到0.52以上，用水总量控制在0.86亿m³内。城镇污废水处理量、污水处理回用量、工业水重复利用率均要达到国家和省有关规定。超采地下水问题得到有效抑制，水资源开发利用方式更趋合理。同时积极争取县级相关部门支持，采用先进技术，大力发展废污水处理和中水回用，以做到水资源重复利用、循环使用，提高水资源的重复利用率。根据本指标“十三五”期间完成情况及“十四五”期间全面推行节水型社会建设保障体系，考虑节水水平越高后，万元工业增加值用水量下降将越困难， 2025年拟定“十四五”期末万元工业增加值用水量较2020年下降15%。</w:t>
      </w:r>
    </w:p>
    <w:p w14:paraId="2268FE51">
      <w:pPr>
        <w:ind w:firstLine="643"/>
        <w:rPr>
          <w:color w:val="000000" w:themeColor="text1"/>
          <w14:textFill>
            <w14:solidFill>
              <w14:schemeClr w14:val="tx1"/>
            </w14:solidFill>
          </w14:textFill>
        </w:rPr>
      </w:pPr>
      <w:r>
        <w:rPr>
          <w:b/>
          <w:color w:val="000000" w:themeColor="text1"/>
          <w14:textFill>
            <w14:solidFill>
              <w14:schemeClr w14:val="tx1"/>
            </w14:solidFill>
          </w14:textFill>
        </w:rPr>
        <w:t>五是水土保持与河湖生态修复方面。</w:t>
      </w:r>
      <w:r>
        <w:rPr>
          <w:color w:val="000000" w:themeColor="text1"/>
          <w14:textFill>
            <w14:solidFill>
              <w14:schemeClr w14:val="tx1"/>
            </w14:solidFill>
          </w14:textFill>
        </w:rPr>
        <w:t>到2025年，通过水土保持综合治理和实施生态修复，治理罗尹河、扒河、六街河等12件小流域坡耕地水土流失综合治理工程，水土流失面积45.6km²，预防治理水土流失面积28.56km²；治理绿汁江（易门段）、扒河、县苗茂水库库尾、岔河水库4条生态治理与修复工程，河道生态治理总长度93.61 km。</w:t>
      </w:r>
    </w:p>
    <w:p w14:paraId="0313CFEB">
      <w:pPr>
        <w:ind w:firstLine="643"/>
        <w:rPr>
          <w:color w:val="000000" w:themeColor="text1"/>
          <w14:textFill>
            <w14:solidFill>
              <w14:schemeClr w14:val="tx1"/>
            </w14:solidFill>
          </w14:textFill>
        </w:rPr>
      </w:pPr>
      <w:r>
        <w:rPr>
          <w:b/>
          <w:color w:val="000000" w:themeColor="text1"/>
          <w14:textFill>
            <w14:solidFill>
              <w14:schemeClr w14:val="tx1"/>
            </w14:solidFill>
          </w14:textFill>
        </w:rPr>
        <w:t>六是重点水源工程建设。</w:t>
      </w:r>
      <w:r>
        <w:rPr>
          <w:color w:val="000000" w:themeColor="text1"/>
          <w14:textFill>
            <w14:solidFill>
              <w14:schemeClr w14:val="tx1"/>
            </w14:solidFill>
          </w14:textFill>
        </w:rPr>
        <w:t xml:space="preserve">规划在“十四五”期间完成白龙水库、丰收水库、坡拖水库、大兴坝水库及螃蟹箐水库5件改扩建工程，规划新建羊角村水库工程；加快易门县全域现代化水网建设项目，整合水资源高效配置利用；推进大谷厂水库连通工程建设，构建“水库相连、水系相通”的大水城空间格局，形成布局合理、生态良好，循环通畅、蓄泄兼筹、丰枯调剂、余缺互补，优化配置、高效利用的现代水网。 </w:t>
      </w:r>
    </w:p>
    <w:p w14:paraId="0E3808BF">
      <w:pPr>
        <w:ind w:firstLine="643"/>
        <w:rPr>
          <w:color w:val="000000" w:themeColor="text1"/>
          <w14:textFill>
            <w14:solidFill>
              <w14:schemeClr w14:val="tx1"/>
            </w14:solidFill>
          </w14:textFill>
        </w:rPr>
      </w:pPr>
      <w:r>
        <w:rPr>
          <w:b/>
          <w:color w:val="000000" w:themeColor="text1"/>
          <w14:textFill>
            <w14:solidFill>
              <w14:schemeClr w14:val="tx1"/>
            </w14:solidFill>
          </w14:textFill>
        </w:rPr>
        <w:t>七是水利法制建设方面。</w:t>
      </w:r>
      <w:r>
        <w:rPr>
          <w:color w:val="000000" w:themeColor="text1"/>
          <w14:textFill>
            <w14:solidFill>
              <w14:schemeClr w14:val="tx1"/>
            </w14:solidFill>
          </w14:textFill>
        </w:rPr>
        <w:t>继续加强水行政执法，加强水利立法工作，建立健全地方水法规体系。全面推进水利综合执法，依法查处违反取用水管理、水资源保护、水土保持、河道管理、水工程管理等领域的违法行为。严格执行水资源论证、取水许可、水工程建设规划同意书、洪水影响评价、水土保持方案等制度。加强江河湖库管理，严禁建设项目非法侵占江河湖库水域。加强防汛抗旱督查工作制度化建设。健全预防为主、预防与调处相结合的水事纠纷调处机制，完善应急预案。深化水行政许可审批制度改革。推进水利政务公开。强化水利规划对涉水活动的管理和约束作用。按照“一库一策，一河一策、一渠一策”的要求，认真制定工作方案，并加强河库渠的源头治理、系统治理、生态治理，提高流域综合治理的针对性和有效性。</w:t>
      </w:r>
    </w:p>
    <w:p w14:paraId="0925DE05">
      <w:pPr>
        <w:ind w:firstLine="643"/>
        <w:rPr>
          <w:color w:val="000000" w:themeColor="text1"/>
          <w14:textFill>
            <w14:solidFill>
              <w14:schemeClr w14:val="tx1"/>
            </w14:solidFill>
          </w14:textFill>
        </w:rPr>
      </w:pPr>
      <w:r>
        <w:rPr>
          <w:b/>
          <w:color w:val="000000" w:themeColor="text1"/>
          <w14:textFill>
            <w14:solidFill>
              <w14:schemeClr w14:val="tx1"/>
            </w14:solidFill>
          </w14:textFill>
        </w:rPr>
        <w:t>八是水利行业能力建设方面。</w:t>
      </w:r>
      <w:r>
        <w:rPr>
          <w:color w:val="000000" w:themeColor="text1"/>
          <w14:textFill>
            <w14:solidFill>
              <w14:schemeClr w14:val="tx1"/>
            </w14:solidFill>
          </w14:textFill>
        </w:rPr>
        <w:t>强化基层水利服务体系，加强</w:t>
      </w:r>
      <w:r>
        <w:rPr>
          <w:rFonts w:hint="eastAsia"/>
          <w:color w:val="000000" w:themeColor="text1"/>
          <w14:textFill>
            <w14:solidFill>
              <w14:schemeClr w14:val="tx1"/>
            </w14:solidFill>
          </w14:textFill>
        </w:rPr>
        <w:t>水行政执法</w:t>
      </w:r>
      <w:r>
        <w:rPr>
          <w:color w:val="000000" w:themeColor="text1"/>
          <w14:textFill>
            <w14:solidFill>
              <w14:schemeClr w14:val="tx1"/>
            </w14:solidFill>
          </w14:textFill>
        </w:rPr>
        <w:t>队伍建设，全面提高基层水利服务能力。健全完善乡（街道）水利服务机构。建立专业化与社会化相结合的防汛应急抢险救援队伍，着力推进县、乡（街道）两级防汛抗旱服务组织建设，健全防汛应急抢险物资储备体系。继续加强水文、信息化等基础设施建设，完善全县防汛抗旱决策指挥和预警预报系统。</w:t>
      </w:r>
    </w:p>
    <w:p w14:paraId="2EA7F4F0">
      <w:pPr>
        <w:ind w:firstLine="643"/>
        <w:rPr>
          <w:color w:val="000000" w:themeColor="text1"/>
          <w14:textFill>
            <w14:solidFill>
              <w14:schemeClr w14:val="tx1"/>
            </w14:solidFill>
          </w14:textFill>
        </w:rPr>
      </w:pPr>
      <w:r>
        <w:rPr>
          <w:b/>
          <w:color w:val="000000" w:themeColor="text1"/>
          <w14:textFill>
            <w14:solidFill>
              <w14:schemeClr w14:val="tx1"/>
            </w14:solidFill>
          </w14:textFill>
        </w:rPr>
        <w:t>九是水利改革与管理方面。</w:t>
      </w:r>
      <w:r>
        <w:rPr>
          <w:color w:val="000000" w:themeColor="text1"/>
          <w14:textFill>
            <w14:solidFill>
              <w14:schemeClr w14:val="tx1"/>
            </w14:solidFill>
          </w14:textFill>
        </w:rPr>
        <w:t>深化水利改革，落实最严格的水资源管理制度，逐步建立健全与市场经济相适应的水利管理体制。开展水量分配工作，不断完善水污染管理、投融资、水价形成、水利工程产权制度、水利工程运行管理等方面的改革。力争在“十四五”期间使水价改革形成以农业终端水价改革为核心，以末级渠系节水改造为基础，充分利用农业用水权改革、农业用水户组织建设作辅助，逐步建立政府扶持节水改造奖补、水价补贴和合理的农业水价分担机制。</w:t>
      </w:r>
    </w:p>
    <w:p w14:paraId="7809124C">
      <w:pPr>
        <w:ind w:firstLine="643"/>
        <w:rPr>
          <w:color w:val="000000" w:themeColor="text1"/>
          <w14:textFill>
            <w14:solidFill>
              <w14:schemeClr w14:val="tx1"/>
            </w14:solidFill>
          </w14:textFill>
        </w:rPr>
      </w:pPr>
      <w:r>
        <w:rPr>
          <w:b/>
          <w:color w:val="000000" w:themeColor="text1"/>
          <w14:textFill>
            <w14:solidFill>
              <w14:schemeClr w14:val="tx1"/>
            </w14:solidFill>
          </w14:textFill>
        </w:rPr>
        <w:t>十是“河长制”工作方面。</w:t>
      </w:r>
      <w:r>
        <w:rPr>
          <w:color w:val="000000" w:themeColor="text1"/>
          <w14:textFill>
            <w14:solidFill>
              <w14:schemeClr w14:val="tx1"/>
            </w14:solidFill>
          </w14:textFill>
        </w:rPr>
        <w:t>紧紧围绕“河畅、水清、岸绿、景美”总体目标，明确重点任务，制定明确的行动方案，全面推进各项行动。督促各级河（湖）长制办公室充分发挥统筹协调、组织实施、督促检查、推动落实等重要作用，着力形成齐抓共管、群策群力的工作格局。结合乡村振兴战略规划，乡村人居环境整治，积极争取有关项目资金支持，加大经费投入力度，为河（湖）长制工作提供必要的经费保障。通过典型引路、示范引领，进一步鼓励先进、鞭策落后， 达到以点带面、带动全局的效果，推动河（湖）长制工作决策部署落到实处。</w:t>
      </w:r>
    </w:p>
    <w:p w14:paraId="07BE5E18">
      <w:pPr>
        <w:ind w:firstLine="640"/>
        <w:rPr>
          <w:color w:val="000000" w:themeColor="text1"/>
          <w14:textFill>
            <w14:solidFill>
              <w14:schemeClr w14:val="tx1"/>
            </w14:solidFill>
          </w14:textFill>
        </w:rPr>
      </w:pPr>
      <w:r>
        <w:rPr>
          <w:color w:val="000000" w:themeColor="text1"/>
          <w14:textFill>
            <w14:solidFill>
              <w14:schemeClr w14:val="tx1"/>
            </w14:solidFill>
          </w14:textFill>
        </w:rPr>
        <w:t>根据易门县“十四五”水安全保障规划主要目标，并参考《玉溪市“十四五”水安全保障规划》提出指标，初步拟定了易门县“十四五”水安全保障规划主要指标。确定的主要指标及指标现状值和“十四五”目标值见表2-1。</w:t>
      </w:r>
    </w:p>
    <w:p w14:paraId="66308822">
      <w:pPr>
        <w:widowControl/>
        <w:adjustRightInd/>
        <w:snapToGrid/>
        <w:spacing w:line="24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44224109">
      <w:pPr>
        <w:pStyle w:val="51"/>
        <w:rPr>
          <w:color w:val="000000" w:themeColor="text1"/>
          <w14:textFill>
            <w14:solidFill>
              <w14:schemeClr w14:val="tx1"/>
            </w14:solidFill>
          </w14:textFill>
        </w:rPr>
      </w:pPr>
      <w:r>
        <w:rPr>
          <w:color w:val="000000" w:themeColor="text1"/>
          <w14:textFill>
            <w14:solidFill>
              <w14:schemeClr w14:val="tx1"/>
            </w14:solidFill>
          </w14:textFill>
        </w:rPr>
        <w:t>表2-1  易门县“十四五”水安全保障规划主要指标表</w:t>
      </w:r>
    </w:p>
    <w:tbl>
      <w:tblPr>
        <w:tblStyle w:val="24"/>
        <w:tblW w:w="9328" w:type="dxa"/>
        <w:tblInd w:w="0" w:type="dxa"/>
        <w:tblLayout w:type="fixed"/>
        <w:tblCellMar>
          <w:top w:w="0" w:type="dxa"/>
          <w:left w:w="0" w:type="dxa"/>
          <w:bottom w:w="0" w:type="dxa"/>
          <w:right w:w="0" w:type="dxa"/>
        </w:tblCellMar>
      </w:tblPr>
      <w:tblGrid>
        <w:gridCol w:w="3738"/>
        <w:gridCol w:w="1034"/>
        <w:gridCol w:w="1015"/>
        <w:gridCol w:w="2354"/>
        <w:gridCol w:w="1187"/>
      </w:tblGrid>
      <w:tr w14:paraId="4824BCB1">
        <w:tblPrEx>
          <w:tblCellMar>
            <w:top w:w="0" w:type="dxa"/>
            <w:left w:w="0" w:type="dxa"/>
            <w:bottom w:w="0" w:type="dxa"/>
            <w:right w:w="0" w:type="dxa"/>
          </w:tblCellMar>
        </w:tblPrEx>
        <w:trPr>
          <w:trHeight w:val="397" w:hRule="exact"/>
        </w:trPr>
        <w:tc>
          <w:tcPr>
            <w:tcW w:w="37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224B3B">
            <w:pPr>
              <w:widowControl/>
              <w:spacing w:line="240" w:lineRule="auto"/>
              <w:ind w:firstLine="0" w:firstLineChars="0"/>
              <w:jc w:val="center"/>
              <w:rPr>
                <w:rFonts w:cs="宋体"/>
                <w:b/>
                <w:bCs/>
                <w:color w:val="000000" w:themeColor="text1"/>
                <w:kern w:val="0"/>
                <w:sz w:val="24"/>
                <w14:textFill>
                  <w14:solidFill>
                    <w14:schemeClr w14:val="tx1"/>
                  </w14:solidFill>
                </w14:textFill>
              </w:rPr>
            </w:pPr>
            <w:r>
              <w:rPr>
                <w:rFonts w:cs="宋体"/>
                <w:b/>
                <w:bCs/>
                <w:color w:val="000000" w:themeColor="text1"/>
                <w:kern w:val="0"/>
                <w:sz w:val="24"/>
                <w14:textFill>
                  <w14:solidFill>
                    <w14:schemeClr w14:val="tx1"/>
                  </w14:solidFill>
                </w14:textFill>
              </w:rPr>
              <w:t>水利发展主要指标项</w:t>
            </w:r>
          </w:p>
        </w:tc>
        <w:tc>
          <w:tcPr>
            <w:tcW w:w="103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1963B">
            <w:pPr>
              <w:widowControl/>
              <w:spacing w:line="240" w:lineRule="auto"/>
              <w:ind w:firstLine="0" w:firstLineChars="0"/>
              <w:jc w:val="center"/>
              <w:rPr>
                <w:rFonts w:cs="宋体"/>
                <w:b/>
                <w:bCs/>
                <w:color w:val="000000" w:themeColor="text1"/>
                <w:kern w:val="0"/>
                <w:sz w:val="24"/>
                <w14:textFill>
                  <w14:solidFill>
                    <w14:schemeClr w14:val="tx1"/>
                  </w14:solidFill>
                </w14:textFill>
              </w:rPr>
            </w:pPr>
            <w:r>
              <w:rPr>
                <w:rFonts w:cs="宋体"/>
                <w:b/>
                <w:bCs/>
                <w:color w:val="000000" w:themeColor="text1"/>
                <w:kern w:val="0"/>
                <w:sz w:val="24"/>
                <w14:textFill>
                  <w14:solidFill>
                    <w14:schemeClr w14:val="tx1"/>
                  </w14:solidFill>
                </w14:textFill>
              </w:rPr>
              <w:t>单位</w:t>
            </w:r>
          </w:p>
        </w:tc>
        <w:tc>
          <w:tcPr>
            <w:tcW w:w="101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66AD2">
            <w:pPr>
              <w:widowControl/>
              <w:spacing w:line="240" w:lineRule="auto"/>
              <w:ind w:firstLine="0" w:firstLineChars="0"/>
              <w:jc w:val="center"/>
              <w:rPr>
                <w:rFonts w:cs="宋体"/>
                <w:b/>
                <w:bCs/>
                <w:color w:val="000000" w:themeColor="text1"/>
                <w:kern w:val="0"/>
                <w:sz w:val="24"/>
                <w14:textFill>
                  <w14:solidFill>
                    <w14:schemeClr w14:val="tx1"/>
                  </w14:solidFill>
                </w14:textFill>
              </w:rPr>
            </w:pPr>
            <w:r>
              <w:rPr>
                <w:rFonts w:cs="宋体"/>
                <w:b/>
                <w:bCs/>
                <w:color w:val="000000" w:themeColor="text1"/>
                <w:kern w:val="0"/>
                <w:sz w:val="24"/>
                <w14:textFill>
                  <w14:solidFill>
                    <w14:schemeClr w14:val="tx1"/>
                  </w14:solidFill>
                </w14:textFill>
              </w:rPr>
              <w:t>现状</w:t>
            </w:r>
          </w:p>
        </w:tc>
        <w:tc>
          <w:tcPr>
            <w:tcW w:w="235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BD37D">
            <w:pPr>
              <w:widowControl/>
              <w:spacing w:line="240" w:lineRule="auto"/>
              <w:ind w:firstLine="0" w:firstLineChars="0"/>
              <w:jc w:val="center"/>
              <w:rPr>
                <w:rFonts w:eastAsia="等线" w:cs="宋体"/>
                <w:b/>
                <w:bCs/>
                <w:color w:val="000000" w:themeColor="text1"/>
                <w:kern w:val="0"/>
                <w:sz w:val="24"/>
                <w14:textFill>
                  <w14:solidFill>
                    <w14:schemeClr w14:val="tx1"/>
                  </w14:solidFill>
                </w14:textFill>
              </w:rPr>
            </w:pPr>
            <w:r>
              <w:rPr>
                <w:rFonts w:eastAsia="等线" w:cs="宋体"/>
                <w:b/>
                <w:bCs/>
                <w:color w:val="000000" w:themeColor="text1"/>
                <w:kern w:val="0"/>
                <w:sz w:val="24"/>
                <w14:textFill>
                  <w14:solidFill>
                    <w14:schemeClr w14:val="tx1"/>
                  </w14:solidFill>
                </w14:textFill>
              </w:rPr>
              <w:t>“</w:t>
            </w:r>
            <w:r>
              <w:rPr>
                <w:rFonts w:cs="宋体"/>
                <w:b/>
                <w:bCs/>
                <w:color w:val="000000" w:themeColor="text1"/>
                <w:kern w:val="0"/>
                <w:sz w:val="24"/>
                <w14:textFill>
                  <w14:solidFill>
                    <w14:schemeClr w14:val="tx1"/>
                  </w14:solidFill>
                </w14:textFill>
              </w:rPr>
              <w:t>十四五</w:t>
            </w:r>
            <w:r>
              <w:rPr>
                <w:rFonts w:eastAsia="等线" w:cs="宋体"/>
                <w:b/>
                <w:bCs/>
                <w:color w:val="000000" w:themeColor="text1"/>
                <w:kern w:val="0"/>
                <w:sz w:val="24"/>
                <w14:textFill>
                  <w14:solidFill>
                    <w14:schemeClr w14:val="tx1"/>
                  </w14:solidFill>
                </w14:textFill>
              </w:rPr>
              <w:t>”</w:t>
            </w:r>
            <w:r>
              <w:rPr>
                <w:rFonts w:cs="宋体"/>
                <w:b/>
                <w:bCs/>
                <w:color w:val="000000" w:themeColor="text1"/>
                <w:kern w:val="0"/>
                <w:sz w:val="24"/>
                <w14:textFill>
                  <w14:solidFill>
                    <w14:schemeClr w14:val="tx1"/>
                  </w14:solidFill>
                </w14:textFill>
              </w:rPr>
              <w:t>规划目标</w:t>
            </w:r>
          </w:p>
        </w:tc>
        <w:tc>
          <w:tcPr>
            <w:tcW w:w="11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89489">
            <w:pPr>
              <w:widowControl/>
              <w:spacing w:line="240" w:lineRule="auto"/>
              <w:ind w:firstLine="0" w:firstLineChars="0"/>
              <w:jc w:val="center"/>
              <w:rPr>
                <w:rFonts w:cs="宋体"/>
                <w:b/>
                <w:bCs/>
                <w:color w:val="000000" w:themeColor="text1"/>
                <w:kern w:val="0"/>
                <w:sz w:val="24"/>
                <w14:textFill>
                  <w14:solidFill>
                    <w14:schemeClr w14:val="tx1"/>
                  </w14:solidFill>
                </w14:textFill>
              </w:rPr>
            </w:pPr>
            <w:r>
              <w:rPr>
                <w:rFonts w:cs="宋体"/>
                <w:b/>
                <w:bCs/>
                <w:color w:val="000000" w:themeColor="text1"/>
                <w:kern w:val="0"/>
                <w:sz w:val="24"/>
                <w14:textFill>
                  <w14:solidFill>
                    <w14:schemeClr w14:val="tx1"/>
                  </w14:solidFill>
                </w14:textFill>
              </w:rPr>
              <w:t>备注</w:t>
            </w:r>
          </w:p>
        </w:tc>
      </w:tr>
      <w:tr w14:paraId="2E187E1E">
        <w:tblPrEx>
          <w:tblCellMar>
            <w:top w:w="0" w:type="dxa"/>
            <w:left w:w="0" w:type="dxa"/>
            <w:bottom w:w="0" w:type="dxa"/>
            <w:right w:w="0" w:type="dxa"/>
          </w:tblCellMar>
        </w:tblPrEx>
        <w:trPr>
          <w:trHeight w:val="397" w:hRule="exact"/>
        </w:trPr>
        <w:tc>
          <w:tcPr>
            <w:tcW w:w="3738"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033FE0">
            <w:pPr>
              <w:widowControl/>
              <w:spacing w:line="240" w:lineRule="auto"/>
              <w:ind w:firstLine="0" w:firstLineChars="0"/>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1.</w:t>
            </w:r>
            <w:r>
              <w:rPr>
                <w:rFonts w:cs="宋体"/>
                <w:color w:val="000000" w:themeColor="text1"/>
                <w:kern w:val="0"/>
                <w:sz w:val="24"/>
                <w14:textFill>
                  <w14:solidFill>
                    <w14:schemeClr w14:val="tx1"/>
                  </w14:solidFill>
                </w14:textFill>
              </w:rPr>
              <w:t>江河堤防达标率</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AFEB2">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F62F8">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60</w:t>
            </w:r>
          </w:p>
        </w:tc>
        <w:tc>
          <w:tcPr>
            <w:tcW w:w="23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A7B6F">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70</w:t>
            </w:r>
          </w:p>
        </w:tc>
        <w:tc>
          <w:tcPr>
            <w:tcW w:w="11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DAAC6">
            <w:pPr>
              <w:widowControl/>
              <w:spacing w:line="240" w:lineRule="auto"/>
              <w:ind w:firstLine="0" w:firstLineChars="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预期性</w:t>
            </w:r>
          </w:p>
        </w:tc>
      </w:tr>
      <w:tr w14:paraId="1143D222">
        <w:tblPrEx>
          <w:tblCellMar>
            <w:top w:w="0" w:type="dxa"/>
            <w:left w:w="0" w:type="dxa"/>
            <w:bottom w:w="0" w:type="dxa"/>
            <w:right w:w="0" w:type="dxa"/>
          </w:tblCellMar>
        </w:tblPrEx>
        <w:trPr>
          <w:trHeight w:val="397" w:hRule="exact"/>
        </w:trPr>
        <w:tc>
          <w:tcPr>
            <w:tcW w:w="3738"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7E4AE3">
            <w:pPr>
              <w:widowControl/>
              <w:spacing w:line="240" w:lineRule="auto"/>
              <w:ind w:firstLine="0" w:firstLineChars="0"/>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2.</w:t>
            </w:r>
            <w:r>
              <w:rPr>
                <w:rFonts w:cs="宋体"/>
                <w:color w:val="000000" w:themeColor="text1"/>
                <w:kern w:val="0"/>
                <w:sz w:val="24"/>
                <w14:textFill>
                  <w14:solidFill>
                    <w14:schemeClr w14:val="tx1"/>
                  </w14:solidFill>
                </w14:textFill>
              </w:rPr>
              <w:t>用水总量控制</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33993">
            <w:pPr>
              <w:widowControl/>
              <w:spacing w:line="240" w:lineRule="auto"/>
              <w:ind w:firstLine="0" w:firstLineChars="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亿m³</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001C4">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0.75</w:t>
            </w:r>
          </w:p>
        </w:tc>
        <w:tc>
          <w:tcPr>
            <w:tcW w:w="23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5D3B0">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0.86</w:t>
            </w:r>
          </w:p>
        </w:tc>
        <w:tc>
          <w:tcPr>
            <w:tcW w:w="11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8DB6A">
            <w:pPr>
              <w:widowControl/>
              <w:spacing w:line="240" w:lineRule="auto"/>
              <w:ind w:firstLine="0" w:firstLineChars="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约束性</w:t>
            </w:r>
          </w:p>
        </w:tc>
      </w:tr>
      <w:tr w14:paraId="516E5704">
        <w:tblPrEx>
          <w:tblCellMar>
            <w:top w:w="0" w:type="dxa"/>
            <w:left w:w="0" w:type="dxa"/>
            <w:bottom w:w="0" w:type="dxa"/>
            <w:right w:w="0" w:type="dxa"/>
          </w:tblCellMar>
        </w:tblPrEx>
        <w:trPr>
          <w:trHeight w:val="397" w:hRule="exact"/>
        </w:trPr>
        <w:tc>
          <w:tcPr>
            <w:tcW w:w="3738"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F838B8">
            <w:pPr>
              <w:widowControl/>
              <w:spacing w:line="240" w:lineRule="auto"/>
              <w:ind w:firstLine="0" w:firstLineChars="0"/>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3.</w:t>
            </w:r>
            <w:r>
              <w:rPr>
                <w:rFonts w:cs="宋体"/>
                <w:color w:val="000000" w:themeColor="text1"/>
                <w:kern w:val="0"/>
                <w:sz w:val="24"/>
                <w14:textFill>
                  <w14:solidFill>
                    <w14:schemeClr w14:val="tx1"/>
                  </w14:solidFill>
                </w14:textFill>
              </w:rPr>
              <w:t>万元</w:t>
            </w:r>
            <w:r>
              <w:rPr>
                <w:rFonts w:eastAsia="等线" w:cs="宋体"/>
                <w:color w:val="000000" w:themeColor="text1"/>
                <w:kern w:val="0"/>
                <w:sz w:val="24"/>
                <w14:textFill>
                  <w14:solidFill>
                    <w14:schemeClr w14:val="tx1"/>
                  </w14:solidFill>
                </w14:textFill>
              </w:rPr>
              <w:t>GDP</w:t>
            </w:r>
            <w:r>
              <w:rPr>
                <w:rFonts w:cs="宋体"/>
                <w:color w:val="000000" w:themeColor="text1"/>
                <w:kern w:val="0"/>
                <w:sz w:val="24"/>
                <w14:textFill>
                  <w14:solidFill>
                    <w14:schemeClr w14:val="tx1"/>
                  </w14:solidFill>
                </w14:textFill>
              </w:rPr>
              <w:t>用水量下降率</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0C091">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DF53C">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38</w:t>
            </w:r>
          </w:p>
        </w:tc>
        <w:tc>
          <w:tcPr>
            <w:tcW w:w="23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12BCC">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15</w:t>
            </w:r>
          </w:p>
        </w:tc>
        <w:tc>
          <w:tcPr>
            <w:tcW w:w="11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6DFB8">
            <w:pPr>
              <w:widowControl/>
              <w:spacing w:line="240" w:lineRule="auto"/>
              <w:ind w:firstLine="0" w:firstLineChars="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约束性</w:t>
            </w:r>
          </w:p>
        </w:tc>
      </w:tr>
      <w:tr w14:paraId="72EF503B">
        <w:tblPrEx>
          <w:tblCellMar>
            <w:top w:w="0" w:type="dxa"/>
            <w:left w:w="0" w:type="dxa"/>
            <w:bottom w:w="0" w:type="dxa"/>
            <w:right w:w="0" w:type="dxa"/>
          </w:tblCellMar>
        </w:tblPrEx>
        <w:trPr>
          <w:trHeight w:val="397" w:hRule="exact"/>
        </w:trPr>
        <w:tc>
          <w:tcPr>
            <w:tcW w:w="3738"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8395E1">
            <w:pPr>
              <w:widowControl/>
              <w:spacing w:line="240" w:lineRule="auto"/>
              <w:ind w:firstLine="0" w:firstLineChars="0"/>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其中万元工业增加值用水下降率</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D0509">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23AF0">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79.3</w:t>
            </w:r>
          </w:p>
        </w:tc>
        <w:tc>
          <w:tcPr>
            <w:tcW w:w="23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35758">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15</w:t>
            </w:r>
          </w:p>
        </w:tc>
        <w:tc>
          <w:tcPr>
            <w:tcW w:w="11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C0C83">
            <w:pPr>
              <w:widowControl/>
              <w:spacing w:line="240" w:lineRule="auto"/>
              <w:ind w:firstLine="0" w:firstLineChars="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约束性</w:t>
            </w:r>
          </w:p>
        </w:tc>
      </w:tr>
      <w:tr w14:paraId="476DE8DC">
        <w:tblPrEx>
          <w:tblCellMar>
            <w:top w:w="0" w:type="dxa"/>
            <w:left w:w="0" w:type="dxa"/>
            <w:bottom w:w="0" w:type="dxa"/>
            <w:right w:w="0" w:type="dxa"/>
          </w:tblCellMar>
        </w:tblPrEx>
        <w:trPr>
          <w:trHeight w:val="397" w:hRule="exact"/>
        </w:trPr>
        <w:tc>
          <w:tcPr>
            <w:tcW w:w="3738"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5EC047">
            <w:pPr>
              <w:widowControl/>
              <w:spacing w:line="240" w:lineRule="auto"/>
              <w:ind w:firstLine="0" w:firstLineChars="0"/>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4.</w:t>
            </w:r>
            <w:r>
              <w:rPr>
                <w:rFonts w:cs="宋体"/>
                <w:color w:val="000000" w:themeColor="text1"/>
                <w:kern w:val="0"/>
                <w:sz w:val="24"/>
                <w14:textFill>
                  <w14:solidFill>
                    <w14:schemeClr w14:val="tx1"/>
                  </w14:solidFill>
                </w14:textFill>
              </w:rPr>
              <w:t>农田灌溉水有效利用系数</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01EE2">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E5112">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0.518</w:t>
            </w:r>
          </w:p>
        </w:tc>
        <w:tc>
          <w:tcPr>
            <w:tcW w:w="23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93CCD">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0.52</w:t>
            </w:r>
          </w:p>
        </w:tc>
        <w:tc>
          <w:tcPr>
            <w:tcW w:w="11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62D77">
            <w:pPr>
              <w:widowControl/>
              <w:spacing w:line="240" w:lineRule="auto"/>
              <w:ind w:firstLine="0" w:firstLineChars="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预期性</w:t>
            </w:r>
          </w:p>
        </w:tc>
      </w:tr>
      <w:tr w14:paraId="1B60C95D">
        <w:tblPrEx>
          <w:tblCellMar>
            <w:top w:w="0" w:type="dxa"/>
            <w:left w:w="0" w:type="dxa"/>
            <w:bottom w:w="0" w:type="dxa"/>
            <w:right w:w="0" w:type="dxa"/>
          </w:tblCellMar>
        </w:tblPrEx>
        <w:trPr>
          <w:trHeight w:val="397" w:hRule="exact"/>
        </w:trPr>
        <w:tc>
          <w:tcPr>
            <w:tcW w:w="3738"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BB68B8">
            <w:pPr>
              <w:widowControl/>
              <w:spacing w:line="240" w:lineRule="auto"/>
              <w:ind w:firstLine="0" w:firstLineChars="0"/>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5.</w:t>
            </w:r>
            <w:r>
              <w:rPr>
                <w:rFonts w:cs="宋体"/>
                <w:color w:val="000000" w:themeColor="text1"/>
                <w:kern w:val="0"/>
                <w:sz w:val="24"/>
                <w14:textFill>
                  <w14:solidFill>
                    <w14:schemeClr w14:val="tx1"/>
                  </w14:solidFill>
                </w14:textFill>
              </w:rPr>
              <w:t>水利设施新增供水能力</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30173">
            <w:pPr>
              <w:widowControl/>
              <w:spacing w:line="240" w:lineRule="auto"/>
              <w:ind w:firstLine="0" w:firstLineChars="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亿m³</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A9BE4">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0.35</w:t>
            </w:r>
          </w:p>
        </w:tc>
        <w:tc>
          <w:tcPr>
            <w:tcW w:w="23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8BD445">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0.37</w:t>
            </w:r>
          </w:p>
        </w:tc>
        <w:tc>
          <w:tcPr>
            <w:tcW w:w="11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8D29C">
            <w:pPr>
              <w:widowControl/>
              <w:spacing w:line="240" w:lineRule="auto"/>
              <w:ind w:firstLine="0" w:firstLineChars="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预期性</w:t>
            </w:r>
          </w:p>
        </w:tc>
      </w:tr>
      <w:tr w14:paraId="5D906AB1">
        <w:tblPrEx>
          <w:tblCellMar>
            <w:top w:w="0" w:type="dxa"/>
            <w:left w:w="0" w:type="dxa"/>
            <w:bottom w:w="0" w:type="dxa"/>
            <w:right w:w="0" w:type="dxa"/>
          </w:tblCellMar>
        </w:tblPrEx>
        <w:trPr>
          <w:trHeight w:val="397" w:hRule="exact"/>
        </w:trPr>
        <w:tc>
          <w:tcPr>
            <w:tcW w:w="3738"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DFBFA1">
            <w:pPr>
              <w:widowControl/>
              <w:spacing w:line="240" w:lineRule="auto"/>
              <w:ind w:firstLine="0" w:firstLineChars="0"/>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6.</w:t>
            </w:r>
            <w:r>
              <w:rPr>
                <w:rFonts w:cs="宋体"/>
                <w:color w:val="000000" w:themeColor="text1"/>
                <w:kern w:val="0"/>
                <w:sz w:val="24"/>
                <w14:textFill>
                  <w14:solidFill>
                    <w14:schemeClr w14:val="tx1"/>
                  </w14:solidFill>
                </w14:textFill>
              </w:rPr>
              <w:t>新增蓄水库容</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38598">
            <w:pPr>
              <w:widowControl/>
              <w:spacing w:line="240" w:lineRule="auto"/>
              <w:ind w:firstLine="0" w:firstLineChars="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亿m³</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01FFB">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0.13</w:t>
            </w:r>
          </w:p>
        </w:tc>
        <w:tc>
          <w:tcPr>
            <w:tcW w:w="23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2BC60">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0.15</w:t>
            </w:r>
          </w:p>
        </w:tc>
        <w:tc>
          <w:tcPr>
            <w:tcW w:w="11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8F34A">
            <w:pPr>
              <w:widowControl/>
              <w:spacing w:line="240" w:lineRule="auto"/>
              <w:ind w:firstLine="0" w:firstLineChars="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预期性</w:t>
            </w:r>
          </w:p>
        </w:tc>
      </w:tr>
      <w:tr w14:paraId="1604289D">
        <w:tblPrEx>
          <w:tblCellMar>
            <w:top w:w="0" w:type="dxa"/>
            <w:left w:w="0" w:type="dxa"/>
            <w:bottom w:w="0" w:type="dxa"/>
            <w:right w:w="0" w:type="dxa"/>
          </w:tblCellMar>
        </w:tblPrEx>
        <w:trPr>
          <w:trHeight w:val="397" w:hRule="exact"/>
        </w:trPr>
        <w:tc>
          <w:tcPr>
            <w:tcW w:w="3738"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194ACF">
            <w:pPr>
              <w:widowControl/>
              <w:spacing w:line="240" w:lineRule="auto"/>
              <w:ind w:firstLine="0" w:firstLineChars="0"/>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7.</w:t>
            </w:r>
            <w:r>
              <w:rPr>
                <w:rFonts w:cs="宋体"/>
                <w:color w:val="000000" w:themeColor="text1"/>
                <w:kern w:val="0"/>
                <w:sz w:val="24"/>
                <w14:textFill>
                  <w14:solidFill>
                    <w14:schemeClr w14:val="tx1"/>
                  </w14:solidFill>
                </w14:textFill>
              </w:rPr>
              <w:t>农村自来水普及率</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EC5F2E">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06DBE">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100</w:t>
            </w:r>
          </w:p>
        </w:tc>
        <w:tc>
          <w:tcPr>
            <w:tcW w:w="23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EA9B4">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100</w:t>
            </w:r>
          </w:p>
        </w:tc>
        <w:tc>
          <w:tcPr>
            <w:tcW w:w="11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8B240">
            <w:pPr>
              <w:widowControl/>
              <w:spacing w:line="240" w:lineRule="auto"/>
              <w:ind w:firstLine="0" w:firstLineChars="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预期性</w:t>
            </w:r>
          </w:p>
        </w:tc>
      </w:tr>
      <w:tr w14:paraId="37D23891">
        <w:tblPrEx>
          <w:tblCellMar>
            <w:top w:w="0" w:type="dxa"/>
            <w:left w:w="0" w:type="dxa"/>
            <w:bottom w:w="0" w:type="dxa"/>
            <w:right w:w="0" w:type="dxa"/>
          </w:tblCellMar>
        </w:tblPrEx>
        <w:trPr>
          <w:trHeight w:val="397" w:hRule="exact"/>
        </w:trPr>
        <w:tc>
          <w:tcPr>
            <w:tcW w:w="3738"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E8099B">
            <w:pPr>
              <w:widowControl/>
              <w:spacing w:line="240" w:lineRule="auto"/>
              <w:ind w:firstLine="0" w:firstLineChars="0"/>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8.</w:t>
            </w:r>
            <w:r>
              <w:rPr>
                <w:rFonts w:cs="宋体"/>
                <w:color w:val="000000" w:themeColor="text1"/>
                <w:kern w:val="0"/>
                <w:sz w:val="24"/>
                <w14:textFill>
                  <w14:solidFill>
                    <w14:schemeClr w14:val="tx1"/>
                  </w14:solidFill>
                </w14:textFill>
              </w:rPr>
              <w:t>水土保持率</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EB5BE">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0ADAE">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65</w:t>
            </w:r>
          </w:p>
        </w:tc>
        <w:tc>
          <w:tcPr>
            <w:tcW w:w="23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0A1EB">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75</w:t>
            </w:r>
          </w:p>
        </w:tc>
        <w:tc>
          <w:tcPr>
            <w:tcW w:w="11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36E35">
            <w:pPr>
              <w:widowControl/>
              <w:spacing w:line="240" w:lineRule="auto"/>
              <w:ind w:firstLine="0" w:firstLineChars="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预期性</w:t>
            </w:r>
          </w:p>
        </w:tc>
      </w:tr>
      <w:tr w14:paraId="509259C6">
        <w:tblPrEx>
          <w:tblCellMar>
            <w:top w:w="0" w:type="dxa"/>
            <w:left w:w="0" w:type="dxa"/>
            <w:bottom w:w="0" w:type="dxa"/>
            <w:right w:w="0" w:type="dxa"/>
          </w:tblCellMar>
        </w:tblPrEx>
        <w:trPr>
          <w:trHeight w:val="397" w:hRule="exact"/>
        </w:trPr>
        <w:tc>
          <w:tcPr>
            <w:tcW w:w="3738"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30C243">
            <w:pPr>
              <w:widowControl/>
              <w:spacing w:line="240" w:lineRule="auto"/>
              <w:ind w:firstLine="0" w:firstLineChars="0"/>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9.</w:t>
            </w:r>
            <w:r>
              <w:rPr>
                <w:rFonts w:cs="宋体"/>
                <w:color w:val="000000" w:themeColor="text1"/>
                <w:kern w:val="0"/>
                <w:sz w:val="24"/>
                <w14:textFill>
                  <w14:solidFill>
                    <w14:schemeClr w14:val="tx1"/>
                  </w14:solidFill>
                </w14:textFill>
              </w:rPr>
              <w:t>重要河湖水域岸线监管率</w:t>
            </w:r>
          </w:p>
        </w:tc>
        <w:tc>
          <w:tcPr>
            <w:tcW w:w="10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CAA6B">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w:t>
            </w:r>
          </w:p>
        </w:tc>
        <w:tc>
          <w:tcPr>
            <w:tcW w:w="10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9B1F9">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w:t>
            </w:r>
          </w:p>
        </w:tc>
        <w:tc>
          <w:tcPr>
            <w:tcW w:w="23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5B025">
            <w:pPr>
              <w:widowControl/>
              <w:spacing w:line="240" w:lineRule="auto"/>
              <w:ind w:firstLine="0" w:firstLineChars="0"/>
              <w:jc w:val="center"/>
              <w:rPr>
                <w:rFonts w:eastAsia="等线" w:cs="宋体"/>
                <w:color w:val="000000" w:themeColor="text1"/>
                <w:kern w:val="0"/>
                <w:sz w:val="24"/>
                <w14:textFill>
                  <w14:solidFill>
                    <w14:schemeClr w14:val="tx1"/>
                  </w14:solidFill>
                </w14:textFill>
              </w:rPr>
            </w:pPr>
            <w:r>
              <w:rPr>
                <w:rFonts w:eastAsia="等线" w:cs="宋体"/>
                <w:color w:val="000000" w:themeColor="text1"/>
                <w:kern w:val="0"/>
                <w:sz w:val="24"/>
                <w14:textFill>
                  <w14:solidFill>
                    <w14:schemeClr w14:val="tx1"/>
                  </w14:solidFill>
                </w14:textFill>
              </w:rPr>
              <w:t>80</w:t>
            </w:r>
          </w:p>
        </w:tc>
        <w:tc>
          <w:tcPr>
            <w:tcW w:w="11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1A3CF">
            <w:pPr>
              <w:widowControl/>
              <w:spacing w:line="240" w:lineRule="auto"/>
              <w:ind w:firstLine="0" w:firstLineChars="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约束性</w:t>
            </w:r>
          </w:p>
        </w:tc>
      </w:tr>
      <w:tr w14:paraId="7F7A7841">
        <w:tblPrEx>
          <w:tblCellMar>
            <w:top w:w="0" w:type="dxa"/>
            <w:left w:w="0" w:type="dxa"/>
            <w:bottom w:w="0" w:type="dxa"/>
            <w:right w:w="0" w:type="dxa"/>
          </w:tblCellMar>
        </w:tblPrEx>
        <w:trPr>
          <w:trHeight w:val="397" w:hRule="exact"/>
        </w:trPr>
        <w:tc>
          <w:tcPr>
            <w:tcW w:w="9328"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B70353">
            <w:pPr>
              <w:widowControl/>
              <w:spacing w:line="240" w:lineRule="auto"/>
              <w:ind w:firstLine="0" w:firstLineChars="0"/>
              <w:jc w:val="left"/>
              <w:rPr>
                <w:rFonts w:cs="宋体"/>
                <w:color w:val="000000" w:themeColor="text1"/>
                <w:kern w:val="0"/>
                <w:sz w:val="22"/>
                <w:szCs w:val="22"/>
                <w14:textFill>
                  <w14:solidFill>
                    <w14:schemeClr w14:val="tx1"/>
                  </w14:solidFill>
                </w14:textFill>
              </w:rPr>
            </w:pPr>
            <w:r>
              <w:rPr>
                <w:rFonts w:cs="宋体"/>
                <w:color w:val="000000" w:themeColor="text1"/>
                <w:kern w:val="0"/>
                <w:sz w:val="22"/>
                <w:szCs w:val="22"/>
                <w14:textFill>
                  <w14:solidFill>
                    <w14:schemeClr w14:val="tx1"/>
                  </w14:solidFill>
                </w14:textFill>
              </w:rPr>
              <w:t>注：现状为2020年数据。</w:t>
            </w:r>
          </w:p>
        </w:tc>
      </w:tr>
    </w:tbl>
    <w:p w14:paraId="6AA28B9D">
      <w:pPr>
        <w:pStyle w:val="45"/>
        <w:rPr>
          <w:color w:val="000000" w:themeColor="text1"/>
          <w14:textFill>
            <w14:solidFill>
              <w14:schemeClr w14:val="tx1"/>
            </w14:solidFill>
          </w14:textFill>
        </w:rPr>
      </w:pPr>
      <w:bookmarkStart w:id="47" w:name="_Toc16320"/>
      <w:bookmarkStart w:id="48" w:name="_Toc32566"/>
      <w:bookmarkStart w:id="49" w:name="_Toc19221"/>
      <w:r>
        <w:rPr>
          <w:color w:val="000000" w:themeColor="text1"/>
          <w14:textFill>
            <w14:solidFill>
              <w14:schemeClr w14:val="tx1"/>
            </w14:solidFill>
          </w14:textFill>
        </w:rPr>
        <w:t>发展布局</w:t>
      </w:r>
      <w:bookmarkEnd w:id="47"/>
      <w:bookmarkEnd w:id="48"/>
      <w:bookmarkEnd w:id="49"/>
    </w:p>
    <w:p w14:paraId="38A3C664">
      <w:pPr>
        <w:ind w:firstLine="640"/>
        <w:rPr>
          <w:color w:val="000000" w:themeColor="text1"/>
          <w:szCs w:val="30"/>
          <w14:textFill>
            <w14:solidFill>
              <w14:schemeClr w14:val="tx1"/>
            </w14:solidFill>
          </w14:textFill>
        </w:rPr>
      </w:pPr>
      <w:bookmarkStart w:id="50" w:name="_Toc26752"/>
      <w:r>
        <w:rPr>
          <w:color w:val="000000" w:themeColor="text1"/>
          <w:szCs w:val="30"/>
          <w14:textFill>
            <w14:solidFill>
              <w14:schemeClr w14:val="tx1"/>
            </w14:solidFill>
          </w14:textFill>
        </w:rPr>
        <w:t>玉溪市要坚定不移地推进“五网建设”的总部署，科学构建“四纵四横”“五水统筹”“三网联动”“三片融合”的“44533”全域现代化水网体系。从全域、全流程、全生命周期分析，玉溪市组织编制《玉溪市全域现代化水网规划》（2020~2035年），系统谋划解决未来15年期间涉水项目的发展问题，构建出玉溪现代化水网的发展总体规划蓝图。以全域、全流程、全生命周期“三全”理念为统领，以“三湖两江”为水网骨干，积极推进河（湖）长制、最严格水资源管理、重点水源工程、民生水利、防汛抗旱、水利改革等重点工作，加快形成布局合理、时空均衡的区域性梯次水网，着力构建“四纵四横”“五水统筹”“三网联动”“三片融合”的“44533”全域现代化水网体系，系统解决全市水资源供需矛盾问题。</w:t>
      </w:r>
    </w:p>
    <w:p w14:paraId="276FF92D">
      <w:pPr>
        <w:ind w:firstLine="640"/>
        <w:rPr>
          <w:color w:val="000000" w:themeColor="text1"/>
          <w14:textFill>
            <w14:solidFill>
              <w14:schemeClr w14:val="tx1"/>
            </w14:solidFill>
          </w14:textFill>
        </w:rPr>
      </w:pPr>
      <w:r>
        <w:rPr>
          <w:color w:val="000000" w:themeColor="text1"/>
          <w:szCs w:val="30"/>
          <w14:textFill>
            <w14:solidFill>
              <w14:schemeClr w14:val="tx1"/>
            </w14:solidFill>
          </w14:textFill>
        </w:rPr>
        <w:t>《玉溪市易门县“十四五”水安全保障规划》（2021～2025年）作为全域现代化水网规划的重要组成部分，衔接、紧扣“44533”全域现代化水网体系，规划布局服从总体规划，全面推进滇中引水二期易门段及其配套工程、规划实施一批水系连通工程和引调水工程，加大重点水库建设力度，逐步提高区域水资源的统一调度和跨区域配置能力。</w:t>
      </w:r>
    </w:p>
    <w:p w14:paraId="1C9718DB">
      <w:pPr>
        <w:ind w:firstLine="640"/>
        <w:rPr>
          <w:color w:val="000000" w:themeColor="text1"/>
          <w14:textFill>
            <w14:solidFill>
              <w14:schemeClr w14:val="tx1"/>
            </w14:solidFill>
          </w14:textFill>
        </w:rPr>
      </w:pPr>
      <w:r>
        <w:rPr>
          <w:color w:val="000000" w:themeColor="text1"/>
          <w:szCs w:val="30"/>
          <w14:textFill>
            <w14:solidFill>
              <w14:schemeClr w14:val="tx1"/>
            </w14:solidFill>
          </w14:textFill>
        </w:rPr>
        <w:t>围绕易门县“十四五”水安全保障规划</w:t>
      </w:r>
      <w:r>
        <w:rPr>
          <w:b/>
          <w:color w:val="000000" w:themeColor="text1"/>
          <w:szCs w:val="30"/>
          <w14:textFill>
            <w14:solidFill>
              <w14:schemeClr w14:val="tx1"/>
            </w14:solidFill>
          </w14:textFill>
        </w:rPr>
        <w:t>“四大板块”</w:t>
      </w:r>
      <w:r>
        <w:rPr>
          <w:color w:val="000000" w:themeColor="text1"/>
          <w:szCs w:val="30"/>
          <w14:textFill>
            <w14:solidFill>
              <w14:schemeClr w14:val="tx1"/>
            </w14:solidFill>
          </w14:textFill>
        </w:rPr>
        <w:t>，即</w:t>
      </w:r>
      <w:r>
        <w:rPr>
          <w:b/>
          <w:color w:val="000000" w:themeColor="text1"/>
          <w:szCs w:val="30"/>
          <w14:textFill>
            <w14:solidFill>
              <w14:schemeClr w14:val="tx1"/>
            </w14:solidFill>
          </w14:textFill>
        </w:rPr>
        <w:t>防洪、供水、水生态</w:t>
      </w:r>
      <w:r>
        <w:rPr>
          <w:color w:val="000000" w:themeColor="text1"/>
          <w:szCs w:val="30"/>
          <w14:textFill>
            <w14:solidFill>
              <w14:schemeClr w14:val="tx1"/>
            </w14:solidFill>
          </w14:textFill>
        </w:rPr>
        <w:t>和</w:t>
      </w:r>
      <w:r>
        <w:rPr>
          <w:b/>
          <w:color w:val="000000" w:themeColor="text1"/>
          <w:szCs w:val="30"/>
          <w14:textFill>
            <w14:solidFill>
              <w14:schemeClr w14:val="tx1"/>
            </w14:solidFill>
          </w14:textFill>
        </w:rPr>
        <w:t>水利信息化建设</w:t>
      </w:r>
      <w:r>
        <w:rPr>
          <w:color w:val="000000" w:themeColor="text1"/>
          <w:szCs w:val="30"/>
          <w14:textFill>
            <w14:solidFill>
              <w14:schemeClr w14:val="tx1"/>
            </w14:solidFill>
          </w14:textFill>
        </w:rPr>
        <w:t>总体规划，系统构建易门县水安全保障</w:t>
      </w:r>
      <w:r>
        <w:rPr>
          <w:b/>
          <w:color w:val="000000" w:themeColor="text1"/>
          <w:szCs w:val="30"/>
          <w14:textFill>
            <w14:solidFill>
              <w14:schemeClr w14:val="tx1"/>
            </w14:solidFill>
          </w14:textFill>
        </w:rPr>
        <w:t>“九大体系”</w:t>
      </w:r>
      <w:r>
        <w:rPr>
          <w:color w:val="000000" w:themeColor="text1"/>
          <w:szCs w:val="30"/>
          <w14:textFill>
            <w14:solidFill>
              <w14:schemeClr w14:val="tx1"/>
            </w14:solidFill>
          </w14:textFill>
        </w:rPr>
        <w:t>。通过转变治水思路、补齐发展短板、强化监督管理、提升能力水平及规划一批供水保障能力建设工程、防洪提升工程、主要河湖及区域生态环境治理保护修复工程、水利信息化建设工程，来逐步扭转玉溪市水利建设明显滞后的局面，</w:t>
      </w:r>
      <w:r>
        <w:rPr>
          <w:b/>
          <w:color w:val="000000" w:themeColor="text1"/>
          <w:szCs w:val="30"/>
          <w14:textFill>
            <w14:solidFill>
              <w14:schemeClr w14:val="tx1"/>
            </w14:solidFill>
          </w14:textFill>
        </w:rPr>
        <w:t>建设与国民经济发展相适应的节水型社会保障体系、江河安澜的防洪体系、空间均衡的水资源配置体系，基本构建与乡村振兴战略同步的城乡一体的供水灌溉体系、重大战略的保障体系，初步构建调控精准的智慧水利体系、水治理能力现代化体系，基本恢复水清岸绿的水生态体系，进一步完善水利工程安全保障体系，</w:t>
      </w:r>
      <w:r>
        <w:rPr>
          <w:color w:val="000000" w:themeColor="text1"/>
          <w:szCs w:val="30"/>
          <w14:textFill>
            <w14:solidFill>
              <w14:schemeClr w14:val="tx1"/>
            </w14:solidFill>
          </w14:textFill>
        </w:rPr>
        <w:t>满足人民群众对防洪保安全、优质水资源、健康水生态、宜居水环境、先进水文化的需求，不断推进易门县水治理体系和治理能力现代化，为推动易门县实现高质量跨越式发展提供水安全保障和支撑，</w:t>
      </w:r>
      <w:r>
        <w:rPr>
          <w:b/>
          <w:color w:val="000000" w:themeColor="text1"/>
          <w:szCs w:val="30"/>
          <w14:textFill>
            <w14:solidFill>
              <w14:schemeClr w14:val="tx1"/>
            </w14:solidFill>
          </w14:textFill>
        </w:rPr>
        <w:t>最终构建易门县现代化水安全保障体系</w:t>
      </w:r>
      <w:r>
        <w:rPr>
          <w:color w:val="000000" w:themeColor="text1"/>
          <w:szCs w:val="30"/>
          <w14:textFill>
            <w14:solidFill>
              <w14:schemeClr w14:val="tx1"/>
            </w14:solidFill>
          </w14:textFill>
        </w:rPr>
        <w:t>。</w:t>
      </w:r>
    </w:p>
    <w:p w14:paraId="464AD9A3">
      <w:pPr>
        <w:ind w:firstLine="720"/>
        <w:rPr>
          <w:rFonts w:eastAsia="黑体" w:cs="黑体"/>
          <w:color w:val="000000" w:themeColor="text1"/>
          <w:sz w:val="36"/>
          <w:szCs w:val="36"/>
          <w14:textFill>
            <w14:solidFill>
              <w14:schemeClr w14:val="tx1"/>
            </w14:solidFill>
          </w14:textFill>
        </w:rPr>
      </w:pPr>
      <w:r>
        <w:rPr>
          <w:rFonts w:eastAsia="黑体" w:cs="黑体"/>
          <w:color w:val="000000" w:themeColor="text1"/>
          <w:sz w:val="36"/>
          <w:szCs w:val="36"/>
          <w14:textFill>
            <w14:solidFill>
              <w14:schemeClr w14:val="tx1"/>
            </w14:solidFill>
          </w14:textFill>
        </w:rPr>
        <w:br w:type="page"/>
      </w:r>
    </w:p>
    <w:p w14:paraId="0A7540E3">
      <w:pPr>
        <w:pStyle w:val="43"/>
        <w:rPr>
          <w:color w:val="000000" w:themeColor="text1"/>
          <w14:textFill>
            <w14:solidFill>
              <w14:schemeClr w14:val="tx1"/>
            </w14:solidFill>
          </w14:textFill>
        </w:rPr>
      </w:pPr>
      <w:bookmarkStart w:id="51" w:name="_Toc1165"/>
      <w:bookmarkStart w:id="52" w:name="_Toc1002"/>
      <w:r>
        <w:rPr>
          <w:color w:val="000000" w:themeColor="text1"/>
          <w14:textFill>
            <w14:solidFill>
              <w14:schemeClr w14:val="tx1"/>
            </w14:solidFill>
          </w14:textFill>
        </w:rPr>
        <w:t>以水定需，全面推进节水型社会建设</w:t>
      </w:r>
      <w:bookmarkEnd w:id="50"/>
      <w:bookmarkEnd w:id="51"/>
      <w:bookmarkEnd w:id="52"/>
    </w:p>
    <w:p w14:paraId="1CE3DB05">
      <w:pPr>
        <w:ind w:firstLine="640"/>
        <w:rPr>
          <w:color w:val="000000" w:themeColor="text1"/>
          <w14:textFill>
            <w14:solidFill>
              <w14:schemeClr w14:val="tx1"/>
            </w14:solidFill>
          </w14:textFill>
        </w:rPr>
      </w:pPr>
      <w:bookmarkStart w:id="53" w:name="_Toc24416"/>
      <w:r>
        <w:rPr>
          <w:color w:val="000000" w:themeColor="text1"/>
          <w:szCs w:val="30"/>
          <w14:textFill>
            <w14:solidFill>
              <w14:schemeClr w14:val="tx1"/>
            </w14:solidFill>
          </w14:textFill>
        </w:rPr>
        <w:t>“十四五”期间，易门县提出用水总量控制指标为0.86亿m³，农田灌溉水有效利用系数提高到0.52以上，</w:t>
      </w:r>
      <w:r>
        <w:rPr>
          <w:color w:val="000000" w:themeColor="text1"/>
          <w14:textFill>
            <w14:solidFill>
              <w14:schemeClr w14:val="tx1"/>
            </w14:solidFill>
          </w14:textFill>
        </w:rPr>
        <w:t>坚持节水优先，强化水资源刚性约束，按照“挖潜力、强骨干”的思路，围绕经济社会对供水安全保障的需求，积极构建以滇中引水为骨干、以中小型水源工程为支撑、以水系连通工程为补充、以重大农业节水工程为先导的骨干水利工程体系。同时推进城乡一体化供水，开展灌排渠系现代化改造，加强已建蓄引提调工程更新改造，提升供水能力，完善配套供水管网工程设施，充分发挥各类已建水库的供水功能，全面提升水资源配置和城乡供水安全保障能力。</w:t>
      </w:r>
    </w:p>
    <w:p w14:paraId="5DC0718C">
      <w:pPr>
        <w:pStyle w:val="45"/>
        <w:rPr>
          <w:color w:val="000000" w:themeColor="text1"/>
          <w14:textFill>
            <w14:solidFill>
              <w14:schemeClr w14:val="tx1"/>
            </w14:solidFill>
          </w14:textFill>
        </w:rPr>
      </w:pPr>
      <w:bookmarkStart w:id="54" w:name="_Toc16687"/>
      <w:bookmarkStart w:id="55" w:name="_Toc21689"/>
      <w:r>
        <w:rPr>
          <w:color w:val="000000" w:themeColor="text1"/>
          <w14:textFill>
            <w14:solidFill>
              <w14:schemeClr w14:val="tx1"/>
            </w14:solidFill>
          </w14:textFill>
        </w:rPr>
        <w:t>落实最严格的水资源管理制度</w:t>
      </w:r>
      <w:bookmarkEnd w:id="53"/>
      <w:bookmarkEnd w:id="54"/>
      <w:bookmarkEnd w:id="55"/>
    </w:p>
    <w:p w14:paraId="07FBCE49">
      <w:pPr>
        <w:ind w:firstLine="640"/>
        <w:rPr>
          <w:color w:val="000000" w:themeColor="text1"/>
          <w14:textFill>
            <w14:solidFill>
              <w14:schemeClr w14:val="tx1"/>
            </w14:solidFill>
          </w14:textFill>
        </w:rPr>
      </w:pPr>
      <w:bookmarkStart w:id="56" w:name="_Toc7098"/>
      <w:r>
        <w:rPr>
          <w:color w:val="000000" w:themeColor="text1"/>
          <w14:textFill>
            <w14:solidFill>
              <w14:schemeClr w14:val="tx1"/>
            </w14:solidFill>
          </w14:textFill>
        </w:rPr>
        <w:t>最严格的水资源管理制度的主要内容是围绕水资源配置、节约和保护，建立并实施水资源管理三条红线制度。</w:t>
      </w:r>
    </w:p>
    <w:p w14:paraId="7DB4ED60">
      <w:pPr>
        <w:ind w:firstLine="640"/>
        <w:rPr>
          <w:color w:val="000000" w:themeColor="text1"/>
          <w14:textFill>
            <w14:solidFill>
              <w14:schemeClr w14:val="tx1"/>
            </w14:solidFill>
          </w14:textFill>
        </w:rPr>
      </w:pPr>
      <w:r>
        <w:rPr>
          <w:color w:val="000000" w:themeColor="text1"/>
          <w14:textFill>
            <w14:solidFill>
              <w14:schemeClr w14:val="tx1"/>
            </w14:solidFill>
          </w14:textFill>
        </w:rPr>
        <w:t>（1）加强水资源开发利用控制红线，严格实行用水总量控制。严格水资源开发利用规划管理，落实建设项目水资源论证制度，严格实行取用水总量控制制度，严格实施取水许可制度，严格实行水资源有偿使用制度，严格地下水管理和保护，加快水资源配置工程建设。</w:t>
      </w:r>
    </w:p>
    <w:p w14:paraId="042A38AB">
      <w:pPr>
        <w:ind w:firstLine="640"/>
        <w:rPr>
          <w:color w:val="000000" w:themeColor="text1"/>
          <w14:textFill>
            <w14:solidFill>
              <w14:schemeClr w14:val="tx1"/>
            </w14:solidFill>
          </w14:textFill>
        </w:rPr>
      </w:pPr>
      <w:r>
        <w:rPr>
          <w:color w:val="000000" w:themeColor="text1"/>
          <w14:textFill>
            <w14:solidFill>
              <w14:schemeClr w14:val="tx1"/>
            </w14:solidFill>
          </w14:textFill>
        </w:rPr>
        <w:t>（2）加强用水效率控制红线管理，全面推进节水型社会建设。全面加强节约用水管理，强化用水定额管理，加快推进节水技术改造。</w:t>
      </w:r>
    </w:p>
    <w:p w14:paraId="26B5EAB5">
      <w:pPr>
        <w:ind w:firstLine="640"/>
        <w:rPr>
          <w:color w:val="000000" w:themeColor="text1"/>
          <w14:textFill>
            <w14:solidFill>
              <w14:schemeClr w14:val="tx1"/>
            </w14:solidFill>
          </w14:textFill>
        </w:rPr>
      </w:pPr>
      <w:r>
        <w:rPr>
          <w:color w:val="000000" w:themeColor="text1"/>
          <w14:textFill>
            <w14:solidFill>
              <w14:schemeClr w14:val="tx1"/>
            </w14:solidFill>
          </w14:textFill>
        </w:rPr>
        <w:t>（3）加强水功能区限制纳污红线管理，严格控制入河排污总量。严格水功能区监督管理，加强饮水水源保护，推进水生态系统保护和修复。</w:t>
      </w:r>
    </w:p>
    <w:p w14:paraId="093AAA8A">
      <w:pPr>
        <w:pStyle w:val="45"/>
        <w:rPr>
          <w:color w:val="000000" w:themeColor="text1"/>
          <w14:textFill>
            <w14:solidFill>
              <w14:schemeClr w14:val="tx1"/>
            </w14:solidFill>
          </w14:textFill>
        </w:rPr>
      </w:pPr>
      <w:bookmarkStart w:id="57" w:name="_Toc2261"/>
      <w:bookmarkStart w:id="58" w:name="_Toc30105"/>
      <w:r>
        <w:rPr>
          <w:color w:val="000000" w:themeColor="text1"/>
          <w14:textFill>
            <w14:solidFill>
              <w14:schemeClr w14:val="tx1"/>
            </w14:solidFill>
          </w14:textFill>
        </w:rPr>
        <w:t>大力推进重点领域节水</w:t>
      </w:r>
      <w:bookmarkEnd w:id="56"/>
      <w:bookmarkEnd w:id="57"/>
      <w:bookmarkEnd w:id="58"/>
    </w:p>
    <w:p w14:paraId="40C26A6B">
      <w:pPr>
        <w:ind w:firstLine="640"/>
        <w:rPr>
          <w:color w:val="000000" w:themeColor="text1"/>
          <w14:textFill>
            <w14:solidFill>
              <w14:schemeClr w14:val="tx1"/>
            </w14:solidFill>
          </w14:textFill>
        </w:rPr>
      </w:pPr>
      <w:bookmarkStart w:id="59" w:name="_Toc6187"/>
      <w:r>
        <w:rPr>
          <w:color w:val="000000" w:themeColor="text1"/>
          <w14:textFill>
            <w14:solidFill>
              <w14:schemeClr w14:val="tx1"/>
            </w14:solidFill>
          </w14:textFill>
        </w:rPr>
        <w:t>强化农业节水增效，推进工业节水减排、加强城镇节水降损，全面提升水资源利用效率和效益。农业节水以灌区续建配套节水改造和灌区现代化建设为工作重点；工业节水以废水深度处理和达标再利用为工作重点；城镇节水以合理布局再生水管网，普及推广节水器具为工作重点；各地选取若干用水单位进行健全计量监控设施、严格监督管理和内部节水管理等监督管理。</w:t>
      </w:r>
    </w:p>
    <w:p w14:paraId="04C4F923">
      <w:pPr>
        <w:pStyle w:val="47"/>
        <w:rPr>
          <w:color w:val="000000" w:themeColor="text1"/>
          <w14:textFill>
            <w14:solidFill>
              <w14:schemeClr w14:val="tx1"/>
            </w14:solidFill>
          </w14:textFill>
        </w:rPr>
      </w:pPr>
      <w:r>
        <w:rPr>
          <w:color w:val="000000" w:themeColor="text1"/>
          <w14:textFill>
            <w14:solidFill>
              <w14:schemeClr w14:val="tx1"/>
            </w14:solidFill>
          </w14:textFill>
        </w:rPr>
        <w:t>推进农业节水增效</w:t>
      </w:r>
    </w:p>
    <w:p w14:paraId="33E4624E">
      <w:pPr>
        <w:ind w:firstLine="640"/>
        <w:rPr>
          <w:color w:val="000000" w:themeColor="text1"/>
          <w14:textFill>
            <w14:solidFill>
              <w14:schemeClr w14:val="tx1"/>
            </w14:solidFill>
          </w14:textFill>
        </w:rPr>
      </w:pPr>
      <w:r>
        <w:rPr>
          <w:color w:val="000000" w:themeColor="text1"/>
          <w14:textFill>
            <w14:solidFill>
              <w14:schemeClr w14:val="tx1"/>
            </w14:solidFill>
          </w14:textFill>
        </w:rPr>
        <w:t>大力推行节水灌溉，在保证粮食安全、主要农产品有效供给、农业持续健康发展的前提下，严格控制农业用水总量，新增灌溉面积用水通过农业自身节约的水量解决。</w:t>
      </w:r>
    </w:p>
    <w:p w14:paraId="4DA32FC5">
      <w:pPr>
        <w:ind w:firstLine="640"/>
        <w:rPr>
          <w:color w:val="000000" w:themeColor="text1"/>
          <w14:textFill>
            <w14:solidFill>
              <w14:schemeClr w14:val="tx1"/>
            </w14:solidFill>
          </w14:textFill>
        </w:rPr>
      </w:pPr>
      <w:r>
        <w:rPr>
          <w:color w:val="000000" w:themeColor="text1"/>
          <w14:textFill>
            <w14:solidFill>
              <w14:schemeClr w14:val="tx1"/>
            </w14:solidFill>
          </w14:textFill>
        </w:rPr>
        <w:t>推进扒河中型灌区建设，利用岔河水库、大谷厂水库作为灌区水源点，改造渠首工程6处，改造渠道304 km，新建管道226 km，改造管道6.8 km，新建排水沟6 km，改造排水沟21 km，新增灌溉面积0.45万亩，改善灌溉面积4.98万亩，改善排涝面积0.40万亩，新增供水能力1026万m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，年新增节水能力864万m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，年新增粮食生产能力615万kg，工程投资49478万元。</w:t>
      </w:r>
    </w:p>
    <w:p w14:paraId="02A498F6">
      <w:pPr>
        <w:ind w:firstLine="64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w:t>
      </w:r>
      <w:r>
        <w:rPr>
          <w:color w:val="000000" w:themeColor="text1"/>
          <w14:textFill>
            <w14:solidFill>
              <w14:schemeClr w14:val="tx1"/>
            </w14:solidFill>
          </w14:textFill>
        </w:rPr>
        <w:t>加快实施灌区续建配套与节水改造</w:t>
      </w:r>
    </w:p>
    <w:p w14:paraId="7446CD0E">
      <w:pPr>
        <w:ind w:firstLine="640"/>
        <w:rPr>
          <w:color w:val="000000" w:themeColor="text1"/>
          <w14:textFill>
            <w14:solidFill>
              <w14:schemeClr w14:val="tx1"/>
            </w14:solidFill>
          </w14:textFill>
        </w:rPr>
      </w:pPr>
      <w:r>
        <w:rPr>
          <w:color w:val="000000" w:themeColor="text1"/>
          <w14:textFill>
            <w14:solidFill>
              <w14:schemeClr w14:val="tx1"/>
            </w14:solidFill>
          </w14:textFill>
        </w:rPr>
        <w:t>加强现有灌区输水渠道衬砌改造，完善路沟渠桥涵闸等工程布置，逐步恢复提高灌区输配水能力和运行管理能力，打造现代化节水型生态灌区，强化节水计量设施配置和信息化建设，进一步提升灌区灌溉水利用系数和现代化管理服务能力。推进灌区现代化、标准化、规范化建设管理。</w:t>
      </w:r>
    </w:p>
    <w:p w14:paraId="0B360C15">
      <w:pPr>
        <w:ind w:firstLine="64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w:t>
      </w:r>
      <w:r>
        <w:rPr>
          <w:color w:val="000000" w:themeColor="text1"/>
          <w14:textFill>
            <w14:solidFill>
              <w14:schemeClr w14:val="tx1"/>
            </w14:solidFill>
          </w14:textFill>
        </w:rPr>
        <w:t>大力推进田间工程节水改造，有效解决</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最后一公里</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问题</w:t>
      </w:r>
    </w:p>
    <w:p w14:paraId="0F5930D5">
      <w:pPr>
        <w:ind w:firstLine="640"/>
        <w:rPr>
          <w:color w:val="000000" w:themeColor="text1"/>
          <w14:textFill>
            <w14:solidFill>
              <w14:schemeClr w14:val="tx1"/>
            </w14:solidFill>
          </w14:textFill>
        </w:rPr>
      </w:pPr>
      <w:r>
        <w:rPr>
          <w:color w:val="000000" w:themeColor="text1"/>
          <w14:textFill>
            <w14:solidFill>
              <w14:schemeClr w14:val="tx1"/>
            </w14:solidFill>
          </w14:textFill>
        </w:rPr>
        <w:t>加快实施农田水利项目建设、高标准农田建设、千亿斤粮食增产、农业综合开发和土地综合整治，通过财政资金引导、示范区辐射、政策扶持等措施，引导易门县各地根据水资源禀赋条件和种植结构，大力发展末级渠系衬砌、管道输水、喷灌、滴灌等田间节水灌溉工程，提高用水效率。</w:t>
      </w:r>
    </w:p>
    <w:p w14:paraId="55A7D2A4">
      <w:pPr>
        <w:ind w:firstLine="64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w:t>
      </w:r>
      <w:r>
        <w:rPr>
          <w:color w:val="000000" w:themeColor="text1"/>
          <w14:textFill>
            <w14:solidFill>
              <w14:schemeClr w14:val="tx1"/>
            </w14:solidFill>
          </w14:textFill>
        </w:rPr>
        <w:t>加快推广农艺节水技术</w:t>
      </w:r>
    </w:p>
    <w:p w14:paraId="1576D62B">
      <w:pPr>
        <w:ind w:firstLine="640"/>
        <w:rPr>
          <w:color w:val="000000" w:themeColor="text1"/>
          <w14:textFill>
            <w14:solidFill>
              <w14:schemeClr w14:val="tx1"/>
            </w14:solidFill>
          </w14:textFill>
        </w:rPr>
      </w:pPr>
      <w:r>
        <w:rPr>
          <w:color w:val="000000" w:themeColor="text1"/>
          <w14:textFill>
            <w14:solidFill>
              <w14:schemeClr w14:val="tx1"/>
            </w14:solidFill>
          </w14:textFill>
        </w:rPr>
        <w:t>在稳定粮食产量和产能的前提下，因地因水选择种植作物，鼓励种植耗水少、附加值高的农作物，建立作物生育时期与天然降水相匹配的农业种植结构与种植制度。大力推广喷灌、微灌、低压管道灌溉、集雨补灌、水肥一体化、覆盖保墒等技术，分区域规模化推进高效节水灌溉。积极推广应用深耕深松、覆盖保墒、保护性耕作等技术，蓄住自然降水，用好灌溉水，增加田间土壤蓄水能力，减少土壤水分蒸发，控制作物蒸腾，实现农艺节水。</w:t>
      </w:r>
    </w:p>
    <w:p w14:paraId="3A77A21B">
      <w:pPr>
        <w:ind w:firstLine="64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w:t>
      </w:r>
      <w:r>
        <w:rPr>
          <w:color w:val="000000" w:themeColor="text1"/>
          <w14:textFill>
            <w14:solidFill>
              <w14:schemeClr w14:val="tx1"/>
            </w14:solidFill>
          </w14:textFill>
        </w:rPr>
        <w:t>加快健全管理制度</w:t>
      </w:r>
    </w:p>
    <w:p w14:paraId="3825B9AA">
      <w:pPr>
        <w:ind w:firstLine="640"/>
        <w:rPr>
          <w:color w:val="000000" w:themeColor="text1"/>
          <w14:textFill>
            <w14:solidFill>
              <w14:schemeClr w14:val="tx1"/>
            </w14:solidFill>
          </w14:textFill>
        </w:rPr>
      </w:pPr>
      <w:r>
        <w:rPr>
          <w:color w:val="000000" w:themeColor="text1"/>
          <w14:textFill>
            <w14:solidFill>
              <w14:schemeClr w14:val="tx1"/>
            </w14:solidFill>
          </w14:textFill>
        </w:rPr>
        <w:t>深化农业灌溉用水管理体制改革，加快构建以优化配水、用水总量控制和定额管理为核心的制度体系。制定下达年度农业灌溉水量分配方案和用水计划，严格农业用水总量控制，农业灌溉用水总量稳中有降。加强农业用水计量设施建设，逐步建立“定额内用水优惠水价、超定额用水累进加价”的农业用水新机制。建立健全农业水权制度，在保障农业用水需求的前提下，鼓励通过市场转让方式促进农业节水。</w:t>
      </w:r>
    </w:p>
    <w:p w14:paraId="757A388A">
      <w:pPr>
        <w:pStyle w:val="47"/>
        <w:rPr>
          <w:color w:val="000000" w:themeColor="text1"/>
          <w14:textFill>
            <w14:solidFill>
              <w14:schemeClr w14:val="tx1"/>
            </w14:solidFill>
          </w14:textFill>
        </w:rPr>
      </w:pPr>
      <w:r>
        <w:rPr>
          <w:color w:val="000000" w:themeColor="text1"/>
          <w14:textFill>
            <w14:solidFill>
              <w14:schemeClr w14:val="tx1"/>
            </w14:solidFill>
          </w14:textFill>
        </w:rPr>
        <w:t>推进工业节水减排</w:t>
      </w:r>
    </w:p>
    <w:p w14:paraId="180FFCD6">
      <w:pPr>
        <w:ind w:firstLine="640"/>
        <w:rPr>
          <w:color w:val="000000" w:themeColor="text1"/>
          <w14:textFill>
            <w14:solidFill>
              <w14:schemeClr w14:val="tx1"/>
            </w14:solidFill>
          </w14:textFill>
        </w:rPr>
      </w:pPr>
      <w:r>
        <w:rPr>
          <w:color w:val="000000" w:themeColor="text1"/>
          <w14:textFill>
            <w14:solidFill>
              <w14:schemeClr w14:val="tx1"/>
            </w14:solidFill>
          </w14:textFill>
        </w:rPr>
        <w:t>以提高水的利用效率为核心，以企业为主体，实施重点领域能效提升计划、循环发展引领计划，全面提升工业节约用水能力和水平，加快建设节水型工业。</w:t>
      </w:r>
    </w:p>
    <w:p w14:paraId="4B027AFD">
      <w:pPr>
        <w:pStyle w:val="69"/>
        <w:numPr>
          <w:ilvl w:val="0"/>
          <w:numId w:val="5"/>
        </w:numPr>
        <w:ind w:firstLineChars="0"/>
        <w:rPr>
          <w:color w:val="000000" w:themeColor="text1"/>
          <w14:textFill>
            <w14:solidFill>
              <w14:schemeClr w14:val="tx1"/>
            </w14:solidFill>
          </w14:textFill>
        </w:rPr>
      </w:pPr>
      <w:r>
        <w:rPr>
          <w:color w:val="000000" w:themeColor="text1"/>
          <w14:textFill>
            <w14:solidFill>
              <w14:schemeClr w14:val="tx1"/>
            </w14:solidFill>
          </w14:textFill>
        </w:rPr>
        <w:t>加快淘汰落后高用水工艺、设备和产品</w:t>
      </w:r>
    </w:p>
    <w:p w14:paraId="35A14072">
      <w:pPr>
        <w:ind w:firstLine="640"/>
        <w:rPr>
          <w:color w:val="000000" w:themeColor="text1"/>
          <w14:textFill>
            <w14:solidFill>
              <w14:schemeClr w14:val="tx1"/>
            </w14:solidFill>
          </w14:textFill>
        </w:rPr>
      </w:pPr>
      <w:r>
        <w:rPr>
          <w:color w:val="000000" w:themeColor="text1"/>
          <w14:textFill>
            <w14:solidFill>
              <w14:schemeClr w14:val="tx1"/>
            </w14:solidFill>
          </w14:textFill>
        </w:rPr>
        <w:t>对易门县现有有色金属、纺织印染、造纸、化工、制革等高耗水企业达不到取水指标要求的落后产能，进一步加大淘汰力度。支持企业开展节水技术改造、完善用水计量体系、提高工业用水重复率、工业废水达标排放率和工业用水计量率，定期开展重点企业水平衡测试、用水审计及水效对标。对超过取水定额标准的企业分类分步限期实施节水改造。执行国家、省级节水技术、工艺、设备和产品名录和工业行业用水定额，逐步降低产品用水单耗。建立用水超定额产能淘汰制度。严格实行总量控制和定额管理，限制高耗水工业项目准入。对采用列入淘汰目录工艺、技术和装备的项目，不予批准取水许可。</w:t>
      </w:r>
    </w:p>
    <w:p w14:paraId="28B40B2D">
      <w:pPr>
        <w:pStyle w:val="69"/>
        <w:numPr>
          <w:ilvl w:val="0"/>
          <w:numId w:val="5"/>
        </w:numPr>
        <w:ind w:firstLineChars="0"/>
        <w:rPr>
          <w:color w:val="000000" w:themeColor="text1"/>
          <w14:textFill>
            <w14:solidFill>
              <w14:schemeClr w14:val="tx1"/>
            </w14:solidFill>
          </w14:textFill>
        </w:rPr>
      </w:pPr>
      <w:r>
        <w:rPr>
          <w:color w:val="000000" w:themeColor="text1"/>
          <w14:textFill>
            <w14:solidFill>
              <w14:schemeClr w14:val="tx1"/>
            </w14:solidFill>
          </w14:textFill>
        </w:rPr>
        <w:t>加强重点行业取水定额管理</w:t>
      </w:r>
    </w:p>
    <w:p w14:paraId="28E0A1D2">
      <w:pPr>
        <w:ind w:firstLine="640"/>
        <w:rPr>
          <w:color w:val="000000" w:themeColor="text1"/>
          <w14:textFill>
            <w14:solidFill>
              <w14:schemeClr w14:val="tx1"/>
            </w14:solidFill>
          </w14:textFill>
        </w:rPr>
      </w:pPr>
      <w:r>
        <w:rPr>
          <w:color w:val="000000" w:themeColor="text1"/>
          <w14:textFill>
            <w14:solidFill>
              <w14:schemeClr w14:val="tx1"/>
            </w14:solidFill>
          </w14:textFill>
        </w:rPr>
        <w:t>严格执行取水定额标准，对有色、染整、造纸、啤酒、酒精、化工、味精和医药等行业，严格执行超定额累进加价征收水资源税，对不符合标准要求的企业，一律限期整改，整改后仍然达不到要求的一律予以关停。工业节水首先根据水资源条件，合理调整产业结构和工业布局，限制高用水行业的发展，以改造高用水工艺设备为重点，提高工业用水重复利用率。同时采取非工程保障措施，包括实行计划用水、定额用水，制定合理的水价，实行累进制水价收费制度，加强节水技术开发和节水设备、器具的研制等。</w:t>
      </w:r>
    </w:p>
    <w:p w14:paraId="5A500F5D">
      <w:pPr>
        <w:pStyle w:val="69"/>
        <w:numPr>
          <w:ilvl w:val="0"/>
          <w:numId w:val="5"/>
        </w:numPr>
        <w:ind w:firstLineChars="0"/>
        <w:rPr>
          <w:color w:val="000000" w:themeColor="text1"/>
          <w14:textFill>
            <w14:solidFill>
              <w14:schemeClr w14:val="tx1"/>
            </w14:solidFill>
          </w14:textFill>
        </w:rPr>
      </w:pPr>
      <w:r>
        <w:rPr>
          <w:color w:val="000000" w:themeColor="text1"/>
          <w14:textFill>
            <w14:solidFill>
              <w14:schemeClr w14:val="tx1"/>
            </w14:solidFill>
          </w14:textFill>
        </w:rPr>
        <w:t>提高工业废水资源化利用率</w:t>
      </w:r>
    </w:p>
    <w:p w14:paraId="141A089B">
      <w:pPr>
        <w:ind w:firstLine="640"/>
        <w:rPr>
          <w:color w:val="000000" w:themeColor="text1"/>
          <w14:textFill>
            <w14:solidFill>
              <w14:schemeClr w14:val="tx1"/>
            </w14:solidFill>
          </w14:textFill>
        </w:rPr>
      </w:pPr>
      <w:r>
        <w:rPr>
          <w:color w:val="000000" w:themeColor="text1"/>
          <w14:textFill>
            <w14:solidFill>
              <w14:schemeClr w14:val="tx1"/>
            </w14:solidFill>
          </w14:textFill>
        </w:rPr>
        <w:t>严格落实主体功能区规划，依据水资源条件，确定产业发展重点与布局。在易门县生态脆弱地区、严重缺水地区、地下水超采地区，实行负面清单管理，严格控制高耗水新建、改建、扩建项目。推进高耗水企业向水资源条件允许的工业园区集中。新建企业和园区要在规划布局时，统筹供排水、水处理及循环利用设施建设，推动企业间的用水系统集成优化。以节水为重点推进现有企业和园区开展循环化改造，鼓励工业园区实行统一供水、废水集中处理和水循环利用及梯级补水，实施废水“近零排放”改造。促进工业园区内企业间串联用水、分质用水，一水多用和循环利用。</w:t>
      </w:r>
    </w:p>
    <w:p w14:paraId="4D097802">
      <w:pPr>
        <w:pStyle w:val="47"/>
        <w:rPr>
          <w:color w:val="000000" w:themeColor="text1"/>
          <w14:textFill>
            <w14:solidFill>
              <w14:schemeClr w14:val="tx1"/>
            </w14:solidFill>
          </w14:textFill>
        </w:rPr>
      </w:pPr>
      <w:r>
        <w:rPr>
          <w:color w:val="000000" w:themeColor="text1"/>
          <w14:textFill>
            <w14:solidFill>
              <w14:schemeClr w14:val="tx1"/>
            </w14:solidFill>
          </w14:textFill>
        </w:rPr>
        <w:t>加强城镇节水降损</w:t>
      </w:r>
    </w:p>
    <w:p w14:paraId="2557E80E">
      <w:pPr>
        <w:pStyle w:val="69"/>
        <w:numPr>
          <w:ilvl w:val="0"/>
          <w:numId w:val="6"/>
        </w:numPr>
        <w:ind w:firstLineChars="0"/>
        <w:rPr>
          <w:color w:val="000000" w:themeColor="text1"/>
          <w14:textFill>
            <w14:solidFill>
              <w14:schemeClr w14:val="tx1"/>
            </w14:solidFill>
          </w14:textFill>
        </w:rPr>
      </w:pPr>
      <w:r>
        <w:rPr>
          <w:color w:val="000000" w:themeColor="text1"/>
          <w14:textFill>
            <w14:solidFill>
              <w14:schemeClr w14:val="tx1"/>
            </w14:solidFill>
          </w14:textFill>
        </w:rPr>
        <w:t>全面推进节水型城市建设</w:t>
      </w:r>
    </w:p>
    <w:p w14:paraId="51354106">
      <w:pPr>
        <w:ind w:firstLine="640"/>
        <w:rPr>
          <w:color w:val="000000" w:themeColor="text1"/>
          <w14:textFill>
            <w14:solidFill>
              <w14:schemeClr w14:val="tx1"/>
            </w14:solidFill>
          </w14:textFill>
        </w:rPr>
      </w:pPr>
      <w:r>
        <w:rPr>
          <w:color w:val="000000" w:themeColor="text1"/>
          <w14:textFill>
            <w14:solidFill>
              <w14:schemeClr w14:val="tx1"/>
            </w14:solidFill>
          </w14:textFill>
        </w:rPr>
        <w:t>统筹推进节水型城市与节水型社会建设，落实新、改、扩建建设项目节水“三同时”制度，推进节水型单位、小区、企业等节水载体建设，将节水工作系统的落实到易门县城市规划、建设、管理各环节，实现优水优用、循环循序利用。力争完成节水型县区建设。大幅降低供水管网漏损，制定和实施供水管网改造建设实施方案，对老旧供水管网进行改造，完善供水管网检漏制度。</w:t>
      </w:r>
    </w:p>
    <w:p w14:paraId="38BACFB1">
      <w:pPr>
        <w:pStyle w:val="69"/>
        <w:numPr>
          <w:ilvl w:val="0"/>
          <w:numId w:val="6"/>
        </w:numPr>
        <w:ind w:firstLineChars="0"/>
        <w:rPr>
          <w:color w:val="000000" w:themeColor="text1"/>
          <w14:textFill>
            <w14:solidFill>
              <w14:schemeClr w14:val="tx1"/>
            </w14:solidFill>
          </w14:textFill>
        </w:rPr>
      </w:pPr>
      <w:r>
        <w:rPr>
          <w:color w:val="000000" w:themeColor="text1"/>
          <w14:textFill>
            <w14:solidFill>
              <w14:schemeClr w14:val="tx1"/>
            </w14:solidFill>
          </w14:textFill>
        </w:rPr>
        <w:t>严控高耗水服务业用水，深入开展公共领域节水</w:t>
      </w:r>
    </w:p>
    <w:p w14:paraId="3A9536E9">
      <w:pPr>
        <w:ind w:firstLine="640"/>
        <w:rPr>
          <w:color w:val="000000" w:themeColor="text1"/>
          <w14:textFill>
            <w14:solidFill>
              <w14:schemeClr w14:val="tx1"/>
            </w14:solidFill>
          </w14:textFill>
        </w:rPr>
      </w:pPr>
      <w:r>
        <w:rPr>
          <w:color w:val="000000" w:themeColor="text1"/>
          <w14:textFill>
            <w14:solidFill>
              <w14:schemeClr w14:val="tx1"/>
            </w14:solidFill>
          </w14:textFill>
        </w:rPr>
        <w:t>从严制定高耗水行业用水定额，将核定用水量作为取水许可审批依据。及时调整高耗水服务业水资源费征收标准，抑制高耗水行业过度用水需求。推广应用节水新技术、新工艺和新产品，普及推广节水型用水器具。民用建筑集中热水系统要采取水循环措施，新建公共建筑必须采用节水器具，在新建小区中鼓励居民优先选用节水器具。宾馆、饭店、医院等用水量较大的公共建筑推广采用淋浴器的限流装置。力争机关及事业单位建成节水型单位，建成1所节水型高校。全面开展节水型社会达标建设，到2025年，实现节水型社会达标建设。</w:t>
      </w:r>
    </w:p>
    <w:p w14:paraId="31CA6BBE">
      <w:pPr>
        <w:pStyle w:val="47"/>
        <w:rPr>
          <w:color w:val="000000" w:themeColor="text1"/>
          <w14:textFill>
            <w14:solidFill>
              <w14:schemeClr w14:val="tx1"/>
            </w14:solidFill>
          </w14:textFill>
        </w:rPr>
      </w:pPr>
      <w:r>
        <w:rPr>
          <w:color w:val="000000" w:themeColor="text1"/>
          <w14:textFill>
            <w14:solidFill>
              <w14:schemeClr w14:val="tx1"/>
            </w14:solidFill>
          </w14:textFill>
        </w:rPr>
        <w:t>建立重点用水单位监控制度</w:t>
      </w:r>
    </w:p>
    <w:p w14:paraId="56E338A5">
      <w:pPr>
        <w:ind w:firstLine="640"/>
        <w:rPr>
          <w:color w:val="000000" w:themeColor="text1"/>
          <w14:textFill>
            <w14:solidFill>
              <w14:schemeClr w14:val="tx1"/>
            </w14:solidFill>
          </w14:textFill>
        </w:rPr>
      </w:pPr>
      <w:r>
        <w:rPr>
          <w:color w:val="000000" w:themeColor="text1"/>
          <w14:textFill>
            <w14:solidFill>
              <w14:schemeClr w14:val="tx1"/>
            </w14:solidFill>
          </w14:textFill>
        </w:rPr>
        <w:t>根据不同行业特点，确定达到一定取用水规模的中型灌区、重点工业用水企业、生活服务业、公共机构用水单位作为重点用水监控单位。组织开展重点用水户监控管理名录的编制和公布，强化用水监控管理。对纳入取水许可管理的单位和使用城镇公共供水且日均用水量达到30 m³以上的用水单位实行计划用水管理。重点用水单位应当建立和完善用水计量管理体系，并将用水计量数据主动接入水行政主管部门在线监管平台，以确保对易门县规模以上工业企业用水情况进行统计监测。</w:t>
      </w:r>
    </w:p>
    <w:p w14:paraId="6D037351">
      <w:pPr>
        <w:pStyle w:val="45"/>
        <w:rPr>
          <w:color w:val="000000" w:themeColor="text1"/>
          <w14:textFill>
            <w14:solidFill>
              <w14:schemeClr w14:val="tx1"/>
            </w14:solidFill>
          </w14:textFill>
        </w:rPr>
      </w:pPr>
      <w:bookmarkStart w:id="60" w:name="_Toc26907"/>
      <w:bookmarkStart w:id="61" w:name="_Toc15766"/>
      <w:r>
        <w:rPr>
          <w:color w:val="000000" w:themeColor="text1"/>
          <w14:textFill>
            <w14:solidFill>
              <w14:schemeClr w14:val="tx1"/>
            </w14:solidFill>
          </w14:textFill>
        </w:rPr>
        <w:t>建立健全节水激励机制</w:t>
      </w:r>
      <w:bookmarkEnd w:id="59"/>
      <w:bookmarkEnd w:id="60"/>
      <w:bookmarkEnd w:id="61"/>
    </w:p>
    <w:p w14:paraId="2EF36D66">
      <w:pPr>
        <w:pStyle w:val="47"/>
        <w:rPr>
          <w:color w:val="000000" w:themeColor="text1"/>
          <w14:textFill>
            <w14:solidFill>
              <w14:schemeClr w14:val="tx1"/>
            </w14:solidFill>
          </w14:textFill>
        </w:rPr>
      </w:pPr>
      <w:r>
        <w:rPr>
          <w:color w:val="000000" w:themeColor="text1"/>
          <w14:textFill>
            <w14:solidFill>
              <w14:schemeClr w14:val="tx1"/>
            </w14:solidFill>
          </w14:textFill>
        </w:rPr>
        <w:t>建立健全节水激励机制</w:t>
      </w:r>
    </w:p>
    <w:p w14:paraId="60F3D153">
      <w:pPr>
        <w:ind w:firstLine="640"/>
        <w:rPr>
          <w:color w:val="000000" w:themeColor="text1"/>
          <w14:textFill>
            <w14:solidFill>
              <w14:schemeClr w14:val="tx1"/>
            </w14:solidFill>
          </w14:textFill>
        </w:rPr>
      </w:pPr>
      <w:r>
        <w:rPr>
          <w:color w:val="000000" w:themeColor="text1"/>
          <w14:textFill>
            <w14:solidFill>
              <w14:schemeClr w14:val="tx1"/>
            </w14:solidFill>
          </w14:textFill>
        </w:rPr>
        <w:t>全面实施以奖代补措施，严格考核钢铁、纺织染整、造纸、石油炼制等重点用水行业的节水型企业创建情况，鼓励和支持重点用水企业采用节水新工艺、新技术，努力培育一批节水型示范企业，不断提高重点用水行业节水积极性和主动性。</w:t>
      </w:r>
    </w:p>
    <w:p w14:paraId="731A19A2">
      <w:pPr>
        <w:pStyle w:val="47"/>
        <w:rPr>
          <w:color w:val="000000" w:themeColor="text1"/>
          <w14:textFill>
            <w14:solidFill>
              <w14:schemeClr w14:val="tx1"/>
            </w14:solidFill>
          </w14:textFill>
        </w:rPr>
      </w:pPr>
      <w:r>
        <w:rPr>
          <w:color w:val="000000" w:themeColor="text1"/>
          <w14:textFill>
            <w14:solidFill>
              <w14:schemeClr w14:val="tx1"/>
            </w14:solidFill>
          </w14:textFill>
        </w:rPr>
        <w:t>推动节水服务业发展</w:t>
      </w:r>
    </w:p>
    <w:p w14:paraId="39FF9144">
      <w:pPr>
        <w:ind w:firstLine="640"/>
        <w:rPr>
          <w:color w:val="000000" w:themeColor="text1"/>
          <w14:textFill>
            <w14:solidFill>
              <w14:schemeClr w14:val="tx1"/>
            </w14:solidFill>
          </w14:textFill>
        </w:rPr>
      </w:pPr>
      <w:r>
        <w:rPr>
          <w:color w:val="000000" w:themeColor="text1"/>
          <w14:textFill>
            <w14:solidFill>
              <w14:schemeClr w14:val="tx1"/>
            </w14:solidFill>
          </w14:textFill>
        </w:rPr>
        <w:t>创新节水服务模式，引导和推动合同节水管理，鼓励和引导社会资本参与有一定收益的节水项目建设和运营。</w:t>
      </w:r>
    </w:p>
    <w:p w14:paraId="4F518ECE">
      <w:pPr>
        <w:pStyle w:val="47"/>
        <w:rPr>
          <w:color w:val="000000" w:themeColor="text1"/>
          <w14:textFill>
            <w14:solidFill>
              <w14:schemeClr w14:val="tx1"/>
            </w14:solidFill>
          </w14:textFill>
        </w:rPr>
      </w:pPr>
      <w:r>
        <w:rPr>
          <w:color w:val="000000" w:themeColor="text1"/>
          <w14:textFill>
            <w14:solidFill>
              <w14:schemeClr w14:val="tx1"/>
            </w14:solidFill>
          </w14:textFill>
        </w:rPr>
        <w:t>推行水效标识和水效领跑</w:t>
      </w:r>
    </w:p>
    <w:p w14:paraId="4EFD95DC">
      <w:pPr>
        <w:ind w:firstLine="640"/>
        <w:rPr>
          <w:color w:val="000000" w:themeColor="text1"/>
          <w14:textFill>
            <w14:solidFill>
              <w14:schemeClr w14:val="tx1"/>
            </w14:solidFill>
          </w14:textFill>
        </w:rPr>
      </w:pPr>
      <w:r>
        <w:rPr>
          <w:color w:val="000000" w:themeColor="text1"/>
          <w14:textFill>
            <w14:solidFill>
              <w14:schemeClr w14:val="tx1"/>
            </w14:solidFill>
          </w14:textFill>
        </w:rPr>
        <w:t>积极指导消费者选择水效更高的产品，鼓励生产者改善产品的节水特性，鼓励销售者在进货和陈列商品时选择高效节水的产品。对列入国家实施水效标识产品目录的用水产品，要依法进行水效标识监督检查和专项检查。对生产或销售应当标注而未标注水效标识的用水产品，要依法严肃查处。</w:t>
      </w:r>
    </w:p>
    <w:p w14:paraId="39A62D06">
      <w:pPr>
        <w:pStyle w:val="47"/>
        <w:rPr>
          <w:color w:val="000000" w:themeColor="text1"/>
          <w14:textFill>
            <w14:solidFill>
              <w14:schemeClr w14:val="tx1"/>
            </w14:solidFill>
          </w14:textFill>
        </w:rPr>
      </w:pPr>
      <w:r>
        <w:rPr>
          <w:color w:val="000000" w:themeColor="text1"/>
          <w14:textFill>
            <w14:solidFill>
              <w14:schemeClr w14:val="tx1"/>
            </w14:solidFill>
          </w14:textFill>
        </w:rPr>
        <w:t>推动水权市场化改革</w:t>
      </w:r>
    </w:p>
    <w:p w14:paraId="3A897046">
      <w:pPr>
        <w:ind w:firstLine="640"/>
        <w:rPr>
          <w:color w:val="000000" w:themeColor="text1"/>
          <w14:textFill>
            <w14:solidFill>
              <w14:schemeClr w14:val="tx1"/>
            </w14:solidFill>
          </w14:textFill>
        </w:rPr>
      </w:pPr>
      <w:r>
        <w:rPr>
          <w:color w:val="000000" w:themeColor="text1"/>
          <w14:textFill>
            <w14:solidFill>
              <w14:schemeClr w14:val="tx1"/>
            </w14:solidFill>
          </w14:textFill>
        </w:rPr>
        <w:t>开展水权交易试点建设，探索跨流域、地区间、行业间、用水户间等形式的水权交易。根据当地水资源可利用量确实初始水权，探索制定水权转换管理办法。建立农业水权制度，加强水权交易监管。</w:t>
      </w:r>
    </w:p>
    <w:p w14:paraId="5CF3B52E">
      <w:pPr>
        <w:pStyle w:val="47"/>
        <w:rPr>
          <w:color w:val="000000" w:themeColor="text1"/>
          <w14:textFill>
            <w14:solidFill>
              <w14:schemeClr w14:val="tx1"/>
            </w14:solidFill>
          </w14:textFill>
        </w:rPr>
      </w:pPr>
      <w:r>
        <w:rPr>
          <w:color w:val="000000" w:themeColor="text1"/>
          <w14:textFill>
            <w14:solidFill>
              <w14:schemeClr w14:val="tx1"/>
            </w14:solidFill>
          </w14:textFill>
        </w:rPr>
        <w:t>强化科技市场引领</w:t>
      </w:r>
    </w:p>
    <w:p w14:paraId="124D40B2">
      <w:pPr>
        <w:ind w:firstLine="640"/>
        <w:rPr>
          <w:color w:val="000000" w:themeColor="text1"/>
          <w14:textFill>
            <w14:solidFill>
              <w14:schemeClr w14:val="tx1"/>
            </w14:solidFill>
          </w14:textFill>
        </w:rPr>
      </w:pPr>
      <w:r>
        <w:rPr>
          <w:color w:val="000000" w:themeColor="text1"/>
          <w14:textFill>
            <w14:solidFill>
              <w14:schemeClr w14:val="tx1"/>
            </w14:solidFill>
          </w14:textFill>
        </w:rPr>
        <w:t>开展集成创新，推动产学研一体化，充分调动高校、科研机构、科技社团和企业等各方力量，加强雨水高效利用、小流域综合治理等科技攻关和集成示范项目等节水重大课题和关键技术研究。加大高原特色农业、干热河谷农业节水新技术、水肥高效利用等先进技术的推广应用，建“数字水务”。</w:t>
      </w:r>
    </w:p>
    <w:p w14:paraId="632CC8EE">
      <w:pPr>
        <w:pStyle w:val="45"/>
        <w:rPr>
          <w:color w:val="000000" w:themeColor="text1"/>
          <w14:textFill>
            <w14:solidFill>
              <w14:schemeClr w14:val="tx1"/>
            </w14:solidFill>
          </w14:textFill>
        </w:rPr>
      </w:pPr>
      <w:bookmarkStart w:id="62" w:name="_Toc7686"/>
      <w:bookmarkStart w:id="63" w:name="_Toc4358"/>
      <w:bookmarkStart w:id="64" w:name="_Toc11590"/>
      <w:r>
        <w:rPr>
          <w:color w:val="000000" w:themeColor="text1"/>
          <w14:textFill>
            <w14:solidFill>
              <w14:schemeClr w14:val="tx1"/>
            </w14:solidFill>
          </w14:textFill>
        </w:rPr>
        <w:t>培养公民节水节水意识</w:t>
      </w:r>
      <w:bookmarkEnd w:id="62"/>
      <w:bookmarkEnd w:id="63"/>
      <w:bookmarkEnd w:id="64"/>
    </w:p>
    <w:p w14:paraId="4277EDC6">
      <w:pPr>
        <w:ind w:firstLine="640"/>
        <w:rPr>
          <w:color w:val="000000" w:themeColor="text1"/>
          <w14:textFill>
            <w14:solidFill>
              <w14:schemeClr w14:val="tx1"/>
            </w14:solidFill>
          </w14:textFill>
        </w:rPr>
      </w:pPr>
      <w:bookmarkStart w:id="65" w:name="_Toc5086"/>
      <w:r>
        <w:rPr>
          <w:color w:val="000000" w:themeColor="text1"/>
          <w14:textFill>
            <w14:solidFill>
              <w14:schemeClr w14:val="tx1"/>
            </w14:solidFill>
          </w14:textFill>
        </w:rPr>
        <w:t>培养公民节水洁水意识。要积极开展节水宣传教育，充分利用各种平台和媒体，加强县情水情教育，大力宣传节水和节水观念，扩大社会参与度，及时发布节水政策，广泛发挥社会组织与志愿者参与节水的积极作用，强化节水的社会监督作用。开展世界水日、中国水周、全国城市节水宣传周等形式多样的主体宣传活动，鼓励购买使用节水产品。倡导简约适度的消费模式，提高全民节水意识。</w:t>
      </w:r>
    </w:p>
    <w:p w14:paraId="3DA07F4A">
      <w:pPr>
        <w:ind w:firstLine="720"/>
        <w:rPr>
          <w:rFonts w:eastAsia="黑体" w:cs="黑体"/>
          <w:color w:val="000000" w:themeColor="text1"/>
          <w:sz w:val="36"/>
          <w:szCs w:val="36"/>
          <w14:textFill>
            <w14:solidFill>
              <w14:schemeClr w14:val="tx1"/>
            </w14:solidFill>
          </w14:textFill>
        </w:rPr>
      </w:pPr>
      <w:r>
        <w:rPr>
          <w:rFonts w:eastAsia="黑体" w:cs="黑体"/>
          <w:color w:val="000000" w:themeColor="text1"/>
          <w:sz w:val="36"/>
          <w:szCs w:val="36"/>
          <w14:textFill>
            <w14:solidFill>
              <w14:schemeClr w14:val="tx1"/>
            </w14:solidFill>
          </w14:textFill>
        </w:rPr>
        <w:br w:type="page"/>
      </w:r>
    </w:p>
    <w:p w14:paraId="361ED4FF">
      <w:pPr>
        <w:pStyle w:val="43"/>
        <w:rPr>
          <w:color w:val="000000" w:themeColor="text1"/>
          <w14:textFill>
            <w14:solidFill>
              <w14:schemeClr w14:val="tx1"/>
            </w14:solidFill>
          </w14:textFill>
        </w:rPr>
      </w:pPr>
      <w:bookmarkStart w:id="66" w:name="_Toc27337"/>
      <w:bookmarkStart w:id="67" w:name="_Toc20959"/>
      <w:r>
        <w:rPr>
          <w:color w:val="000000" w:themeColor="text1"/>
          <w14:textFill>
            <w14:solidFill>
              <w14:schemeClr w14:val="tx1"/>
            </w14:solidFill>
          </w14:textFill>
        </w:rPr>
        <w:t>防治并重，完善江河安澜的防洪体系</w:t>
      </w:r>
      <w:bookmarkEnd w:id="65"/>
      <w:bookmarkEnd w:id="66"/>
      <w:bookmarkEnd w:id="67"/>
    </w:p>
    <w:p w14:paraId="29C87C90">
      <w:pPr>
        <w:ind w:firstLine="640"/>
        <w:rPr>
          <w:color w:val="000000" w:themeColor="text1"/>
          <w14:textFill>
            <w14:solidFill>
              <w14:schemeClr w14:val="tx1"/>
            </w14:solidFill>
          </w14:textFill>
        </w:rPr>
      </w:pPr>
      <w:bookmarkStart w:id="68" w:name="_Toc23373"/>
      <w:r>
        <w:rPr>
          <w:color w:val="000000" w:themeColor="text1"/>
          <w14:textFill>
            <w14:solidFill>
              <w14:schemeClr w14:val="tx1"/>
            </w14:solidFill>
          </w14:textFill>
        </w:rPr>
        <w:t>以保障人民生命财产安全为根本，按照“消隐患、强弱项”的思路，通过工程措施和非工程措施相结合，全面实施防汛水利提升工程，全面提升防洪减灾综合防治能力，保障人民群众生命财产安全和经济社会健康稳定。</w:t>
      </w:r>
    </w:p>
    <w:p w14:paraId="2D8F7DF9">
      <w:pPr>
        <w:pStyle w:val="45"/>
        <w:rPr>
          <w:color w:val="000000" w:themeColor="text1"/>
          <w14:textFill>
            <w14:solidFill>
              <w14:schemeClr w14:val="tx1"/>
            </w14:solidFill>
          </w14:textFill>
        </w:rPr>
      </w:pPr>
      <w:bookmarkStart w:id="69" w:name="_Toc26930"/>
      <w:bookmarkStart w:id="70" w:name="_Toc15293"/>
      <w:r>
        <w:rPr>
          <w:color w:val="000000" w:themeColor="text1"/>
          <w14:textFill>
            <w14:solidFill>
              <w14:schemeClr w14:val="tx1"/>
            </w14:solidFill>
          </w14:textFill>
        </w:rPr>
        <w:t>优化全省防洪空间布局</w:t>
      </w:r>
      <w:bookmarkEnd w:id="68"/>
      <w:bookmarkEnd w:id="69"/>
      <w:bookmarkEnd w:id="70"/>
    </w:p>
    <w:p w14:paraId="360B8C22">
      <w:pPr>
        <w:ind w:firstLine="640"/>
        <w:rPr>
          <w:color w:val="000000" w:themeColor="text1"/>
          <w14:textFill>
            <w14:solidFill>
              <w14:schemeClr w14:val="tx1"/>
            </w14:solidFill>
          </w14:textFill>
        </w:rPr>
      </w:pPr>
      <w:bookmarkStart w:id="71" w:name="_Toc3210"/>
      <w:r>
        <w:rPr>
          <w:color w:val="000000" w:themeColor="text1"/>
          <w14:textFill>
            <w14:solidFill>
              <w14:schemeClr w14:val="tx1"/>
            </w14:solidFill>
          </w14:textFill>
        </w:rPr>
        <w:t>易门县立足于县情水情，从继续推进主要支流及中小河流治理、全面推进山洪灾害防治工作、除防洪工程安全隐患、提升重点城市排涝方面优化全县防洪空间布局。</w:t>
      </w:r>
    </w:p>
    <w:p w14:paraId="636A1CB3">
      <w:pPr>
        <w:pStyle w:val="47"/>
        <w:rPr>
          <w:color w:val="000000" w:themeColor="text1"/>
          <w14:textFill>
            <w14:solidFill>
              <w14:schemeClr w14:val="tx1"/>
            </w14:solidFill>
          </w14:textFill>
        </w:rPr>
      </w:pPr>
      <w:r>
        <w:rPr>
          <w:color w:val="000000" w:themeColor="text1"/>
          <w14:textFill>
            <w14:solidFill>
              <w14:schemeClr w14:val="tx1"/>
            </w14:solidFill>
          </w14:textFill>
        </w:rPr>
        <w:t>继续推进主要支流及中小河流治理</w:t>
      </w:r>
    </w:p>
    <w:p w14:paraId="4B0F085D">
      <w:pPr>
        <w:ind w:firstLine="640"/>
        <w:rPr>
          <w:color w:val="000000" w:themeColor="text1"/>
          <w14:textFill>
            <w14:solidFill>
              <w14:schemeClr w14:val="tx1"/>
            </w14:solidFill>
          </w14:textFill>
        </w:rPr>
      </w:pPr>
      <w:r>
        <w:rPr>
          <w:color w:val="000000" w:themeColor="text1"/>
          <w14:textFill>
            <w14:solidFill>
              <w14:schemeClr w14:val="tx1"/>
            </w14:solidFill>
          </w14:textFill>
        </w:rPr>
        <w:t>继续推进流域面积大于3000 k㎡及以上主要支流及流域面积介于200</w:t>
      </w:r>
      <w:r>
        <w:rPr>
          <w:rFonts w:cs="Times New Roman"/>
          <w:color w:val="000000" w:themeColor="text1"/>
          <w14:textFill>
            <w14:solidFill>
              <w14:schemeClr w14:val="tx1"/>
            </w14:solidFill>
          </w14:textFill>
        </w:rPr>
        <w:t>~</w:t>
      </w:r>
      <w:r>
        <w:rPr>
          <w:color w:val="000000" w:themeColor="text1"/>
          <w14:textFill>
            <w14:solidFill>
              <w14:schemeClr w14:val="tx1"/>
            </w14:solidFill>
          </w14:textFill>
        </w:rPr>
        <w:t>3000 k㎡中小河流治理工程，以河道整治、河势控导、河道疏浚和清淤、除涝、新建堤防、护岸等工程措施为主，提高河段防洪标准，保护下游人口、耕地，优先实施整条河流系统治理，建立系统、封闭的防洪体系，不断提高江河堤防达标率。</w:t>
      </w:r>
    </w:p>
    <w:p w14:paraId="577DD6D7">
      <w:pPr>
        <w:pStyle w:val="47"/>
        <w:rPr>
          <w:color w:val="000000" w:themeColor="text1"/>
          <w14:textFill>
            <w14:solidFill>
              <w14:schemeClr w14:val="tx1"/>
            </w14:solidFill>
          </w14:textFill>
        </w:rPr>
      </w:pPr>
      <w:r>
        <w:rPr>
          <w:color w:val="000000" w:themeColor="text1"/>
          <w14:textFill>
            <w14:solidFill>
              <w14:schemeClr w14:val="tx1"/>
            </w14:solidFill>
          </w14:textFill>
        </w:rPr>
        <w:t>全面推进山洪灾害防治工作</w:t>
      </w:r>
    </w:p>
    <w:p w14:paraId="23661A7E">
      <w:pPr>
        <w:ind w:firstLine="640"/>
        <w:rPr>
          <w:color w:val="000000" w:themeColor="text1"/>
          <w14:textFill>
            <w14:solidFill>
              <w14:schemeClr w14:val="tx1"/>
            </w14:solidFill>
          </w14:textFill>
        </w:rPr>
      </w:pPr>
      <w:r>
        <w:rPr>
          <w:color w:val="000000" w:themeColor="text1"/>
          <w14:textFill>
            <w14:solidFill>
              <w14:schemeClr w14:val="tx1"/>
            </w14:solidFill>
          </w14:textFill>
        </w:rPr>
        <w:t>继续加强山洪灾害防治建设，在已经实施的非工程措施项目建设成果的基础上，优化自动监测站网布局，补充预警报警设施设备，扩大预警预报信息覆盖面，提升监测预警能力，开展群测群防体系建设，继续实施重点山洪沟防洪治理，根据山区河道所在的地形、地质条件，因地制宜，以护岸及堤防工程，截洪沟、排洪渠和分洪道工程，沟道清淤疏浚工程为主，提高河段防洪标准，保护下游人口、耕地，全面提升防灾减灾成效，减轻山洪灾害损失。</w:t>
      </w:r>
    </w:p>
    <w:p w14:paraId="220A20DD">
      <w:pPr>
        <w:pStyle w:val="47"/>
        <w:rPr>
          <w:color w:val="000000" w:themeColor="text1"/>
          <w14:textFill>
            <w14:solidFill>
              <w14:schemeClr w14:val="tx1"/>
            </w14:solidFill>
          </w14:textFill>
        </w:rPr>
      </w:pPr>
      <w:r>
        <w:rPr>
          <w:color w:val="000000" w:themeColor="text1"/>
          <w14:textFill>
            <w14:solidFill>
              <w14:schemeClr w14:val="tx1"/>
            </w14:solidFill>
          </w14:textFill>
        </w:rPr>
        <w:t>消除防洪工程安全隐患</w:t>
      </w:r>
    </w:p>
    <w:p w14:paraId="25E9165B">
      <w:pPr>
        <w:ind w:firstLine="640"/>
        <w:rPr>
          <w:color w:val="000000" w:themeColor="text1"/>
          <w14:textFill>
            <w14:solidFill>
              <w14:schemeClr w14:val="tx1"/>
            </w14:solidFill>
          </w14:textFill>
        </w:rPr>
      </w:pPr>
      <w:r>
        <w:rPr>
          <w:color w:val="000000" w:themeColor="text1"/>
          <w14:textFill>
            <w14:solidFill>
              <w14:schemeClr w14:val="tx1"/>
            </w14:solidFill>
          </w14:textFill>
        </w:rPr>
        <w:t>坚持以防为主，开展水库、闸等水利工程隐患排查和安全鉴定，继续实施病险水库除险加固、病险闸除险加固，消除工程安全隐患，确保工程安全。</w:t>
      </w:r>
    </w:p>
    <w:p w14:paraId="7516FE1B">
      <w:pPr>
        <w:pStyle w:val="47"/>
        <w:rPr>
          <w:color w:val="000000" w:themeColor="text1"/>
          <w14:textFill>
            <w14:solidFill>
              <w14:schemeClr w14:val="tx1"/>
            </w14:solidFill>
          </w14:textFill>
        </w:rPr>
      </w:pPr>
      <w:r>
        <w:rPr>
          <w:color w:val="000000" w:themeColor="text1"/>
          <w14:textFill>
            <w14:solidFill>
              <w14:schemeClr w14:val="tx1"/>
            </w14:solidFill>
          </w14:textFill>
        </w:rPr>
        <w:t>提升重点城市防洪排涝</w:t>
      </w:r>
    </w:p>
    <w:p w14:paraId="6F6A0BC3">
      <w:pPr>
        <w:ind w:firstLine="640"/>
        <w:rPr>
          <w:color w:val="000000" w:themeColor="text1"/>
          <w14:textFill>
            <w14:solidFill>
              <w14:schemeClr w14:val="tx1"/>
            </w14:solidFill>
          </w14:textFill>
        </w:rPr>
      </w:pPr>
      <w:r>
        <w:rPr>
          <w:color w:val="000000" w:themeColor="text1"/>
          <w14:textFill>
            <w14:solidFill>
              <w14:schemeClr w14:val="tx1"/>
            </w14:solidFill>
          </w14:textFill>
        </w:rPr>
        <w:t>城市化是人口高度集中、建设面积持续扩张、城市系统不断复杂的过程，是现代化社会发展的必然产物。城市化的发展引起洪水灾害加剧、水资源紧缺、水环境污染、水生态条件恶化、水景观破坏等一系列水危及，易门县根据城市发展、水资源分布及经济状况，规划重点城市防洪排涝提升工程，提高城市防洪能力。</w:t>
      </w:r>
      <w:r>
        <w:rPr>
          <w:color w:val="000000" w:themeColor="text1"/>
          <w14:textFill>
            <w14:solidFill>
              <w14:schemeClr w14:val="tx1"/>
            </w14:solidFill>
          </w14:textFill>
        </w:rPr>
        <w:br w:type="page"/>
      </w:r>
    </w:p>
    <w:p w14:paraId="548B6BF4">
      <w:pPr>
        <w:pStyle w:val="45"/>
        <w:rPr>
          <w:color w:val="000000" w:themeColor="text1"/>
          <w14:textFill>
            <w14:solidFill>
              <w14:schemeClr w14:val="tx1"/>
            </w14:solidFill>
          </w14:textFill>
        </w:rPr>
      </w:pPr>
      <w:bookmarkStart w:id="72" w:name="_Toc19087"/>
      <w:bookmarkStart w:id="73" w:name="_Toc24287"/>
      <w:r>
        <w:rPr>
          <w:color w:val="000000" w:themeColor="text1"/>
          <w14:textFill>
            <w14:solidFill>
              <w14:schemeClr w14:val="tx1"/>
            </w14:solidFill>
          </w14:textFill>
        </w:rPr>
        <w:t>加快防洪薄弱环节建设</w:t>
      </w:r>
      <w:bookmarkEnd w:id="71"/>
      <w:bookmarkEnd w:id="72"/>
      <w:bookmarkEnd w:id="73"/>
    </w:p>
    <w:p w14:paraId="571D6EF7">
      <w:pPr>
        <w:spacing w:line="240" w:lineRule="auto"/>
        <w:ind w:firstLine="281" w:firstLineChars="88"/>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300980" cy="3472180"/>
            <wp:effectExtent l="0" t="0" r="13970"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50F67C">
      <w:pPr>
        <w:pStyle w:val="7"/>
        <w:spacing w:line="240" w:lineRule="auto"/>
        <w:ind w:firstLine="140" w:firstLineChars="44"/>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0" distR="0">
            <wp:extent cx="5314950" cy="4714875"/>
            <wp:effectExtent l="0" t="0" r="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CC5EB3">
      <w:pPr>
        <w:pStyle w:val="76"/>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4" w:name="_Toc15331"/>
      <w:r>
        <w:rPr>
          <w:color w:val="000000" w:themeColor="text1"/>
          <w14:textFill>
            <w14:solidFill>
              <w14:schemeClr w14:val="tx1"/>
            </w14:solidFill>
          </w14:textFill>
        </w:rPr>
        <w:t>（一）易门县主要支流及中小河流治理</w:t>
      </w:r>
    </w:p>
    <w:p w14:paraId="39A16DAD">
      <w:pPr>
        <w:ind w:firstLine="64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w:t>
      </w:r>
      <w:r>
        <w:rPr>
          <w:color w:val="000000" w:themeColor="text1"/>
          <w14:textFill>
            <w14:solidFill>
              <w14:schemeClr w14:val="tx1"/>
            </w14:solidFill>
          </w14:textFill>
        </w:rPr>
        <w:t>主要支流治理</w:t>
      </w:r>
    </w:p>
    <w:p w14:paraId="42AAFEB7">
      <w:pPr>
        <w:ind w:firstLine="640"/>
        <w:rPr>
          <w:color w:val="000000" w:themeColor="text1"/>
          <w14:textFill>
            <w14:solidFill>
              <w14:schemeClr w14:val="tx1"/>
            </w14:solidFill>
          </w14:textFill>
        </w:rPr>
      </w:pPr>
      <w:r>
        <w:rPr>
          <w:color w:val="000000" w:themeColor="text1"/>
          <w14:textFill>
            <w14:solidFill>
              <w14:schemeClr w14:val="tx1"/>
            </w14:solidFill>
          </w14:textFill>
        </w:rPr>
        <w:t>本次规划对绿汁江易门县上游段进行治理，现状流域面积8573 k㎡，有防洪任务河段长35 km，已治理长度11 km，未达标段长度24 km，现状河道行洪不畅，防洪不足5年一遇，实施河道治理24 km（普厂至妥甸岗段，小木奔至岔河段），进行河道疏浚和清淤、堤防护岸，达到10年一遇的防洪标准。保护人口1400人，保护耕地0.186万亩，排涝受益面积0.126万亩，投资17280万元。</w:t>
      </w:r>
    </w:p>
    <w:p w14:paraId="439AA8BE">
      <w:pPr>
        <w:ind w:firstLine="64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w:t>
      </w:r>
      <w:r>
        <w:rPr>
          <w:color w:val="000000" w:themeColor="text1"/>
          <w14:textFill>
            <w14:solidFill>
              <w14:schemeClr w14:val="tx1"/>
            </w14:solidFill>
          </w14:textFill>
        </w:rPr>
        <w:t>中小河流治理</w:t>
      </w:r>
    </w:p>
    <w:p w14:paraId="10582E9E">
      <w:pPr>
        <w:ind w:firstLine="640"/>
        <w:rPr>
          <w:color w:val="000000" w:themeColor="text1"/>
          <w14:textFill>
            <w14:solidFill>
              <w14:schemeClr w14:val="tx1"/>
            </w14:solidFill>
          </w14:textFill>
        </w:rPr>
      </w:pPr>
      <w:r>
        <w:rPr>
          <w:color w:val="000000" w:themeColor="text1"/>
          <w14:textFill>
            <w14:solidFill>
              <w14:schemeClr w14:val="tx1"/>
            </w14:solidFill>
          </w14:textFill>
        </w:rPr>
        <w:t>中小型河流治理共有14段，现状流域面积13403.5 k㎡，河道总长度1058 km，有防洪任务河段长度118.7 km，全线河段均未治理，未达标段长度118.7 km，现状河道行洪不畅，防洪标准均不足5年一遇；实施河道治理88.6 km，达到10年一遇的防洪标准，累计新建堤防长度291.4 km。保护人口100295人，保护耕地3.25万亩，排涝受益面积0.88万亩，总投资28580万元。解决河道行洪问题，对下游集镇，村组起到防护作用。</w:t>
      </w:r>
    </w:p>
    <w:p w14:paraId="40122686">
      <w:pPr>
        <w:ind w:firstLine="640"/>
        <w:rPr>
          <w:color w:val="000000" w:themeColor="text1"/>
          <w14:textFill>
            <w14:solidFill>
              <w14:schemeClr w14:val="tx1"/>
            </w14:solidFill>
          </w14:textFill>
        </w:rPr>
      </w:pPr>
      <w:r>
        <w:rPr>
          <w:color w:val="000000" w:themeColor="text1"/>
          <w14:textFill>
            <w14:solidFill>
              <w14:schemeClr w14:val="tx1"/>
            </w14:solidFill>
          </w14:textFill>
        </w:rPr>
        <w:t>200～3000 k㎡小计9段，现状流域面积12977 k㎡，河道长度959 km，有防洪任务河段长度87.2 km，全线河段均未治理，未达标段长度87.2 km，现状河道行洪不畅，防洪标准均不足5年一遇；实施河道治理57.1 km，达到10年一遇的防洪标准，累计新建堤防长度228.4 km，保护人口13305人，保护耕地2.71万亩，排涝受益面积0.56万亩，投资17380万元。解决河道行洪问题，对下游集镇，村组起到防护作用。</w:t>
      </w:r>
    </w:p>
    <w:p w14:paraId="3CED8D11">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易门县扒河金田段治理工程，现状流域面积1584 k㎡，河道长度114 km，有防洪任务河段长度8 km，全线河段均未治理，未达标段长度8 km，现状河道行洪不畅，防洪标准均不足5年一遇；实施河道治理8 km，达到10年一遇的防洪标准，新建堤防长度30 km，保护人口1300人，保护耕地0.3万亩，排涝受益面积0.1万亩，投资3000万元；</w:t>
      </w:r>
    </w:p>
    <w:p w14:paraId="7A2C6B42">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易门县扒河占马田段治理工程，现状流域面积1584 k㎡，河道长度114 km，有防洪任务河段长度7 km，全线河段均未治理，未达标段长度7 km，现状河道行洪不畅，防洪标准均不足5年一遇；实施河道治理7 km，达到10年一遇的防洪标准，新建堤防长度30 km，保护人口1000人，保护耕地0.2万亩，排涝受益面积0.05万亩，投资3000万元；</w:t>
      </w:r>
    </w:p>
    <w:p w14:paraId="0A40630A">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易门县扒河浦贝上段治理工程，现状流域面积1584 k㎡，河道长度114 km，有防洪任务河段长度12.1 km，全线河段均未治理，未达标段长度12.1 km，现状河道行洪不畅，防洪标准均不足5年一遇；实施河道治理6 km，达到10年一遇的防洪标准，新建堤防长度24.2 km，保护人口1600人，保护耕地0.7万亩，排涝受益面积0.04万亩，投资1640万元；</w:t>
      </w:r>
    </w:p>
    <w:p w14:paraId="21BA55A4">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易门县扒河浦贝下段治理工程，现状流域面积1584 k㎡，河道长度114 km，有防洪任务河段长度12.1 km，全线河段均未治理，未达标段长度12.1 km，现状河道行洪不畅，防洪标准均不足5年一遇；实施河道治理6.1 km，达到10年一遇的防洪标准，新建堤防长度24.2 km，保护人口1600人，保护耕地0.5万亩，排涝受益面积0.03万亩，投资1640万元；</w:t>
      </w:r>
    </w:p>
    <w:p w14:paraId="1EE20FA2">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易门县扒河着母旧段治理工程，现状流域面积1584 k㎡，河道长度114 km，有防洪任务河段长度6 km，全线河段均未治理，未达标段长度6 km，现状河道行洪不畅，防洪标准均不足5年一遇；实施河道治理6 km，达到10年一遇的防洪标准，新建堤防长度24 km，保护人口1200人，保护耕地0.3万亩，排涝受益面积0.07万亩，投资1600万元；</w:t>
      </w:r>
    </w:p>
    <w:p w14:paraId="327AF812">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易门县扒河着魏所段治理工程，现状流域面积1584 k㎡，河道长度114 km，有防洪任务河段长度6 km，全线河段均未治理，未达标段长度6 km，现状河道行洪不畅，防洪标准均不足5年一遇；实施河道治理6 km，达到10年一遇的防洪标准，新建堤防长度24 km，保护人口1100人，保护耕地0.2万亩，排涝受益面积0.08万亩，投资1600万元；</w:t>
      </w:r>
    </w:p>
    <w:p w14:paraId="765A9179">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易门县贾姑河治理工程，现状流域面积305 k㎡，河道长度47 km，有防洪任务河段长度8 km，全线河段均未治理，未达标段长度8 km，现状河道行洪不畅，防洪标准均不足5年一遇；实施河道治理8 km，达到10年一遇的防洪标准，新建堤防长度16 km，保护人口3000人，保护耕地0.21万亩，排涝受益面积0.05万亩，投资2500万元；</w:t>
      </w:r>
    </w:p>
    <w:p w14:paraId="6CE6DCA2">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易门县罗尹河上段治理工程，现状流域面积1584 k㎡，河道长度114 km，有防洪任务河段长度14 km，全线河段均未治理，未达标段长度14 km，现状河道行洪不畅，防洪标准均不足5年一遇；实施河道治理5 km，达到10年一遇的防洪标准，新建堤防长度28 km，保护人口1500人，保护耕地0.2万亩，排涝受益面积0.07万亩，投资1200万元；</w:t>
      </w:r>
    </w:p>
    <w:p w14:paraId="4EF499A9">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易门县罗尹河下段治理工程，现状流域面积1584 k㎡，河道长度114 km，有防洪任务河段长度14 km，全线河段均未治理，未达标段长度14 km，现状河道行洪不畅，防洪标准均不足5年一遇；实施河道治理5 km，达到10年一遇的防洪标准，新建堤防长度28 km，保护人口1005人，保护耕地0.1万亩，排涝受益面积0.07万亩，投资1200万元；</w:t>
      </w:r>
    </w:p>
    <w:p w14:paraId="2F9348CA">
      <w:pPr>
        <w:ind w:firstLine="640"/>
        <w:rPr>
          <w:color w:val="000000" w:themeColor="text1"/>
          <w14:textFill>
            <w14:solidFill>
              <w14:schemeClr w14:val="tx1"/>
            </w14:solidFill>
          </w14:textFill>
        </w:rPr>
      </w:pPr>
      <w:r>
        <w:rPr>
          <w:color w:val="000000" w:themeColor="text1"/>
          <w14:textFill>
            <w14:solidFill>
              <w14:schemeClr w14:val="tx1"/>
            </w14:solidFill>
          </w14:textFill>
        </w:rPr>
        <w:t>200平方公里以下小计5段，现状流域面积426.5k㎡，河道长度99 km，有防洪任务河段长度31.5 km，全线河段均未治理，未达标段长度31.5 km，现状河道行洪不畅，防洪标准均不足5年一遇；实施河道治理31.5 km，达到10年一遇的防洪标准，累计新建堤防长度63 km，保护人口86990人，保护耕地0.54万亩，排涝受益面积0.32万亩，投资11200万元，解决河道行洪问题，对下游集镇，村组起到防护作用。</w:t>
      </w:r>
    </w:p>
    <w:p w14:paraId="0C9DA492">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易门县白龙河治理工程，现状流域面积95.2k㎡，河道长度21 km，有防洪任务河段长度6.5 km，全线河段均未治理，未达标段长度6.5 km，现状河道行洪不畅，防洪标准均不足5年一遇；实施河道治理6.5 km，达到10年一遇的防洪标准，新建堤防长度13 km，保护人口1390人，保护耕地0.16万亩，排涝受益面积0.07万亩，投资1900万元；</w:t>
      </w:r>
    </w:p>
    <w:p w14:paraId="238E838B">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易门县浦贝河治理工程，现状流域面积68.4 k㎡，河道长度20 km，有防洪任务河段长度6 km，全线河段均未治理，未达标段长度6 km，现状河道行洪不畅，防洪标准均不足5年一遇；实施河道治理6 km，达到10年一遇的防洪标准，新建堤防长度12 km，保护人口3900人，保护耕地0.06万亩，排涝受益面积0.03万亩，投资2500万元；</w:t>
      </w:r>
    </w:p>
    <w:p w14:paraId="57F36E5E">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易门县双龙河治理工程，现状流域面积61.2 k㎡，河道长度16 km，有防洪任务河段长度4 km，全线河段均未治理，未达标段长度4 km，现状河道行洪不畅，防洪标准均不足5年一遇；实施河道治理4 km，达到10年一遇的防洪标准，新建堤防长度8 km，保护人口1200人，保护耕地0.07万亩，排涝受益面积0.07万亩，投资1400万元；</w:t>
      </w:r>
    </w:p>
    <w:p w14:paraId="558CB07D">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易门县大田河治理工程，现状流域面积115 k㎡，河道长度21 km，有防洪任务河段长度8 km，全线河段均未治理，未达标段长度8 km，现状河道行洪不畅，防洪标准均不足5年一遇；实施河道治理8 km，达到10年一遇的防洪标准，新建堤防长度16 km，保护人口500人，保护耕地0.05万亩，排涝受益面积0.05万亩，投资2400万元；</w:t>
      </w:r>
    </w:p>
    <w:p w14:paraId="7E2FB44D">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易门县三五大河治理工程，现状流域面积86.7k㎡，河道长度21 km，有防洪任务河段长度7 km，全线河段均未治理，未达标段长度7 km，现状河道行洪不畅，防洪标准均不足5年一遇；实施河道治理7 km，达到10年一遇的防洪标准，新建堤防长度14 km，保护人口80000人，保护耕地0.2万亩，排涝受益面积0.1万亩，投资3000万元；</w:t>
      </w:r>
    </w:p>
    <w:p w14:paraId="105403F6">
      <w:pPr>
        <w:pStyle w:val="76"/>
        <w:rPr>
          <w:color w:val="000000" w:themeColor="text1"/>
          <w14:textFill>
            <w14:solidFill>
              <w14:schemeClr w14:val="tx1"/>
            </w14:solidFill>
          </w14:textFill>
        </w:rPr>
      </w:pPr>
      <w:r>
        <w:rPr>
          <w:color w:val="000000" w:themeColor="text1"/>
          <w14:textFill>
            <w14:solidFill>
              <w14:schemeClr w14:val="tx1"/>
            </w14:solidFill>
          </w14:textFill>
        </w:rPr>
        <w:t>（二）山洪灾害防治</w:t>
      </w:r>
    </w:p>
    <w:p w14:paraId="3ECBE89D">
      <w:pPr>
        <w:ind w:firstLine="640"/>
        <w:rPr>
          <w:color w:val="000000" w:themeColor="text1"/>
          <w14:textFill>
            <w14:solidFill>
              <w14:schemeClr w14:val="tx1"/>
            </w14:solidFill>
          </w14:textFill>
        </w:rPr>
      </w:pPr>
      <w:r>
        <w:rPr>
          <w:color w:val="000000" w:themeColor="text1"/>
          <w14:textFill>
            <w14:solidFill>
              <w14:schemeClr w14:val="tx1"/>
            </w14:solidFill>
          </w14:textFill>
        </w:rPr>
        <w:t>山洪沟治理项目共有10个治理段，有防洪任务的山洪沟长度为43 km，现状行洪不畅，实施治理38 km，治理标准均为10年一遇，其中新建护岸及堤防76 km、新增排洪渠32.7 km、沟道疏浚4.83万m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、保护周边及下游1.8569万人、保护农田1.2226万亩、投资11049万元。</w:t>
      </w:r>
    </w:p>
    <w:p w14:paraId="7220793A">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易门县苗茂河山洪沟治理工程，有防洪任务的山洪沟长度为5.2 km，现状行洪不畅，实施治理4.5 km，治理标准均为10年一遇，其中新建护岸及堤防9 km，新增排洪渠4.5 km，沟道疏浚0.67万m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，保护周边及下游0.28万人，保护农田0.3万亩，投资1300万元；</w:t>
      </w:r>
    </w:p>
    <w:p w14:paraId="61384810">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易门县冷水箐河山洪沟治理工程，有防洪任务的山洪沟长度为6.3 km，现状行洪不畅，实施治理5.2 km，治理标准均为10年一遇，其中新建护岸及堤防10.4 km，新增排洪渠5 km，沟道疏浚0.75万m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，保护周边及下游0.05万人，保护农田0.04万亩，投资1540万元；</w:t>
      </w:r>
    </w:p>
    <w:p w14:paraId="47E6F79C">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易门县绿汁芭蕉箐山洪沟治理工程，有防洪任务的山洪沟长度为3.6 km，现状行洪不畅，实施治理3.6 km，治理标准均为10年一遇，其中新建护岸及堤防7.2 km，新增排洪渠1.2 km，沟道疏浚0.54万m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，保护周边及下游0.12万人，保护农田0.08万亩，投资1050万元；</w:t>
      </w:r>
    </w:p>
    <w:p w14:paraId="35E875D6">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易门县芦柴冲山洪沟治理工程，有防洪任务的山洪沟长度为4.8 km，现状行洪不畅，实施治理4.8 km，治理标准均为10年一遇，其中新建护岸及堤防9.6 km，新增排洪渠4.8 km，沟道疏浚0.72万m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，保护周边及下游0.08万人，保护农田0.07万亩，投资1400万元；</w:t>
      </w:r>
    </w:p>
    <w:p w14:paraId="7C344A54">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易门县木冲河山洪沟治理工程，有防洪任务的山洪沟长度为3.2 km，现状行洪不畅，实施治理2.4 km，治理标准均为10年一遇，其中新建护岸及堤防4.8 km，新增排洪渠2 km，沟道疏浚0.3万m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，保护周边及下游0.11万人，保护农田0.06万亩，投资648万元；</w:t>
      </w:r>
    </w:p>
    <w:p w14:paraId="28E46890">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易门县米苴大箐山洪沟治理工程，有防洪任务的山洪沟长度为3.2 km，现状行洪不畅，实施治理2.7 km，治理标准均为10年一遇，其中新建护岸及堤防5.4 km，新增排洪渠2.7 km，沟道疏浚0.4万m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，保护周边及下游0.8万人，保护农田0.06万亩，投资800万元；</w:t>
      </w:r>
    </w:p>
    <w:p w14:paraId="51C09BB0">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易门县顾家箐山洪沟治理工程，有防洪任务的山洪沟长度为2 km，现状行洪不畅，实施治理2 km，治理标准均为10年一遇，其中新建护岸及堤防4 km，新增排洪渠2 km，沟道疏浚0.2万m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，保护周边及下游0.01万人，保护农田0.04万亩，投资560万元；</w:t>
      </w:r>
    </w:p>
    <w:p w14:paraId="7B32E3CB">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易门县普厂河山洪沟治理工程，有防洪任务的山洪沟长度为4 km，现状行洪不畅，实施治理3.3 km，治理标准均为10年一遇，其中新建护岸及堤防6.6 km，新增排洪渠3 km，沟道疏浚0.45万m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，保护周边及下游0.12万人，保护农田0.24万亩，投资981万元；</w:t>
      </w:r>
    </w:p>
    <w:p w14:paraId="025CCA96">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易门县铜厂芭蕉箐山洪沟治理工程，有防洪任务的山洪沟长度为6 km，现状行洪不畅，实施治理5.2 km，治理标准均为10年一遇，其中新建护岸及堤防10.4 km，新增排洪渠5 km，沟道疏浚0.6万m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，保护周边及下游0.15万人，保护农田0.3万亩，投资1500万元；</w:t>
      </w:r>
    </w:p>
    <w:p w14:paraId="33D9144C">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易门县罗所银河麻箐山洪沟治理工程，有防洪任务的山洪沟长度为4.7 km，现状行洪不畅，实施治理4.3 km，治理标准均为10年一遇，其中新建护岸及堤防8.6 km，新增排洪渠2.5 km，沟道疏浚0.2万m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，保护周边及下游0.15万人，保护农田0.03万亩，投资1270万元；</w:t>
      </w:r>
    </w:p>
    <w:p w14:paraId="5E693CD4">
      <w:pPr>
        <w:pStyle w:val="76"/>
        <w:rPr>
          <w:color w:val="000000" w:themeColor="text1"/>
          <w14:textFill>
            <w14:solidFill>
              <w14:schemeClr w14:val="tx1"/>
            </w14:solidFill>
          </w14:textFill>
        </w:rPr>
      </w:pPr>
      <w:r>
        <w:rPr>
          <w:color w:val="000000" w:themeColor="text1"/>
          <w14:textFill>
            <w14:solidFill>
              <w14:schemeClr w14:val="tx1"/>
            </w14:solidFill>
          </w14:textFill>
        </w:rPr>
        <w:t>（三）防洪工程安全隐患消除</w:t>
      </w:r>
    </w:p>
    <w:p w14:paraId="13331639">
      <w:pPr>
        <w:ind w:firstLine="643"/>
        <w:rPr>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①</w:t>
      </w:r>
      <w:r>
        <w:rPr>
          <w:b/>
          <w:color w:val="000000" w:themeColor="text1"/>
          <w14:textFill>
            <w14:solidFill>
              <w14:schemeClr w14:val="tx1"/>
            </w14:solidFill>
          </w14:textFill>
        </w:rPr>
        <w:t>病险水库除险加固</w:t>
      </w:r>
    </w:p>
    <w:p w14:paraId="44383B9E">
      <w:pPr>
        <w:ind w:firstLine="640"/>
        <w:rPr>
          <w:color w:val="000000" w:themeColor="text1"/>
          <w14:textFill>
            <w14:solidFill>
              <w14:schemeClr w14:val="tx1"/>
            </w14:solidFill>
          </w14:textFill>
        </w:rPr>
      </w:pPr>
      <w:r>
        <w:rPr>
          <w:color w:val="000000" w:themeColor="text1"/>
          <w14:textFill>
            <w14:solidFill>
              <w14:schemeClr w14:val="tx1"/>
            </w14:solidFill>
          </w14:textFill>
        </w:rPr>
        <w:t>对2座中型水库、1座小（1）型水库和14座小（2）型水库进行病险水库除险加固，总投资21023万元。</w:t>
      </w:r>
    </w:p>
    <w:p w14:paraId="1E650DE8">
      <w:pPr>
        <w:ind w:firstLine="643"/>
        <w:rPr>
          <w:b/>
          <w:color w:val="000000" w:themeColor="text1"/>
          <w14:textFill>
            <w14:solidFill>
              <w14:schemeClr w14:val="tx1"/>
            </w14:solidFill>
          </w14:textFill>
        </w:rPr>
      </w:pPr>
      <w:r>
        <w:rPr>
          <w:b/>
          <w:color w:val="000000" w:themeColor="text1"/>
          <w14:textFill>
            <w14:solidFill>
              <w14:schemeClr w14:val="tx1"/>
            </w14:solidFill>
          </w14:textFill>
        </w:rPr>
        <w:t>中型水库：2件，总投资9823万元。</w:t>
      </w:r>
    </w:p>
    <w:p w14:paraId="78D7DF47">
      <w:pPr>
        <w:ind w:firstLine="640"/>
        <w:rPr>
          <w:color w:val="000000" w:themeColor="text1"/>
          <w14:textFill>
            <w14:solidFill>
              <w14:schemeClr w14:val="tx1"/>
            </w14:solidFill>
          </w14:textFill>
        </w:rPr>
      </w:pPr>
      <w:r>
        <w:rPr>
          <w:color w:val="000000" w:themeColor="text1"/>
          <w14:textFill>
            <w14:solidFill>
              <w14:schemeClr w14:val="tx1"/>
            </w14:solidFill>
          </w14:textFill>
        </w:rPr>
        <w:t>大谷厂水库，1996年建成，工程规模为中型，坝型为粘土心墙坝，最大坝高67.6 m ，总库容为3033万m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坝体变形，坝体渗漏，输水涵洞渗漏，安全类型为三类坝，规划对大坝坝体、坝基防渗处理；封堵原高输水低涵，新建高输水隧洞；左坝肩边坡加固；泄洪输水隧洞工作闸门更换；库岸边坡绿化，投资4223万元。除险加固后，新增灌溉面积1.2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，增加城镇年供水量367.78万m</w:t>
      </w:r>
      <w:r>
        <w:rPr>
          <w:rFonts w:cs="Cambria"/>
          <w:color w:val="000000" w:themeColor="text1"/>
          <w14:textFill>
            <w14:solidFill>
              <w14:schemeClr w14:val="tx1"/>
            </w14:solidFill>
          </w14:textFill>
        </w:rPr>
        <w:t>³，保护下游人口</w:t>
      </w:r>
      <w:r>
        <w:rPr>
          <w:rFonts w:cs="Times New Roman"/>
          <w:color w:val="000000" w:themeColor="text1"/>
          <w14:textFill>
            <w14:solidFill>
              <w14:schemeClr w14:val="tx1"/>
            </w14:solidFill>
          </w14:textFill>
        </w:rPr>
        <w:t>0.8</w:t>
      </w:r>
      <w:r>
        <w:rPr>
          <w:rFonts w:cs="Cambria"/>
          <w:color w:val="000000" w:themeColor="text1"/>
          <w14:textFill>
            <w14:solidFill>
              <w14:schemeClr w14:val="tx1"/>
            </w14:solidFill>
          </w14:textFill>
        </w:rPr>
        <w:t>万人，保护下游耕地</w:t>
      </w:r>
      <w:r>
        <w:rPr>
          <w:rFonts w:cs="Times New Roman"/>
          <w:color w:val="000000" w:themeColor="text1"/>
          <w14:textFill>
            <w14:solidFill>
              <w14:schemeClr w14:val="tx1"/>
            </w14:solidFill>
          </w14:textFill>
        </w:rPr>
        <w:t>1.5</w:t>
      </w:r>
      <w:r>
        <w:rPr>
          <w:rFonts w:cs="Cambria"/>
          <w:color w:val="000000" w:themeColor="text1"/>
          <w14:textFill>
            <w14:solidFill>
              <w14:schemeClr w14:val="tx1"/>
            </w14:solidFill>
          </w14:textFill>
        </w:rPr>
        <w:t>万亩</w:t>
      </w:r>
      <w:r>
        <w:rPr>
          <w:color w:val="000000" w:themeColor="text1"/>
          <w14:textFill>
            <w14:solidFill>
              <w14:schemeClr w14:val="tx1"/>
            </w14:solidFill>
          </w14:textFill>
        </w:rPr>
        <w:t>；</w:t>
      </w:r>
    </w:p>
    <w:p w14:paraId="41AC426D">
      <w:pPr>
        <w:ind w:firstLine="640"/>
        <w:rPr>
          <w:color w:val="000000" w:themeColor="text1"/>
          <w14:textFill>
            <w14:solidFill>
              <w14:schemeClr w14:val="tx1"/>
            </w14:solidFill>
          </w14:textFill>
        </w:rPr>
      </w:pPr>
      <w:r>
        <w:rPr>
          <w:color w:val="000000" w:themeColor="text1"/>
          <w14:textFill>
            <w14:solidFill>
              <w14:schemeClr w14:val="tx1"/>
            </w14:solidFill>
          </w14:textFill>
        </w:rPr>
        <w:t>岔河水库，1980年12月建成</w:t>
      </w:r>
      <w:r>
        <w:rPr>
          <w:rFonts w:cs="Cambria"/>
          <w:color w:val="000000" w:themeColor="text1"/>
          <w14:textFill>
            <w14:solidFill>
              <w14:schemeClr w14:val="tx1"/>
            </w14:solidFill>
          </w14:textFill>
        </w:rPr>
        <w:t>，</w:t>
      </w:r>
      <w:r>
        <w:rPr>
          <w:color w:val="000000" w:themeColor="text1"/>
          <w14:textFill>
            <w14:solidFill>
              <w14:schemeClr w14:val="tx1"/>
            </w14:solidFill>
          </w14:textFill>
        </w:rPr>
        <w:t>2003年做过除险加固，工程规模为中型，坝型为均质土坝，</w:t>
      </w:r>
      <w:r>
        <w:rPr>
          <w:rFonts w:cs="Cambria"/>
          <w:color w:val="000000" w:themeColor="text1"/>
          <w14:textFill>
            <w14:solidFill>
              <w14:schemeClr w14:val="tx1"/>
            </w14:solidFill>
          </w14:textFill>
        </w:rPr>
        <w:t>最大坝高</w:t>
      </w:r>
      <w:r>
        <w:rPr>
          <w:rFonts w:cs="Times New Roman"/>
          <w:color w:val="000000" w:themeColor="text1"/>
          <w14:textFill>
            <w14:solidFill>
              <w14:schemeClr w14:val="tx1"/>
            </w14:solidFill>
          </w14:textFill>
        </w:rPr>
        <w:t>44.6</w:t>
      </w:r>
      <w:r>
        <w:rPr>
          <w:rFonts w:cs="Cambria"/>
          <w:color w:val="000000" w:themeColor="text1"/>
          <w14:textFill>
            <w14:solidFill>
              <w14:schemeClr w14:val="tx1"/>
            </w14:solidFill>
          </w14:textFill>
        </w:rPr>
        <w:t>m，</w:t>
      </w:r>
      <w:r>
        <w:rPr>
          <w:color w:val="000000" w:themeColor="text1"/>
          <w14:textFill>
            <w14:solidFill>
              <w14:schemeClr w14:val="tx1"/>
            </w14:solidFill>
          </w14:textFill>
        </w:rPr>
        <w:t>总库容3121万m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现状放水涵洞渗漏、左坝肩渗漏，规划放水涵洞防渗处理，投资5600万元。除险加固后，新增灌溉面积1.06万m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，增加城镇年供水量415.35万m</w:t>
      </w:r>
      <w:r>
        <w:rPr>
          <w:rFonts w:cs="Cambria"/>
          <w:color w:val="000000" w:themeColor="text1"/>
          <w14:textFill>
            <w14:solidFill>
              <w14:schemeClr w14:val="tx1"/>
            </w14:solidFill>
          </w14:textFill>
        </w:rPr>
        <w:t>³，恢复供水人口</w:t>
      </w:r>
      <w:r>
        <w:rPr>
          <w:rFonts w:cs="Times New Roman"/>
          <w:color w:val="000000" w:themeColor="text1"/>
          <w14:textFill>
            <w14:solidFill>
              <w14:schemeClr w14:val="tx1"/>
            </w14:solidFill>
          </w14:textFill>
        </w:rPr>
        <w:t>3.5</w:t>
      </w:r>
      <w:r>
        <w:rPr>
          <w:rFonts w:cs="Cambria"/>
          <w:color w:val="000000" w:themeColor="text1"/>
          <w14:textFill>
            <w14:solidFill>
              <w14:schemeClr w14:val="tx1"/>
            </w14:solidFill>
          </w14:textFill>
        </w:rPr>
        <w:t>万人，保护下游人口</w:t>
      </w:r>
      <w:r>
        <w:rPr>
          <w:rFonts w:cs="Times New Roman"/>
          <w:color w:val="000000" w:themeColor="text1"/>
          <w14:textFill>
            <w14:solidFill>
              <w14:schemeClr w14:val="tx1"/>
            </w14:solidFill>
          </w14:textFill>
        </w:rPr>
        <w:t>4.1</w:t>
      </w:r>
      <w:r>
        <w:rPr>
          <w:rFonts w:cs="Cambria"/>
          <w:color w:val="000000" w:themeColor="text1"/>
          <w14:textFill>
            <w14:solidFill>
              <w14:schemeClr w14:val="tx1"/>
            </w14:solidFill>
          </w14:textFill>
        </w:rPr>
        <w:t>万人，保护下游耕地</w:t>
      </w:r>
      <w:r>
        <w:rPr>
          <w:rFonts w:cs="Times New Roman"/>
          <w:color w:val="000000" w:themeColor="text1"/>
          <w14:textFill>
            <w14:solidFill>
              <w14:schemeClr w14:val="tx1"/>
            </w14:solidFill>
          </w14:textFill>
        </w:rPr>
        <w:t>3</w:t>
      </w:r>
      <w:r>
        <w:rPr>
          <w:rFonts w:cs="Cambria"/>
          <w:color w:val="000000" w:themeColor="text1"/>
          <w14:textFill>
            <w14:solidFill>
              <w14:schemeClr w14:val="tx1"/>
            </w14:solidFill>
          </w14:textFill>
        </w:rPr>
        <w:t>万亩</w:t>
      </w:r>
      <w:r>
        <w:rPr>
          <w:color w:val="000000" w:themeColor="text1"/>
          <w14:textFill>
            <w14:solidFill>
              <w14:schemeClr w14:val="tx1"/>
            </w14:solidFill>
          </w14:textFill>
        </w:rPr>
        <w:t>。</w:t>
      </w:r>
    </w:p>
    <w:p w14:paraId="09515F00">
      <w:pPr>
        <w:ind w:firstLine="643"/>
        <w:rPr>
          <w:b/>
          <w:color w:val="000000" w:themeColor="text1"/>
          <w14:textFill>
            <w14:solidFill>
              <w14:schemeClr w14:val="tx1"/>
            </w14:solidFill>
          </w14:textFill>
        </w:rPr>
      </w:pPr>
      <w:r>
        <w:rPr>
          <w:b/>
          <w:color w:val="000000" w:themeColor="text1"/>
          <w14:textFill>
            <w14:solidFill>
              <w14:schemeClr w14:val="tx1"/>
            </w14:solidFill>
          </w14:textFill>
        </w:rPr>
        <w:t>小（1）型水库：1件，总投资800万元。</w:t>
      </w:r>
    </w:p>
    <w:p w14:paraId="31C5EDE9">
      <w:pPr>
        <w:ind w:firstLine="640"/>
        <w:rPr>
          <w:color w:val="000000" w:themeColor="text1"/>
          <w14:textFill>
            <w14:solidFill>
              <w14:schemeClr w14:val="tx1"/>
            </w14:solidFill>
          </w14:textFill>
        </w:rPr>
      </w:pPr>
      <w:r>
        <w:rPr>
          <w:color w:val="000000" w:themeColor="text1"/>
          <w14:textFill>
            <w14:solidFill>
              <w14:schemeClr w14:val="tx1"/>
            </w14:solidFill>
          </w14:textFill>
        </w:rPr>
        <w:t>芦柴冲水库，2014年7月建成，工程规模为小（1）型，坝型为粘土心墙坝，</w:t>
      </w:r>
      <w:r>
        <w:rPr>
          <w:rFonts w:cs="Cambria"/>
          <w:color w:val="000000" w:themeColor="text1"/>
          <w14:textFill>
            <w14:solidFill>
              <w14:schemeClr w14:val="tx1"/>
            </w14:solidFill>
          </w14:textFill>
        </w:rPr>
        <w:t>最大坝高46.1m，</w:t>
      </w:r>
      <w:r>
        <w:rPr>
          <w:color w:val="000000" w:themeColor="text1"/>
          <w14:textFill>
            <w14:solidFill>
              <w14:schemeClr w14:val="tx1"/>
            </w14:solidFill>
          </w14:textFill>
        </w:rPr>
        <w:t>总库容106.6万m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现状接触带渗漏，规划对放水涵洞防渗处理，投资800万元。除险加固后，新增灌溉面积0.273万m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r>
        <w:rPr>
          <w:rFonts w:cs="Cambria"/>
          <w:color w:val="000000" w:themeColor="text1"/>
          <w14:textFill>
            <w14:solidFill>
              <w14:schemeClr w14:val="tx1"/>
            </w14:solidFill>
          </w14:textFill>
        </w:rPr>
        <w:t>恢复供水人口</w:t>
      </w:r>
      <w:r>
        <w:rPr>
          <w:rFonts w:cs="Times New Roman"/>
          <w:color w:val="000000" w:themeColor="text1"/>
          <w14:textFill>
            <w14:solidFill>
              <w14:schemeClr w14:val="tx1"/>
            </w14:solidFill>
          </w14:textFill>
        </w:rPr>
        <w:t>0.03</w:t>
      </w:r>
      <w:r>
        <w:rPr>
          <w:rFonts w:cs="Cambria"/>
          <w:color w:val="000000" w:themeColor="text1"/>
          <w14:textFill>
            <w14:solidFill>
              <w14:schemeClr w14:val="tx1"/>
            </w14:solidFill>
          </w14:textFill>
        </w:rPr>
        <w:t>万人，保护下游人口</w:t>
      </w:r>
      <w:r>
        <w:rPr>
          <w:rFonts w:cs="Times New Roman"/>
          <w:color w:val="000000" w:themeColor="text1"/>
          <w14:textFill>
            <w14:solidFill>
              <w14:schemeClr w14:val="tx1"/>
            </w14:solidFill>
          </w14:textFill>
        </w:rPr>
        <w:t>0.35</w:t>
      </w:r>
      <w:r>
        <w:rPr>
          <w:rFonts w:cs="Cambria"/>
          <w:color w:val="000000" w:themeColor="text1"/>
          <w14:textFill>
            <w14:solidFill>
              <w14:schemeClr w14:val="tx1"/>
            </w14:solidFill>
          </w14:textFill>
        </w:rPr>
        <w:t>万人，保护下游耕地</w:t>
      </w:r>
      <w:r>
        <w:rPr>
          <w:rFonts w:cs="Times New Roman"/>
          <w:color w:val="000000" w:themeColor="text1"/>
          <w14:textFill>
            <w14:solidFill>
              <w14:schemeClr w14:val="tx1"/>
            </w14:solidFill>
          </w14:textFill>
        </w:rPr>
        <w:t>0.4</w:t>
      </w:r>
      <w:r>
        <w:rPr>
          <w:rFonts w:cs="Cambria"/>
          <w:color w:val="000000" w:themeColor="text1"/>
          <w14:textFill>
            <w14:solidFill>
              <w14:schemeClr w14:val="tx1"/>
            </w14:solidFill>
          </w14:textFill>
        </w:rPr>
        <w:t>万亩</w:t>
      </w:r>
      <w:r>
        <w:rPr>
          <w:color w:val="000000" w:themeColor="text1"/>
          <w14:textFill>
            <w14:solidFill>
              <w14:schemeClr w14:val="tx1"/>
            </w14:solidFill>
          </w14:textFill>
        </w:rPr>
        <w:t>。</w:t>
      </w:r>
    </w:p>
    <w:p w14:paraId="637C335A">
      <w:pPr>
        <w:ind w:firstLine="643"/>
        <w:rPr>
          <w:color w:val="000000" w:themeColor="text1"/>
          <w14:textFill>
            <w14:solidFill>
              <w14:schemeClr w14:val="tx1"/>
            </w14:solidFill>
          </w14:textFill>
        </w:rPr>
      </w:pPr>
      <w:r>
        <w:rPr>
          <w:b/>
          <w:color w:val="000000" w:themeColor="text1"/>
          <w14:textFill>
            <w14:solidFill>
              <w14:schemeClr w14:val="tx1"/>
            </w14:solidFill>
          </w14:textFill>
        </w:rPr>
        <w:t>小（2）型水库：14件，总投资3500万元。</w:t>
      </w:r>
    </w:p>
    <w:p w14:paraId="7D86EDEF">
      <w:pPr>
        <w:ind w:firstLine="640"/>
        <w:rPr>
          <w:color w:val="000000" w:themeColor="text1"/>
          <w14:textFill>
            <w14:solidFill>
              <w14:schemeClr w14:val="tx1"/>
            </w14:solidFill>
          </w14:textFill>
        </w:rPr>
      </w:pPr>
      <w:r>
        <w:rPr>
          <w:color w:val="000000" w:themeColor="text1"/>
          <w14:textFill>
            <w14:solidFill>
              <w14:schemeClr w14:val="tx1"/>
            </w14:solidFill>
          </w14:textFill>
        </w:rPr>
        <w:t>龙泉水库，1964年12月建成，2005年做过除险加固，工程规模为小（2）型，主坝坝型为均质土坝，最大坝高25 m，总库容43.9万m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现状涵洞渗漏、下游坝脚渗漏、接触带渗漏，规划对放水涵洞进行防渗处理，投资250万元。除险加固后，新增灌溉面积0.14万亩，增加供水人口4万人，保护下游人口3.1万人，保护下游耕地0.14万亩；</w:t>
      </w:r>
    </w:p>
    <w:p w14:paraId="5FEC6189">
      <w:pPr>
        <w:ind w:firstLine="640"/>
        <w:rPr>
          <w:color w:val="000000" w:themeColor="text1"/>
          <w14:textFill>
            <w14:solidFill>
              <w14:schemeClr w14:val="tx1"/>
            </w14:solidFill>
          </w14:textFill>
        </w:rPr>
      </w:pPr>
      <w:r>
        <w:rPr>
          <w:color w:val="000000" w:themeColor="text1"/>
          <w14:textFill>
            <w14:solidFill>
              <w14:schemeClr w14:val="tx1"/>
            </w14:solidFill>
          </w14:textFill>
        </w:rPr>
        <w:t>浦贝瓦窑坝水库，1958年建成，工程规模为小（2）型，主坝坝型为均质土坝，最大坝高14 m，总库容45万m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现状无溢洪道，内外坝坡变形严重，放水闸门启闭不灵，规划新建溢洪道，内外坝坡整形，放水设施改造，投资250万元。除险加固后，新增灌溉面积0.06万m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r>
        <w:rPr>
          <w:rFonts w:cs="Cambria"/>
          <w:color w:val="000000" w:themeColor="text1"/>
          <w14:textFill>
            <w14:solidFill>
              <w14:schemeClr w14:val="tx1"/>
            </w14:solidFill>
          </w14:textFill>
        </w:rPr>
        <w:t>保护下游人口</w:t>
      </w:r>
      <w:r>
        <w:rPr>
          <w:rFonts w:cs="Times New Roman"/>
          <w:color w:val="000000" w:themeColor="text1"/>
          <w14:textFill>
            <w14:solidFill>
              <w14:schemeClr w14:val="tx1"/>
            </w14:solidFill>
          </w14:textFill>
        </w:rPr>
        <w:t>0.12</w:t>
      </w:r>
      <w:r>
        <w:rPr>
          <w:rFonts w:cs="Cambria"/>
          <w:color w:val="000000" w:themeColor="text1"/>
          <w14:textFill>
            <w14:solidFill>
              <w14:schemeClr w14:val="tx1"/>
            </w14:solidFill>
          </w14:textFill>
        </w:rPr>
        <w:t>万人，保护下游耕地</w:t>
      </w:r>
      <w:r>
        <w:rPr>
          <w:rFonts w:cs="Times New Roman"/>
          <w:color w:val="000000" w:themeColor="text1"/>
          <w14:textFill>
            <w14:solidFill>
              <w14:schemeClr w14:val="tx1"/>
            </w14:solidFill>
          </w14:textFill>
        </w:rPr>
        <w:t>0.06</w:t>
      </w:r>
      <w:r>
        <w:rPr>
          <w:rFonts w:cs="Cambria"/>
          <w:color w:val="000000" w:themeColor="text1"/>
          <w14:textFill>
            <w14:solidFill>
              <w14:schemeClr w14:val="tx1"/>
            </w14:solidFill>
          </w14:textFill>
        </w:rPr>
        <w:t>万亩</w:t>
      </w:r>
      <w:r>
        <w:rPr>
          <w:color w:val="000000" w:themeColor="text1"/>
          <w14:textFill>
            <w14:solidFill>
              <w14:schemeClr w14:val="tx1"/>
            </w14:solidFill>
          </w14:textFill>
        </w:rPr>
        <w:t>；</w:t>
      </w:r>
    </w:p>
    <w:p w14:paraId="29EEB7ED">
      <w:pPr>
        <w:ind w:firstLine="640"/>
        <w:rPr>
          <w:color w:val="000000" w:themeColor="text1"/>
          <w14:textFill>
            <w14:solidFill>
              <w14:schemeClr w14:val="tx1"/>
            </w14:solidFill>
          </w14:textFill>
        </w:rPr>
      </w:pPr>
      <w:r>
        <w:rPr>
          <w:color w:val="000000" w:themeColor="text1"/>
          <w14:textFill>
            <w14:solidFill>
              <w14:schemeClr w14:val="tx1"/>
            </w14:solidFill>
          </w14:textFill>
        </w:rPr>
        <w:t>马头大坝水库，1959年4月建成，工程规模为小（2）型，坝型为均质土坝，最大坝高15 m，总库容15万m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现状库区渗漏严重，规划对放水涵洞进行防渗处理，投资250万元。除险加固后，新增灌溉面积0.036万m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r>
        <w:rPr>
          <w:rFonts w:cs="Cambria"/>
          <w:color w:val="000000" w:themeColor="text1"/>
          <w14:textFill>
            <w14:solidFill>
              <w14:schemeClr w14:val="tx1"/>
            </w14:solidFill>
          </w14:textFill>
        </w:rPr>
        <w:t>恢复供水人口</w:t>
      </w:r>
      <w:r>
        <w:rPr>
          <w:rFonts w:cs="Times New Roman"/>
          <w:color w:val="000000" w:themeColor="text1"/>
          <w14:textFill>
            <w14:solidFill>
              <w14:schemeClr w14:val="tx1"/>
            </w14:solidFill>
          </w14:textFill>
        </w:rPr>
        <w:t>0.08</w:t>
      </w:r>
      <w:r>
        <w:rPr>
          <w:rFonts w:cs="Cambria"/>
          <w:color w:val="000000" w:themeColor="text1"/>
          <w14:textFill>
            <w14:solidFill>
              <w14:schemeClr w14:val="tx1"/>
            </w14:solidFill>
          </w14:textFill>
        </w:rPr>
        <w:t>万人，保护下游人口</w:t>
      </w:r>
      <w:r>
        <w:rPr>
          <w:rFonts w:cs="Times New Roman"/>
          <w:color w:val="000000" w:themeColor="text1"/>
          <w14:textFill>
            <w14:solidFill>
              <w14:schemeClr w14:val="tx1"/>
            </w14:solidFill>
          </w14:textFill>
        </w:rPr>
        <w:t>0.08</w:t>
      </w:r>
      <w:r>
        <w:rPr>
          <w:rFonts w:cs="Cambria"/>
          <w:color w:val="000000" w:themeColor="text1"/>
          <w14:textFill>
            <w14:solidFill>
              <w14:schemeClr w14:val="tx1"/>
            </w14:solidFill>
          </w14:textFill>
        </w:rPr>
        <w:t>万人，保护下游耕地</w:t>
      </w:r>
      <w:r>
        <w:rPr>
          <w:rFonts w:cs="Times New Roman"/>
          <w:color w:val="000000" w:themeColor="text1"/>
          <w14:textFill>
            <w14:solidFill>
              <w14:schemeClr w14:val="tx1"/>
            </w14:solidFill>
          </w14:textFill>
        </w:rPr>
        <w:t>0.036</w:t>
      </w:r>
      <w:r>
        <w:rPr>
          <w:rFonts w:cs="Cambria"/>
          <w:color w:val="000000" w:themeColor="text1"/>
          <w14:textFill>
            <w14:solidFill>
              <w14:schemeClr w14:val="tx1"/>
            </w14:solidFill>
          </w14:textFill>
        </w:rPr>
        <w:t>万亩</w:t>
      </w:r>
      <w:r>
        <w:rPr>
          <w:color w:val="000000" w:themeColor="text1"/>
          <w14:textFill>
            <w14:solidFill>
              <w14:schemeClr w14:val="tx1"/>
            </w14:solidFill>
          </w14:textFill>
        </w:rPr>
        <w:t>；</w:t>
      </w:r>
    </w:p>
    <w:p w14:paraId="2EC4FDE8">
      <w:pPr>
        <w:ind w:firstLine="640"/>
        <w:rPr>
          <w:color w:val="000000" w:themeColor="text1"/>
          <w14:textFill>
            <w14:solidFill>
              <w14:schemeClr w14:val="tx1"/>
            </w14:solidFill>
          </w14:textFill>
        </w:rPr>
      </w:pPr>
      <w:r>
        <w:rPr>
          <w:color w:val="000000" w:themeColor="text1"/>
          <w14:textFill>
            <w14:solidFill>
              <w14:schemeClr w14:val="tx1"/>
            </w14:solidFill>
          </w14:textFill>
        </w:rPr>
        <w:t>起富郎大箐坝水库，2000年3月建成，工程规模为小（2）型，坝型为粘土心墙坝，最大坝高22.4 m，总库容10万m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现状溢洪道防洪能力低、坝坡渗漏，规划改造溢洪道、坝体防渗，投资250万元。除险加固后，新增灌溉面积0.043万m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r>
        <w:rPr>
          <w:rFonts w:cs="Cambria"/>
          <w:color w:val="000000" w:themeColor="text1"/>
          <w14:textFill>
            <w14:solidFill>
              <w14:schemeClr w14:val="tx1"/>
            </w14:solidFill>
          </w14:textFill>
        </w:rPr>
        <w:t>保护下游人口</w:t>
      </w:r>
      <w:r>
        <w:rPr>
          <w:rFonts w:cs="Times New Roman"/>
          <w:color w:val="000000" w:themeColor="text1"/>
          <w14:textFill>
            <w14:solidFill>
              <w14:schemeClr w14:val="tx1"/>
            </w14:solidFill>
          </w14:textFill>
        </w:rPr>
        <w:t>0.01</w:t>
      </w:r>
      <w:r>
        <w:rPr>
          <w:rFonts w:cs="Cambria"/>
          <w:color w:val="000000" w:themeColor="text1"/>
          <w14:textFill>
            <w14:solidFill>
              <w14:schemeClr w14:val="tx1"/>
            </w14:solidFill>
          </w14:textFill>
        </w:rPr>
        <w:t>万人，保护下游耕地0.04</w:t>
      </w:r>
      <w:r>
        <w:rPr>
          <w:rFonts w:cs="Times New Roman"/>
          <w:color w:val="000000" w:themeColor="text1"/>
          <w14:textFill>
            <w14:solidFill>
              <w14:schemeClr w14:val="tx1"/>
            </w14:solidFill>
          </w14:textFill>
        </w:rPr>
        <w:t>3</w:t>
      </w:r>
      <w:r>
        <w:rPr>
          <w:rFonts w:cs="Cambria"/>
          <w:color w:val="000000" w:themeColor="text1"/>
          <w14:textFill>
            <w14:solidFill>
              <w14:schemeClr w14:val="tx1"/>
            </w14:solidFill>
          </w14:textFill>
        </w:rPr>
        <w:t>万亩</w:t>
      </w:r>
      <w:r>
        <w:rPr>
          <w:color w:val="000000" w:themeColor="text1"/>
          <w14:textFill>
            <w14:solidFill>
              <w14:schemeClr w14:val="tx1"/>
            </w14:solidFill>
          </w14:textFill>
        </w:rPr>
        <w:t>；</w:t>
      </w:r>
    </w:p>
    <w:p w14:paraId="1C91C62A">
      <w:pPr>
        <w:ind w:firstLine="640"/>
        <w:rPr>
          <w:color w:val="000000" w:themeColor="text1"/>
          <w14:textFill>
            <w14:solidFill>
              <w14:schemeClr w14:val="tx1"/>
            </w14:solidFill>
          </w14:textFill>
        </w:rPr>
      </w:pPr>
      <w:r>
        <w:rPr>
          <w:color w:val="000000" w:themeColor="text1"/>
          <w14:textFill>
            <w14:solidFill>
              <w14:schemeClr w14:val="tx1"/>
            </w14:solidFill>
          </w14:textFill>
        </w:rPr>
        <w:t>棕树箐水库，2013年12月建成，工程规模为小（2）型，坝型为粘土心墙坝，最大坝高29.3 m，总库容26.1万m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现状涵洞渗漏、下游坝脚渗漏、接触带渗漏，规划进行防渗处理，投资250万元。除险加固后，新增灌溉面积0.07万m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p>
    <w:p w14:paraId="259A17A1">
      <w:pPr>
        <w:ind w:firstLine="640"/>
        <w:rPr>
          <w:color w:val="000000" w:themeColor="text1"/>
          <w14:textFill>
            <w14:solidFill>
              <w14:schemeClr w14:val="tx1"/>
            </w14:solidFill>
          </w14:textFill>
        </w:rPr>
      </w:pPr>
      <w:r>
        <w:rPr>
          <w:color w:val="000000" w:themeColor="text1"/>
          <w14:textFill>
            <w14:solidFill>
              <w14:schemeClr w14:val="tx1"/>
            </w14:solidFill>
          </w14:textFill>
        </w:rPr>
        <w:t>铜厂一坝，1957年1月建成，工程规模为小（2）型，坝型为粘土心墙坝，最大坝高15 m，总库容15万m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现状溢洪道防洪能力低、坝坡渗漏，规划改造溢洪道、坝体防渗，投资250万元。除险加固后，新增灌溉面积0.05万m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r>
        <w:rPr>
          <w:rFonts w:cs="Cambria"/>
          <w:color w:val="000000" w:themeColor="text1"/>
          <w14:textFill>
            <w14:solidFill>
              <w14:schemeClr w14:val="tx1"/>
            </w14:solidFill>
          </w14:textFill>
        </w:rPr>
        <w:t>保护下游人口</w:t>
      </w:r>
      <w:r>
        <w:rPr>
          <w:rFonts w:cs="Times New Roman"/>
          <w:color w:val="000000" w:themeColor="text1"/>
          <w14:textFill>
            <w14:solidFill>
              <w14:schemeClr w14:val="tx1"/>
            </w14:solidFill>
          </w14:textFill>
        </w:rPr>
        <w:t>0.05</w:t>
      </w:r>
      <w:r>
        <w:rPr>
          <w:rFonts w:cs="Cambria"/>
          <w:color w:val="000000" w:themeColor="text1"/>
          <w14:textFill>
            <w14:solidFill>
              <w14:schemeClr w14:val="tx1"/>
            </w14:solidFill>
          </w14:textFill>
        </w:rPr>
        <w:t>万人，保护下游耕地</w:t>
      </w:r>
      <w:r>
        <w:rPr>
          <w:rFonts w:cs="Times New Roman"/>
          <w:color w:val="000000" w:themeColor="text1"/>
          <w14:textFill>
            <w14:solidFill>
              <w14:schemeClr w14:val="tx1"/>
            </w14:solidFill>
          </w14:textFill>
        </w:rPr>
        <w:t>0.02</w:t>
      </w:r>
      <w:r>
        <w:rPr>
          <w:rFonts w:cs="Cambria"/>
          <w:color w:val="000000" w:themeColor="text1"/>
          <w14:textFill>
            <w14:solidFill>
              <w14:schemeClr w14:val="tx1"/>
            </w14:solidFill>
          </w14:textFill>
        </w:rPr>
        <w:t>万亩</w:t>
      </w:r>
      <w:r>
        <w:rPr>
          <w:color w:val="000000" w:themeColor="text1"/>
          <w14:textFill>
            <w14:solidFill>
              <w14:schemeClr w14:val="tx1"/>
            </w14:solidFill>
          </w14:textFill>
        </w:rPr>
        <w:t>；</w:t>
      </w:r>
    </w:p>
    <w:p w14:paraId="508D9309">
      <w:pPr>
        <w:ind w:firstLine="640"/>
        <w:rPr>
          <w:color w:val="000000" w:themeColor="text1"/>
          <w14:textFill>
            <w14:solidFill>
              <w14:schemeClr w14:val="tx1"/>
            </w14:solidFill>
          </w14:textFill>
        </w:rPr>
      </w:pPr>
      <w:r>
        <w:rPr>
          <w:color w:val="000000" w:themeColor="text1"/>
          <w14:textFill>
            <w14:solidFill>
              <w14:schemeClr w14:val="tx1"/>
            </w14:solidFill>
          </w14:textFill>
        </w:rPr>
        <w:t>米苴大湾坝，1976年3月年建成，工程规模为小（2）型，坝型为均质土坝，最大坝高8.5 m，总库容15万m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现状无坝脚渗漏、放水设备老化，规划防渗处理、放水设施处理，投资250万元。除险加固后，新增灌溉面积0.056万m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r>
        <w:rPr>
          <w:rFonts w:cs="Cambria"/>
          <w:color w:val="000000" w:themeColor="text1"/>
          <w14:textFill>
            <w14:solidFill>
              <w14:schemeClr w14:val="tx1"/>
            </w14:solidFill>
          </w14:textFill>
        </w:rPr>
        <w:t>保护下游人口</w:t>
      </w:r>
      <w:r>
        <w:rPr>
          <w:rFonts w:cs="Times New Roman"/>
          <w:color w:val="000000" w:themeColor="text1"/>
          <w14:textFill>
            <w14:solidFill>
              <w14:schemeClr w14:val="tx1"/>
            </w14:solidFill>
          </w14:textFill>
        </w:rPr>
        <w:t>0.06</w:t>
      </w:r>
      <w:r>
        <w:rPr>
          <w:rFonts w:cs="Cambria"/>
          <w:color w:val="000000" w:themeColor="text1"/>
          <w14:textFill>
            <w14:solidFill>
              <w14:schemeClr w14:val="tx1"/>
            </w14:solidFill>
          </w14:textFill>
        </w:rPr>
        <w:t>万人，保护下游耕地</w:t>
      </w:r>
      <w:r>
        <w:rPr>
          <w:rFonts w:cs="Times New Roman"/>
          <w:color w:val="000000" w:themeColor="text1"/>
          <w14:textFill>
            <w14:solidFill>
              <w14:schemeClr w14:val="tx1"/>
            </w14:solidFill>
          </w14:textFill>
        </w:rPr>
        <w:t>0.04</w:t>
      </w:r>
      <w:r>
        <w:rPr>
          <w:rFonts w:cs="Cambria"/>
          <w:color w:val="000000" w:themeColor="text1"/>
          <w14:textFill>
            <w14:solidFill>
              <w14:schemeClr w14:val="tx1"/>
            </w14:solidFill>
          </w14:textFill>
        </w:rPr>
        <w:t>万亩</w:t>
      </w:r>
      <w:r>
        <w:rPr>
          <w:color w:val="000000" w:themeColor="text1"/>
          <w14:textFill>
            <w14:solidFill>
              <w14:schemeClr w14:val="tx1"/>
            </w14:solidFill>
          </w14:textFill>
        </w:rPr>
        <w:t>；</w:t>
      </w:r>
    </w:p>
    <w:p w14:paraId="6DFB96DF">
      <w:pPr>
        <w:ind w:firstLine="640"/>
        <w:rPr>
          <w:color w:val="000000" w:themeColor="text1"/>
          <w14:textFill>
            <w14:solidFill>
              <w14:schemeClr w14:val="tx1"/>
            </w14:solidFill>
          </w14:textFill>
        </w:rPr>
      </w:pPr>
      <w:r>
        <w:rPr>
          <w:color w:val="000000" w:themeColor="text1"/>
          <w14:textFill>
            <w14:solidFill>
              <w14:schemeClr w14:val="tx1"/>
            </w14:solidFill>
          </w14:textFill>
        </w:rPr>
        <w:t>米苴窝么苴坝水库，1990年8月年建成，工程规模为小（2）型，坝型为均质土坝，最大坝高17.7 m，总库容15万m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现状溢洪道防洪能力低、坝坡渗漏，规划改造溢洪道、坝体防渗，投资250万元。除险加固后，新增灌溉面积0.05万m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r>
        <w:rPr>
          <w:rFonts w:cs="Cambria"/>
          <w:color w:val="000000" w:themeColor="text1"/>
          <w14:textFill>
            <w14:solidFill>
              <w14:schemeClr w14:val="tx1"/>
            </w14:solidFill>
          </w14:textFill>
        </w:rPr>
        <w:t>保护下游人口</w:t>
      </w:r>
      <w:r>
        <w:rPr>
          <w:rFonts w:cs="Times New Roman"/>
          <w:color w:val="000000" w:themeColor="text1"/>
          <w14:textFill>
            <w14:solidFill>
              <w14:schemeClr w14:val="tx1"/>
            </w14:solidFill>
          </w14:textFill>
        </w:rPr>
        <w:t>0.03</w:t>
      </w:r>
      <w:r>
        <w:rPr>
          <w:rFonts w:cs="Cambria"/>
          <w:color w:val="000000" w:themeColor="text1"/>
          <w14:textFill>
            <w14:solidFill>
              <w14:schemeClr w14:val="tx1"/>
            </w14:solidFill>
          </w14:textFill>
        </w:rPr>
        <w:t>万人，保护下游耕地</w:t>
      </w:r>
      <w:r>
        <w:rPr>
          <w:rFonts w:cs="Times New Roman"/>
          <w:color w:val="000000" w:themeColor="text1"/>
          <w14:textFill>
            <w14:solidFill>
              <w14:schemeClr w14:val="tx1"/>
            </w14:solidFill>
          </w14:textFill>
        </w:rPr>
        <w:t>0.016</w:t>
      </w:r>
      <w:r>
        <w:rPr>
          <w:rFonts w:cs="Cambria"/>
          <w:color w:val="000000" w:themeColor="text1"/>
          <w14:textFill>
            <w14:solidFill>
              <w14:schemeClr w14:val="tx1"/>
            </w14:solidFill>
          </w14:textFill>
        </w:rPr>
        <w:t>万亩</w:t>
      </w:r>
      <w:r>
        <w:rPr>
          <w:color w:val="000000" w:themeColor="text1"/>
          <w14:textFill>
            <w14:solidFill>
              <w14:schemeClr w14:val="tx1"/>
            </w14:solidFill>
          </w14:textFill>
        </w:rPr>
        <w:t>；</w:t>
      </w:r>
    </w:p>
    <w:p w14:paraId="5A85112C">
      <w:pPr>
        <w:ind w:firstLine="640"/>
        <w:rPr>
          <w:color w:val="000000" w:themeColor="text1"/>
          <w14:textFill>
            <w14:solidFill>
              <w14:schemeClr w14:val="tx1"/>
            </w14:solidFill>
          </w14:textFill>
        </w:rPr>
      </w:pPr>
      <w:r>
        <w:rPr>
          <w:color w:val="000000" w:themeColor="text1"/>
          <w14:textFill>
            <w14:solidFill>
              <w14:schemeClr w14:val="tx1"/>
            </w14:solidFill>
          </w14:textFill>
        </w:rPr>
        <w:t>小街瓦窑坝，1970年6月年建成，工程规模为小（2）型，坝型为均质土坝，最大坝高11.5 m，总库容18万m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现状坝体、涵洞渗漏，规划改造溢洪道、涵洞防渗，投资250万元。除险加固后，新增灌溉面积0.03万m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r>
        <w:rPr>
          <w:rFonts w:cs="Cambria"/>
          <w:color w:val="000000" w:themeColor="text1"/>
          <w14:textFill>
            <w14:solidFill>
              <w14:schemeClr w14:val="tx1"/>
            </w14:solidFill>
          </w14:textFill>
        </w:rPr>
        <w:t>保护下游人口</w:t>
      </w:r>
      <w:r>
        <w:rPr>
          <w:rFonts w:cs="Times New Roman"/>
          <w:color w:val="000000" w:themeColor="text1"/>
          <w14:textFill>
            <w14:solidFill>
              <w14:schemeClr w14:val="tx1"/>
            </w14:solidFill>
          </w14:textFill>
        </w:rPr>
        <w:t>0.148</w:t>
      </w:r>
      <w:r>
        <w:rPr>
          <w:rFonts w:cs="Cambria"/>
          <w:color w:val="000000" w:themeColor="text1"/>
          <w14:textFill>
            <w14:solidFill>
              <w14:schemeClr w14:val="tx1"/>
            </w14:solidFill>
          </w14:textFill>
        </w:rPr>
        <w:t>万人，保护下游耕地</w:t>
      </w:r>
      <w:r>
        <w:rPr>
          <w:rFonts w:cs="Times New Roman"/>
          <w:color w:val="000000" w:themeColor="text1"/>
          <w14:textFill>
            <w14:solidFill>
              <w14:schemeClr w14:val="tx1"/>
            </w14:solidFill>
          </w14:textFill>
        </w:rPr>
        <w:t>0.023</w:t>
      </w:r>
      <w:r>
        <w:rPr>
          <w:rFonts w:cs="Cambria"/>
          <w:color w:val="000000" w:themeColor="text1"/>
          <w14:textFill>
            <w14:solidFill>
              <w14:schemeClr w14:val="tx1"/>
            </w14:solidFill>
          </w14:textFill>
        </w:rPr>
        <w:t>万亩</w:t>
      </w:r>
      <w:r>
        <w:rPr>
          <w:color w:val="000000" w:themeColor="text1"/>
          <w14:textFill>
            <w14:solidFill>
              <w14:schemeClr w14:val="tx1"/>
            </w14:solidFill>
          </w14:textFill>
        </w:rPr>
        <w:t>；</w:t>
      </w:r>
    </w:p>
    <w:p w14:paraId="3CA7A02A">
      <w:pPr>
        <w:ind w:firstLine="640"/>
        <w:rPr>
          <w:color w:val="000000" w:themeColor="text1"/>
          <w14:textFill>
            <w14:solidFill>
              <w14:schemeClr w14:val="tx1"/>
            </w14:solidFill>
          </w14:textFill>
        </w:rPr>
      </w:pPr>
      <w:r>
        <w:rPr>
          <w:color w:val="000000" w:themeColor="text1"/>
          <w14:textFill>
            <w14:solidFill>
              <w14:schemeClr w14:val="tx1"/>
            </w14:solidFill>
          </w14:textFill>
        </w:rPr>
        <w:t>杨保庄坝，1998年6月年建成，工程规模为小（2）型，坝型为均质土坝，最大坝高22.28 m，总库容15万m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现状坝体、涵洞渗漏，规划防渗处理、放水设施处理，投资250万元。除险加固后，新增灌溉面积0.094万m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r>
        <w:rPr>
          <w:rFonts w:cs="Cambria"/>
          <w:color w:val="000000" w:themeColor="text1"/>
          <w14:textFill>
            <w14:solidFill>
              <w14:schemeClr w14:val="tx1"/>
            </w14:solidFill>
          </w14:textFill>
        </w:rPr>
        <w:t>恢复供水人口</w:t>
      </w:r>
      <w:r>
        <w:rPr>
          <w:rFonts w:cs="Times New Roman"/>
          <w:color w:val="000000" w:themeColor="text1"/>
          <w14:textFill>
            <w14:solidFill>
              <w14:schemeClr w14:val="tx1"/>
            </w14:solidFill>
          </w14:textFill>
        </w:rPr>
        <w:t>0.078</w:t>
      </w:r>
      <w:r>
        <w:rPr>
          <w:rFonts w:cs="Cambria"/>
          <w:color w:val="000000" w:themeColor="text1"/>
          <w14:textFill>
            <w14:solidFill>
              <w14:schemeClr w14:val="tx1"/>
            </w14:solidFill>
          </w14:textFill>
        </w:rPr>
        <w:t>万人，保护下游人口</w:t>
      </w:r>
      <w:r>
        <w:rPr>
          <w:rFonts w:cs="Times New Roman"/>
          <w:color w:val="000000" w:themeColor="text1"/>
          <w14:textFill>
            <w14:solidFill>
              <w14:schemeClr w14:val="tx1"/>
            </w14:solidFill>
          </w14:textFill>
        </w:rPr>
        <w:t>0.078</w:t>
      </w:r>
      <w:r>
        <w:rPr>
          <w:rFonts w:cs="Cambria"/>
          <w:color w:val="000000" w:themeColor="text1"/>
          <w14:textFill>
            <w14:solidFill>
              <w14:schemeClr w14:val="tx1"/>
            </w14:solidFill>
          </w14:textFill>
        </w:rPr>
        <w:t>万人，保护下游耕地</w:t>
      </w:r>
      <w:r>
        <w:rPr>
          <w:rFonts w:cs="Times New Roman"/>
          <w:color w:val="000000" w:themeColor="text1"/>
          <w14:textFill>
            <w14:solidFill>
              <w14:schemeClr w14:val="tx1"/>
            </w14:solidFill>
          </w14:textFill>
        </w:rPr>
        <w:t>0.034</w:t>
      </w:r>
      <w:r>
        <w:rPr>
          <w:rFonts w:cs="Cambria"/>
          <w:color w:val="000000" w:themeColor="text1"/>
          <w14:textFill>
            <w14:solidFill>
              <w14:schemeClr w14:val="tx1"/>
            </w14:solidFill>
          </w14:textFill>
        </w:rPr>
        <w:t>万亩</w:t>
      </w:r>
      <w:r>
        <w:rPr>
          <w:color w:val="000000" w:themeColor="text1"/>
          <w14:textFill>
            <w14:solidFill>
              <w14:schemeClr w14:val="tx1"/>
            </w14:solidFill>
          </w14:textFill>
        </w:rPr>
        <w:t>；</w:t>
      </w:r>
    </w:p>
    <w:p w14:paraId="501C2EAA">
      <w:pPr>
        <w:ind w:firstLine="640"/>
        <w:rPr>
          <w:color w:val="000000" w:themeColor="text1"/>
          <w14:textFill>
            <w14:solidFill>
              <w14:schemeClr w14:val="tx1"/>
            </w14:solidFill>
          </w14:textFill>
        </w:rPr>
      </w:pPr>
      <w:r>
        <w:rPr>
          <w:color w:val="000000" w:themeColor="text1"/>
          <w14:textFill>
            <w14:solidFill>
              <w14:schemeClr w14:val="tx1"/>
            </w14:solidFill>
          </w14:textFill>
        </w:rPr>
        <w:t>水桥上村坝，2010年8月年建成，工程规模为小（2）型，坝型为均质土坝，最大坝高21 m，总库容12万m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现状坝体、涵洞渗漏，规划防渗处理、放水设施处理，投资250万元。除险加固后，新增灌溉面积0.129万m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r>
        <w:rPr>
          <w:rFonts w:cs="Cambria"/>
          <w:color w:val="000000" w:themeColor="text1"/>
          <w14:textFill>
            <w14:solidFill>
              <w14:schemeClr w14:val="tx1"/>
            </w14:solidFill>
          </w14:textFill>
        </w:rPr>
        <w:t>保护下游人口</w:t>
      </w:r>
      <w:r>
        <w:rPr>
          <w:rFonts w:cs="Times New Roman"/>
          <w:color w:val="000000" w:themeColor="text1"/>
          <w14:textFill>
            <w14:solidFill>
              <w14:schemeClr w14:val="tx1"/>
            </w14:solidFill>
          </w14:textFill>
        </w:rPr>
        <w:t>0.135</w:t>
      </w:r>
      <w:r>
        <w:rPr>
          <w:rFonts w:cs="Cambria"/>
          <w:color w:val="000000" w:themeColor="text1"/>
          <w14:textFill>
            <w14:solidFill>
              <w14:schemeClr w14:val="tx1"/>
            </w14:solidFill>
          </w14:textFill>
        </w:rPr>
        <w:t>万人，保护下游耕地</w:t>
      </w:r>
      <w:r>
        <w:rPr>
          <w:rFonts w:cs="Times New Roman"/>
          <w:color w:val="000000" w:themeColor="text1"/>
          <w14:textFill>
            <w14:solidFill>
              <w14:schemeClr w14:val="tx1"/>
            </w14:solidFill>
          </w14:textFill>
        </w:rPr>
        <w:t>0.129</w:t>
      </w:r>
      <w:r>
        <w:rPr>
          <w:rFonts w:cs="Cambria"/>
          <w:color w:val="000000" w:themeColor="text1"/>
          <w14:textFill>
            <w14:solidFill>
              <w14:schemeClr w14:val="tx1"/>
            </w14:solidFill>
          </w14:textFill>
        </w:rPr>
        <w:t>万亩</w:t>
      </w:r>
      <w:r>
        <w:rPr>
          <w:color w:val="000000" w:themeColor="text1"/>
          <w14:textFill>
            <w14:solidFill>
              <w14:schemeClr w14:val="tx1"/>
            </w14:solidFill>
          </w14:textFill>
        </w:rPr>
        <w:t>；</w:t>
      </w:r>
    </w:p>
    <w:p w14:paraId="15F2A797">
      <w:pPr>
        <w:ind w:firstLine="640"/>
        <w:rPr>
          <w:color w:val="000000" w:themeColor="text1"/>
          <w14:textFill>
            <w14:solidFill>
              <w14:schemeClr w14:val="tx1"/>
            </w14:solidFill>
          </w14:textFill>
        </w:rPr>
      </w:pPr>
      <w:r>
        <w:rPr>
          <w:color w:val="000000" w:themeColor="text1"/>
          <w14:textFill>
            <w14:solidFill>
              <w14:schemeClr w14:val="tx1"/>
            </w14:solidFill>
          </w14:textFill>
        </w:rPr>
        <w:t>水凹坝，1991年12月年建成，工程规模为小（2）型，坝型为均质土坝，最大坝高22 m，总库容18万m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现状无溢洪道，无排水棱体，规划新建溢洪道、排水棱体，投资250万元。除险加固后，新增灌溉面积0.006万m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r>
        <w:rPr>
          <w:rFonts w:cs="Cambria"/>
          <w:color w:val="000000" w:themeColor="text1"/>
          <w14:textFill>
            <w14:solidFill>
              <w14:schemeClr w14:val="tx1"/>
            </w14:solidFill>
          </w14:textFill>
        </w:rPr>
        <w:t>保护下游人口</w:t>
      </w:r>
      <w:r>
        <w:rPr>
          <w:rFonts w:cs="Times New Roman"/>
          <w:color w:val="000000" w:themeColor="text1"/>
          <w14:textFill>
            <w14:solidFill>
              <w14:schemeClr w14:val="tx1"/>
            </w14:solidFill>
          </w14:textFill>
        </w:rPr>
        <w:t>0.072</w:t>
      </w:r>
      <w:r>
        <w:rPr>
          <w:rFonts w:cs="Cambria"/>
          <w:color w:val="000000" w:themeColor="text1"/>
          <w14:textFill>
            <w14:solidFill>
              <w14:schemeClr w14:val="tx1"/>
            </w14:solidFill>
          </w14:textFill>
        </w:rPr>
        <w:t>万人，保护下游耕地</w:t>
      </w:r>
      <w:r>
        <w:rPr>
          <w:rFonts w:cs="Times New Roman"/>
          <w:color w:val="000000" w:themeColor="text1"/>
          <w14:textFill>
            <w14:solidFill>
              <w14:schemeClr w14:val="tx1"/>
            </w14:solidFill>
          </w14:textFill>
        </w:rPr>
        <w:t>0.167</w:t>
      </w:r>
      <w:r>
        <w:rPr>
          <w:rFonts w:cs="Cambria"/>
          <w:color w:val="000000" w:themeColor="text1"/>
          <w14:textFill>
            <w14:solidFill>
              <w14:schemeClr w14:val="tx1"/>
            </w14:solidFill>
          </w14:textFill>
        </w:rPr>
        <w:t>万亩</w:t>
      </w:r>
      <w:r>
        <w:rPr>
          <w:color w:val="000000" w:themeColor="text1"/>
          <w14:textFill>
            <w14:solidFill>
              <w14:schemeClr w14:val="tx1"/>
            </w14:solidFill>
          </w14:textFill>
        </w:rPr>
        <w:t>；</w:t>
      </w:r>
    </w:p>
    <w:p w14:paraId="25886D9D">
      <w:pPr>
        <w:ind w:firstLine="640"/>
        <w:rPr>
          <w:color w:val="000000" w:themeColor="text1"/>
          <w14:textFill>
            <w14:solidFill>
              <w14:schemeClr w14:val="tx1"/>
            </w14:solidFill>
          </w14:textFill>
        </w:rPr>
      </w:pPr>
      <w:r>
        <w:rPr>
          <w:color w:val="000000" w:themeColor="text1"/>
          <w14:textFill>
            <w14:solidFill>
              <w14:schemeClr w14:val="tx1"/>
            </w14:solidFill>
          </w14:textFill>
        </w:rPr>
        <w:t>圆心坝，1995年8月年建成，工程规模为小（2）型，坝型为均质土坝，最大坝高8 m，总库容18万m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现状坝体渗流、无倒滤体、溢洪道泄洪能力低，规划改造溢洪道、坝体防渗，投资250万元。除险加固后，新增灌溉面积0.04万m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r>
        <w:rPr>
          <w:rFonts w:cs="Cambria"/>
          <w:color w:val="000000" w:themeColor="text1"/>
          <w14:textFill>
            <w14:solidFill>
              <w14:schemeClr w14:val="tx1"/>
            </w14:solidFill>
          </w14:textFill>
        </w:rPr>
        <w:t>保护下游人口</w:t>
      </w:r>
      <w:r>
        <w:rPr>
          <w:rFonts w:cs="Times New Roman"/>
          <w:color w:val="000000" w:themeColor="text1"/>
          <w14:textFill>
            <w14:solidFill>
              <w14:schemeClr w14:val="tx1"/>
            </w14:solidFill>
          </w14:textFill>
        </w:rPr>
        <w:t>0.06</w:t>
      </w:r>
      <w:r>
        <w:rPr>
          <w:rFonts w:cs="Cambria"/>
          <w:color w:val="000000" w:themeColor="text1"/>
          <w14:textFill>
            <w14:solidFill>
              <w14:schemeClr w14:val="tx1"/>
            </w14:solidFill>
          </w14:textFill>
        </w:rPr>
        <w:t>万人，保护下游耕地</w:t>
      </w:r>
      <w:r>
        <w:rPr>
          <w:rFonts w:cs="Times New Roman"/>
          <w:color w:val="000000" w:themeColor="text1"/>
          <w14:textFill>
            <w14:solidFill>
              <w14:schemeClr w14:val="tx1"/>
            </w14:solidFill>
          </w14:textFill>
        </w:rPr>
        <w:t>0.05</w:t>
      </w:r>
      <w:r>
        <w:rPr>
          <w:rFonts w:cs="Cambria"/>
          <w:color w:val="000000" w:themeColor="text1"/>
          <w14:textFill>
            <w14:solidFill>
              <w14:schemeClr w14:val="tx1"/>
            </w14:solidFill>
          </w14:textFill>
        </w:rPr>
        <w:t>万亩</w:t>
      </w:r>
      <w:r>
        <w:rPr>
          <w:color w:val="000000" w:themeColor="text1"/>
          <w14:textFill>
            <w14:solidFill>
              <w14:schemeClr w14:val="tx1"/>
            </w14:solidFill>
          </w14:textFill>
        </w:rPr>
        <w:t>；</w:t>
      </w:r>
    </w:p>
    <w:p w14:paraId="3D632E49">
      <w:pPr>
        <w:ind w:firstLine="640"/>
        <w:rPr>
          <w:color w:val="000000" w:themeColor="text1"/>
          <w14:textFill>
            <w14:solidFill>
              <w14:schemeClr w14:val="tx1"/>
            </w14:solidFill>
          </w14:textFill>
        </w:rPr>
      </w:pPr>
      <w:r>
        <w:rPr>
          <w:color w:val="000000" w:themeColor="text1"/>
          <w14:textFill>
            <w14:solidFill>
              <w14:schemeClr w14:val="tx1"/>
            </w14:solidFill>
          </w14:textFill>
        </w:rPr>
        <w:t>东山箐水库，1996年5月建成，工程规模为小（2）型，坝型为粘土心墙坝，最大坝高29.5 m，总库容54万m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现状涵洞渗漏、坝体渗漏、导滤被掩埋，规划防渗处理、放水设施处理，投资250万元。除险加固后，新增灌溉面积0.03万m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r>
        <w:rPr>
          <w:rFonts w:cs="Cambria"/>
          <w:color w:val="000000" w:themeColor="text1"/>
          <w14:textFill>
            <w14:solidFill>
              <w14:schemeClr w14:val="tx1"/>
            </w14:solidFill>
          </w14:textFill>
        </w:rPr>
        <w:t>恢复供水人口</w:t>
      </w:r>
      <w:r>
        <w:rPr>
          <w:rFonts w:cs="Times New Roman"/>
          <w:color w:val="000000" w:themeColor="text1"/>
          <w14:textFill>
            <w14:solidFill>
              <w14:schemeClr w14:val="tx1"/>
            </w14:solidFill>
          </w14:textFill>
        </w:rPr>
        <w:t>0.73</w:t>
      </w:r>
      <w:r>
        <w:rPr>
          <w:rFonts w:cs="Cambria"/>
          <w:color w:val="000000" w:themeColor="text1"/>
          <w14:textFill>
            <w14:solidFill>
              <w14:schemeClr w14:val="tx1"/>
            </w14:solidFill>
          </w14:textFill>
        </w:rPr>
        <w:t>万人，保护下游人口</w:t>
      </w:r>
      <w:r>
        <w:rPr>
          <w:rFonts w:cs="Times New Roman"/>
          <w:color w:val="000000" w:themeColor="text1"/>
          <w14:textFill>
            <w14:solidFill>
              <w14:schemeClr w14:val="tx1"/>
            </w14:solidFill>
          </w14:textFill>
        </w:rPr>
        <w:t>0.73</w:t>
      </w:r>
      <w:r>
        <w:rPr>
          <w:rFonts w:cs="Cambria"/>
          <w:color w:val="000000" w:themeColor="text1"/>
          <w14:textFill>
            <w14:solidFill>
              <w14:schemeClr w14:val="tx1"/>
            </w14:solidFill>
          </w14:textFill>
        </w:rPr>
        <w:t>万人，保护下游耕地</w:t>
      </w:r>
      <w:r>
        <w:rPr>
          <w:rFonts w:cs="Times New Roman"/>
          <w:color w:val="000000" w:themeColor="text1"/>
          <w14:textFill>
            <w14:solidFill>
              <w14:schemeClr w14:val="tx1"/>
            </w14:solidFill>
          </w14:textFill>
        </w:rPr>
        <w:t>0.16</w:t>
      </w:r>
      <w:r>
        <w:rPr>
          <w:rFonts w:cs="Cambria"/>
          <w:color w:val="000000" w:themeColor="text1"/>
          <w14:textFill>
            <w14:solidFill>
              <w14:schemeClr w14:val="tx1"/>
            </w14:solidFill>
          </w14:textFill>
        </w:rPr>
        <w:t>万亩；</w:t>
      </w:r>
    </w:p>
    <w:p w14:paraId="5CEE87BE">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易门县小坝塘整治扩容工程，对全县69座小坝塘进行除险加固处理，投资6900万元；</w:t>
      </w:r>
    </w:p>
    <w:p w14:paraId="10459EF6">
      <w:pPr>
        <w:ind w:firstLine="643"/>
        <w:rPr>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②</w:t>
      </w:r>
      <w:r>
        <w:rPr>
          <w:b/>
          <w:color w:val="000000" w:themeColor="text1"/>
          <w14:textFill>
            <w14:solidFill>
              <w14:schemeClr w14:val="tx1"/>
            </w14:solidFill>
          </w14:textFill>
        </w:rPr>
        <w:t>病险闸除险加固</w:t>
      </w:r>
    </w:p>
    <w:p w14:paraId="728C9174">
      <w:pPr>
        <w:ind w:firstLine="640"/>
        <w:rPr>
          <w:color w:val="000000" w:themeColor="text1"/>
          <w14:textFill>
            <w14:solidFill>
              <w14:schemeClr w14:val="tx1"/>
            </w14:solidFill>
          </w14:textFill>
        </w:rPr>
      </w:pPr>
      <w:r>
        <w:rPr>
          <w:color w:val="000000" w:themeColor="text1"/>
          <w14:textFill>
            <w14:solidFill>
              <w14:schemeClr w14:val="tx1"/>
            </w14:solidFill>
          </w14:textFill>
        </w:rPr>
        <w:t>规划对三五大河水闸（4座）进行除险加固，1989年建成，现在启闭不灵活、闸门槽渗漏，规划更换启闭设施、闸门槽、止水，投资1000万元。除险加固后，保护人口5万人，恢复排涝面积2.1万亩；</w:t>
      </w:r>
    </w:p>
    <w:p w14:paraId="254AD741">
      <w:pPr>
        <w:ind w:firstLine="640"/>
        <w:rPr>
          <w:color w:val="000000" w:themeColor="text1"/>
          <w14:textFill>
            <w14:solidFill>
              <w14:schemeClr w14:val="tx1"/>
            </w14:solidFill>
          </w14:textFill>
        </w:rPr>
      </w:pPr>
      <w:r>
        <w:rPr>
          <w:color w:val="000000" w:themeColor="text1"/>
          <w14:textFill>
            <w14:solidFill>
              <w14:schemeClr w14:val="tx1"/>
            </w14:solidFill>
          </w14:textFill>
        </w:rPr>
        <w:t>驿马坡水闸、团山水闸、六街河水闸、白龙河水闸、蔡韩河水闸五座，主要存在启闭不灵活、闸门槽渗漏，规划更换启闭设施、闸门槽、止水，投资1000万元。除险加固后，保护人口4.5，恢复排涝面积1.73万亩；</w:t>
      </w:r>
    </w:p>
    <w:p w14:paraId="579D5F07">
      <w:pPr>
        <w:ind w:firstLine="643"/>
        <w:rPr>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③</w:t>
      </w:r>
      <w:r>
        <w:rPr>
          <w:b/>
          <w:color w:val="000000" w:themeColor="text1"/>
          <w14:textFill>
            <w14:solidFill>
              <w14:schemeClr w14:val="tx1"/>
            </w14:solidFill>
          </w14:textFill>
        </w:rPr>
        <w:t>水库清淤增效</w:t>
      </w:r>
    </w:p>
    <w:p w14:paraId="5FE6E52C">
      <w:pPr>
        <w:ind w:firstLine="640"/>
        <w:rPr>
          <w:color w:val="000000" w:themeColor="text1"/>
          <w14:textFill>
            <w14:solidFill>
              <w14:schemeClr w14:val="tx1"/>
            </w14:solidFill>
          </w14:textFill>
        </w:rPr>
      </w:pPr>
      <w:r>
        <w:rPr>
          <w:color w:val="000000" w:themeColor="text1"/>
          <w14:textFill>
            <w14:solidFill>
              <w14:schemeClr w14:val="tx1"/>
            </w14:solidFill>
          </w14:textFill>
        </w:rPr>
        <w:t>规划水库清淤增效项目22件，分别是岔河、大谷厂、沙衣、东山、丰收、小河、东山箐、大兴坝、老赵村、马头、樟木箐、黑龙一库、金田龙潭坝、杨保庄、草箐丰收、龙泉、园心坝、铜厂一坝、三岔河坝、汉泥田、红岩一库及红岩二库，总投资19414.80万元。</w:t>
      </w:r>
    </w:p>
    <w:p w14:paraId="4821CE46">
      <w:pPr>
        <w:ind w:firstLine="643"/>
        <w:rPr>
          <w:b/>
          <w:color w:val="000000" w:themeColor="text1"/>
          <w14:textFill>
            <w14:solidFill>
              <w14:schemeClr w14:val="tx1"/>
            </w14:solidFill>
          </w14:textFill>
        </w:rPr>
      </w:pPr>
      <w:r>
        <w:rPr>
          <w:b/>
          <w:color w:val="000000" w:themeColor="text1"/>
          <w14:textFill>
            <w14:solidFill>
              <w14:schemeClr w14:val="tx1"/>
            </w14:solidFill>
          </w14:textFill>
        </w:rPr>
        <w:t>中型水库：2件，总投资14787.6万元。</w:t>
      </w:r>
    </w:p>
    <w:p w14:paraId="2C3ABFD6">
      <w:pPr>
        <w:ind w:firstLine="640"/>
        <w:rPr>
          <w:color w:val="000000" w:themeColor="text1"/>
          <w14:textFill>
            <w14:solidFill>
              <w14:schemeClr w14:val="tx1"/>
            </w14:solidFill>
          </w14:textFill>
        </w:rPr>
      </w:pPr>
      <w:r>
        <w:rPr>
          <w:color w:val="000000" w:themeColor="text1"/>
          <w14:textFill>
            <w14:solidFill>
              <w14:schemeClr w14:val="tx1"/>
            </w14:solidFill>
          </w14:textFill>
        </w:rPr>
        <w:t>岔河水库，总库容3121万m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，兴利库容2140万m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，死库容360万m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，农业灌溉供水范围及对象为六街街道、龙泉街道、浦贝乡，供水合计2137万m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。水库总淤积量238万m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，共清淤238万m</w:t>
      </w:r>
      <w:r>
        <w:rPr>
          <w:rFonts w:eastAsia="宋体" w:cs="Times New Roman"/>
          <w:color w:val="000000" w:themeColor="text1"/>
          <w14:textFill>
            <w14:solidFill>
              <w14:schemeClr w14:val="tx1"/>
            </w14:solidFill>
          </w14:textFill>
        </w:rPr>
        <w:t>³</w:t>
      </w:r>
      <w:r>
        <w:rPr>
          <w:color w:val="000000" w:themeColor="text1"/>
          <w14:textFill>
            <w14:solidFill>
              <w14:schemeClr w14:val="tx1"/>
            </w14:solidFill>
          </w14:textFill>
        </w:rPr>
        <w:t>，清淤后兴利库容2140万m</w:t>
      </w:r>
      <w:r>
        <w:rPr>
          <w:rFonts w:eastAsia="宋体" w:cs="宋体"/>
          <w:color w:val="000000" w:themeColor="text1"/>
          <w14:textFill>
            <w14:solidFill>
              <w14:schemeClr w14:val="tx1"/>
            </w14:solidFill>
          </w14:textFill>
        </w:rPr>
        <w:t>³</w:t>
      </w:r>
      <w:r>
        <w:rPr>
          <w:rFonts w:cs="方正仿宋_GBK"/>
          <w:color w:val="000000" w:themeColor="text1"/>
          <w14:textFill>
            <w14:solidFill>
              <w14:schemeClr w14:val="tx1"/>
            </w14:solidFill>
          </w14:textFill>
        </w:rPr>
        <w:t>，恢复供水量合计</w:t>
      </w:r>
      <w:r>
        <w:rPr>
          <w:color w:val="000000" w:themeColor="text1"/>
          <w14:textFill>
            <w14:solidFill>
              <w14:schemeClr w14:val="tx1"/>
            </w14:solidFill>
          </w14:textFill>
        </w:rPr>
        <w:t>2137万m</w:t>
      </w:r>
      <w:r>
        <w:rPr>
          <w:rFonts w:eastAsia="宋体" w:cs="宋体"/>
          <w:color w:val="000000" w:themeColor="text1"/>
          <w14:textFill>
            <w14:solidFill>
              <w14:schemeClr w14:val="tx1"/>
            </w14:solidFill>
          </w14:textFill>
        </w:rPr>
        <w:t>³</w:t>
      </w:r>
      <w:r>
        <w:rPr>
          <w:rFonts w:cs="方正仿宋_GBK"/>
          <w:color w:val="000000" w:themeColor="text1"/>
          <w14:textFill>
            <w14:solidFill>
              <w14:schemeClr w14:val="tx1"/>
            </w14:solidFill>
          </w14:textFill>
        </w:rPr>
        <w:t>，恢复灌溉面积</w:t>
      </w:r>
      <w:r>
        <w:rPr>
          <w:color w:val="000000" w:themeColor="text1"/>
          <w14:textFill>
            <w14:solidFill>
              <w14:schemeClr w14:val="tx1"/>
            </w14:solidFill>
          </w14:textFill>
        </w:rPr>
        <w:t>4万亩，投资9520万元；</w:t>
      </w:r>
    </w:p>
    <w:p w14:paraId="08698396">
      <w:pPr>
        <w:ind w:firstLine="640"/>
        <w:rPr>
          <w:color w:val="000000" w:themeColor="text1"/>
          <w14:textFill>
            <w14:solidFill>
              <w14:schemeClr w14:val="tx1"/>
            </w14:solidFill>
          </w14:textFill>
        </w:rPr>
      </w:pPr>
      <w:r>
        <w:rPr>
          <w:color w:val="000000" w:themeColor="text1"/>
          <w14:textFill>
            <w14:solidFill>
              <w14:schemeClr w14:val="tx1"/>
            </w14:solidFill>
          </w14:textFill>
        </w:rPr>
        <w:t>大谷厂水库，总库容3033万m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，兴利库容2420万m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，死库容290万m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，农业灌溉供水范围及对象为龙泉街道、浦贝乡，供水合计2496万m</w:t>
      </w:r>
      <w:r>
        <w:rPr>
          <w:rFonts w:cs="Times New Roman"/>
          <w:color w:val="000000" w:themeColor="text1"/>
          <w14:textFill>
            <w14:solidFill>
              <w14:schemeClr w14:val="tx1"/>
            </w14:solidFill>
          </w14:textFill>
        </w:rPr>
        <w:t>³</w:t>
      </w:r>
      <w:r>
        <w:rPr>
          <w:color w:val="000000" w:themeColor="text1"/>
          <w14:textFill>
            <w14:solidFill>
              <w14:schemeClr w14:val="tx1"/>
            </w14:solidFill>
          </w14:textFill>
        </w:rPr>
        <w:t>。总淤积量131.69万m</w:t>
      </w:r>
      <w:r>
        <w:rPr>
          <w:rFonts w:cs="Times New Roman"/>
          <w:color w:val="000000" w:themeColor="text1"/>
          <w14:textFill>
            <w14:solidFill>
              <w14:schemeClr w14:val="tx1"/>
            </w14:solidFill>
          </w14:textFill>
        </w:rPr>
        <w:t>³，共</w:t>
      </w:r>
      <w:r>
        <w:rPr>
          <w:color w:val="000000" w:themeColor="text1"/>
          <w14:textFill>
            <w14:solidFill>
              <w14:schemeClr w14:val="tx1"/>
            </w14:solidFill>
          </w14:textFill>
        </w:rPr>
        <w:t>清淤131.69万m</w:t>
      </w:r>
      <w:r>
        <w:rPr>
          <w:rFonts w:cs="Times New Roman"/>
          <w:color w:val="000000" w:themeColor="text1"/>
          <w14:textFill>
            <w14:solidFill>
              <w14:schemeClr w14:val="tx1"/>
            </w14:solidFill>
          </w14:textFill>
        </w:rPr>
        <w:t>³，</w:t>
      </w:r>
      <w:r>
        <w:rPr>
          <w:color w:val="000000" w:themeColor="text1"/>
          <w14:textFill>
            <w14:solidFill>
              <w14:schemeClr w14:val="tx1"/>
            </w14:solidFill>
          </w14:textFill>
        </w:rPr>
        <w:t>清淤后兴利库容2420万m</w:t>
      </w:r>
      <w:r>
        <w:rPr>
          <w:rFonts w:cs="Times New Roman"/>
          <w:color w:val="000000" w:themeColor="text1"/>
          <w14:textFill>
            <w14:solidFill>
              <w14:schemeClr w14:val="tx1"/>
            </w14:solidFill>
          </w14:textFill>
        </w:rPr>
        <w:t>³</w:t>
      </w:r>
      <w:r>
        <w:rPr>
          <w:color w:val="000000" w:themeColor="text1"/>
          <w14:textFill>
            <w14:solidFill>
              <w14:schemeClr w14:val="tx1"/>
            </w14:solidFill>
          </w14:textFill>
        </w:rPr>
        <w:t>，恢复供水量合计2496万m</w:t>
      </w:r>
      <w:r>
        <w:rPr>
          <w:rFonts w:cs="Times New Roman"/>
          <w:color w:val="000000" w:themeColor="text1"/>
          <w14:textFill>
            <w14:solidFill>
              <w14:schemeClr w14:val="tx1"/>
            </w14:solidFill>
          </w14:textFill>
        </w:rPr>
        <w:t>³</w:t>
      </w:r>
      <w:r>
        <w:rPr>
          <w:color w:val="000000" w:themeColor="text1"/>
          <w14:textFill>
            <w14:solidFill>
              <w14:schemeClr w14:val="tx1"/>
            </w14:solidFill>
          </w14:textFill>
        </w:rPr>
        <w:t>，恢复灌溉面积4.1万亩，投资5267.6万元；</w:t>
      </w:r>
    </w:p>
    <w:p w14:paraId="4467CF2B">
      <w:pPr>
        <w:ind w:firstLine="643"/>
        <w:rPr>
          <w:b/>
          <w:color w:val="000000" w:themeColor="text1"/>
          <w14:textFill>
            <w14:solidFill>
              <w14:schemeClr w14:val="tx1"/>
            </w14:solidFill>
          </w14:textFill>
        </w:rPr>
      </w:pPr>
      <w:r>
        <w:rPr>
          <w:b/>
          <w:color w:val="000000" w:themeColor="text1"/>
          <w14:textFill>
            <w14:solidFill>
              <w14:schemeClr w14:val="tx1"/>
            </w14:solidFill>
          </w14:textFill>
        </w:rPr>
        <w:t>小（1）型水库：4件，总投资2170.4万元</w:t>
      </w:r>
    </w:p>
    <w:p w14:paraId="27478D85">
      <w:pPr>
        <w:ind w:firstLine="640"/>
        <w:rPr>
          <w:color w:val="000000" w:themeColor="text1"/>
          <w14:textFill>
            <w14:solidFill>
              <w14:schemeClr w14:val="tx1"/>
            </w14:solidFill>
          </w14:textFill>
        </w:rPr>
      </w:pPr>
      <w:r>
        <w:rPr>
          <w:color w:val="000000" w:themeColor="text1"/>
          <w14:textFill>
            <w14:solidFill>
              <w14:schemeClr w14:val="tx1"/>
            </w14:solidFill>
          </w14:textFill>
        </w:rPr>
        <w:t>沙衣水库，总库容318万m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，兴利库容285万m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，死库容32.6万m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生活和农业灌溉的供水范围及对象为脚家店、大村、老吾，生活供水40万m³，农业灌溉供水20万m³，供水合计60万m³。水库总淤积量10万m³，共清淤10万m³，清淤后兴利库容285万m³，恢复供水量合计60万m³，恢复灌溉面积0.45万亩，投资400万元；</w:t>
      </w:r>
    </w:p>
    <w:p w14:paraId="006414FF">
      <w:pPr>
        <w:ind w:firstLine="640"/>
        <w:rPr>
          <w:color w:val="000000" w:themeColor="text1"/>
          <w14:textFill>
            <w14:solidFill>
              <w14:schemeClr w14:val="tx1"/>
            </w14:solidFill>
          </w14:textFill>
        </w:rPr>
      </w:pPr>
      <w:r>
        <w:rPr>
          <w:color w:val="000000" w:themeColor="text1"/>
          <w14:textFill>
            <w14:solidFill>
              <w14:schemeClr w14:val="tx1"/>
            </w14:solidFill>
          </w14:textFill>
        </w:rPr>
        <w:t>东山水库，总库容144.4万m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，兴利库容104.4万m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，死库容10.1万m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，农业灌溉供水范围及对象为六街街道茶树社区，供水合计360万m³。水库总淤积量2.52万m³，共清淤2.52万m³，清淤后兴利库容104.4万m³，恢复供水量合计360万m³，恢复灌溉面积0.6万亩，投资100.8万元；</w:t>
      </w:r>
    </w:p>
    <w:p w14:paraId="3C4F19E7">
      <w:pPr>
        <w:ind w:firstLine="640"/>
        <w:rPr>
          <w:color w:val="000000" w:themeColor="text1"/>
          <w14:textFill>
            <w14:solidFill>
              <w14:schemeClr w14:val="tx1"/>
            </w14:solidFill>
          </w14:textFill>
        </w:rPr>
      </w:pPr>
      <w:r>
        <w:rPr>
          <w:color w:val="000000" w:themeColor="text1"/>
          <w14:textFill>
            <w14:solidFill>
              <w14:schemeClr w14:val="tx1"/>
            </w14:solidFill>
          </w14:textFill>
        </w:rPr>
        <w:t>丰收水库，总库容286.6万m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，兴利库容223万m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，死库容14.5万m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，农业灌溉供水范围及对象为龙泉街道蔡营、韩所社区，供水合计360万m³。水库总淤积量35.91万m³，共清淤35.91万m³，清淤后兴利库容223万m³，恢复供水量合计360万m³，恢复灌溉面积0.6万亩，投资1436.4万元；</w:t>
      </w:r>
    </w:p>
    <w:p w14:paraId="40EFDB09">
      <w:pPr>
        <w:ind w:firstLine="640"/>
        <w:rPr>
          <w:color w:val="000000" w:themeColor="text1"/>
          <w14:textFill>
            <w14:solidFill>
              <w14:schemeClr w14:val="tx1"/>
            </w14:solidFill>
          </w14:textFill>
        </w:rPr>
      </w:pPr>
      <w:r>
        <w:rPr>
          <w:color w:val="000000" w:themeColor="text1"/>
          <w14:textFill>
            <w14:solidFill>
              <w14:schemeClr w14:val="tx1"/>
            </w14:solidFill>
          </w14:textFill>
        </w:rPr>
        <w:t>小河水库，总库容554.1万m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，兴利库容342.7万m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，死库容31.7万m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农业灌溉供水范围及对象位六街街道旧县社区、柏树社区，供水合计178.8万m³。水库总淤积量5.83万m³，共清淤5.83万m³，清淤后兴利库容342.7万m³，恢复供水量合计178.8万m³，恢复灌溉面积0.75万亩，投资233.2万元；</w:t>
      </w:r>
    </w:p>
    <w:p w14:paraId="597A6EA2">
      <w:pPr>
        <w:ind w:firstLine="643"/>
        <w:rPr>
          <w:b/>
          <w:color w:val="000000" w:themeColor="text1"/>
          <w14:textFill>
            <w14:solidFill>
              <w14:schemeClr w14:val="tx1"/>
            </w14:solidFill>
          </w14:textFill>
        </w:rPr>
      </w:pPr>
      <w:r>
        <w:rPr>
          <w:b/>
          <w:color w:val="000000" w:themeColor="text1"/>
          <w14:textFill>
            <w14:solidFill>
              <w14:schemeClr w14:val="tx1"/>
            </w14:solidFill>
          </w14:textFill>
        </w:rPr>
        <w:t>小（2）型水库：16件，总投资2456.8万元</w:t>
      </w:r>
    </w:p>
    <w:p w14:paraId="51674A11">
      <w:pPr>
        <w:ind w:firstLine="640"/>
        <w:rPr>
          <w:color w:val="000000" w:themeColor="text1"/>
          <w14:textFill>
            <w14:solidFill>
              <w14:schemeClr w14:val="tx1"/>
            </w14:solidFill>
          </w14:textFill>
        </w:rPr>
      </w:pPr>
      <w:r>
        <w:rPr>
          <w:color w:val="000000" w:themeColor="text1"/>
          <w14:textFill>
            <w14:solidFill>
              <w14:schemeClr w14:val="tx1"/>
            </w14:solidFill>
          </w14:textFill>
        </w:rPr>
        <w:t>东山箐水库，总库容54万m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，兴利库容47.1万m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，死库容2.4万m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生活和农业灌溉的供水范围及对象为六街集镇、二街、柏树社区，供水人口7000人，其中生活供水40万m³，农业灌溉供水18万m³，供水合计58万m³。水库总淤积量4.4万m³，共清淤4.4万m³，清淤后兴利库容47.1万m³，恢复供水量合计58万m³，恢复灌溉面积0.165万亩，投资176万元；</w:t>
      </w:r>
    </w:p>
    <w:p w14:paraId="5D1DC919">
      <w:pPr>
        <w:ind w:firstLine="640"/>
        <w:rPr>
          <w:color w:val="000000" w:themeColor="text1"/>
          <w14:textFill>
            <w14:solidFill>
              <w14:schemeClr w14:val="tx1"/>
            </w14:solidFill>
          </w14:textFill>
        </w:rPr>
      </w:pPr>
      <w:r>
        <w:rPr>
          <w:color w:val="000000" w:themeColor="text1"/>
          <w14:textFill>
            <w14:solidFill>
              <w14:schemeClr w14:val="tx1"/>
            </w14:solidFill>
          </w14:textFill>
        </w:rPr>
        <w:t>大兴坝水库，总库容66.39万m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，兴利库容50.55万m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生活和农业灌溉供水范围及对象为罗台旧村委会罗台旧、寨子、向阳、红石岩、杨梅村、其者山、赵普8个村民小组，其中生活供水10万m³，农业灌溉供水44.12万m³，供水合计54.12万m³。水库总淤积量3万m³，共清淤3万m³，清淤后兴利库容50.55万m³，恢复供水量合计54.12万m³，恢复灌溉面积0.08万亩，投资120万元；</w:t>
      </w:r>
    </w:p>
    <w:p w14:paraId="1FA65F61">
      <w:pPr>
        <w:ind w:firstLine="640"/>
        <w:rPr>
          <w:color w:val="000000" w:themeColor="text1"/>
          <w14:textFill>
            <w14:solidFill>
              <w14:schemeClr w14:val="tx1"/>
            </w14:solidFill>
          </w14:textFill>
        </w:rPr>
      </w:pPr>
      <w:r>
        <w:rPr>
          <w:color w:val="000000" w:themeColor="text1"/>
          <w14:textFill>
            <w14:solidFill>
              <w14:schemeClr w14:val="tx1"/>
            </w14:solidFill>
          </w14:textFill>
        </w:rPr>
        <w:t>老赵村水库，总库容35.3万m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，兴利库容33.3万m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生活和农业灌溉供水范围及对象为竹子村委会，其中生活供水6万m³，农业灌溉供水28.3万m³，供水合计33.3万m³。水库总淤积量4万m³，共清淤4万m³，清淤后兴利库容33.3万m³，恢复供水量合计33.3万m³，恢复灌溉面积0.08万亩，投资160万元；</w:t>
      </w:r>
    </w:p>
    <w:p w14:paraId="51F1D2FB">
      <w:pPr>
        <w:ind w:firstLine="640"/>
        <w:rPr>
          <w:color w:val="000000" w:themeColor="text1"/>
          <w14:textFill>
            <w14:solidFill>
              <w14:schemeClr w14:val="tx1"/>
            </w14:solidFill>
          </w14:textFill>
        </w:rPr>
      </w:pPr>
      <w:r>
        <w:rPr>
          <w:color w:val="000000" w:themeColor="text1"/>
          <w14:textFill>
            <w14:solidFill>
              <w14:schemeClr w14:val="tx1"/>
            </w14:solidFill>
          </w14:textFill>
        </w:rPr>
        <w:t>马头大坝，总库容15万m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，兴利库容13万m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生活和农业灌溉供水范围及对象为马头，其中生活供水8万m³，农业灌溉供水3万m³，供水合计11万m³。水库总淤积量6万m³，共清淤6万m³，清淤后兴利库容13万m³，恢复供水量合计11万m³，恢复灌溉面积0.09万亩，投资240万元；</w:t>
      </w:r>
    </w:p>
    <w:p w14:paraId="1F475AA8">
      <w:pPr>
        <w:ind w:firstLine="640"/>
        <w:rPr>
          <w:color w:val="000000" w:themeColor="text1"/>
          <w14:textFill>
            <w14:solidFill>
              <w14:schemeClr w14:val="tx1"/>
            </w14:solidFill>
          </w14:textFill>
        </w:rPr>
      </w:pPr>
      <w:r>
        <w:rPr>
          <w:color w:val="000000" w:themeColor="text1"/>
          <w14:textFill>
            <w14:solidFill>
              <w14:schemeClr w14:val="tx1"/>
            </w14:solidFill>
          </w14:textFill>
        </w:rPr>
        <w:t>樟木箐水库，总库容25万m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，兴利库容22万m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生活和农业灌溉供水范围及对象位旧县社区樟木箐村、小水井，供水人口420人，其中生活供水3万m³，农业灌溉供水22万m³，供水合计25万m³。水库总淤积量1万m³，共清淤1万m³、清淤后兴利库容22万m³、恢复供水量合计25万m³、恢复灌溉面积0.06万亩、投资40万元；</w:t>
      </w:r>
    </w:p>
    <w:p w14:paraId="1ECE692C">
      <w:pPr>
        <w:ind w:firstLine="640"/>
        <w:rPr>
          <w:color w:val="000000" w:themeColor="text1"/>
          <w14:textFill>
            <w14:solidFill>
              <w14:schemeClr w14:val="tx1"/>
            </w14:solidFill>
          </w14:textFill>
        </w:rPr>
      </w:pPr>
      <w:r>
        <w:rPr>
          <w:color w:val="000000" w:themeColor="text1"/>
          <w14:textFill>
            <w14:solidFill>
              <w14:schemeClr w14:val="tx1"/>
            </w14:solidFill>
          </w14:textFill>
        </w:rPr>
        <w:t>黑龙一库，总库容40万m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，兴利库容34.7万m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，死库容5.3万m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生活和农业灌溉供水范围及对象为集镇、贾姑，其中生活供水10万m³，农业灌溉供水8万m³，供水合计18万m³。水库总淤积量5万m³，共清淤5万m³，清淤后兴利库容34.7万m³，恢复供水量合计18万m³，恢复灌溉面积0.08万亩，投资200万元；</w:t>
      </w:r>
    </w:p>
    <w:p w14:paraId="1EB3B52B">
      <w:pPr>
        <w:ind w:firstLine="640"/>
        <w:rPr>
          <w:color w:val="000000" w:themeColor="text1"/>
          <w14:textFill>
            <w14:solidFill>
              <w14:schemeClr w14:val="tx1"/>
            </w14:solidFill>
          </w14:textFill>
        </w:rPr>
      </w:pPr>
      <w:r>
        <w:rPr>
          <w:color w:val="000000" w:themeColor="text1"/>
          <w14:textFill>
            <w14:solidFill>
              <w14:schemeClr w14:val="tx1"/>
            </w14:solidFill>
          </w14:textFill>
        </w:rPr>
        <w:t>金田龙潭坝，总库容57.1万m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，兴利库容50万m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，死库容6.61万m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生活和农业灌溉供水范围及对象为集镇、金田，其中生活供水10万m³，农业灌溉供水3万m³，供水合计13万m³。水库总淤积量5万m³，共清淤5万m³，清淤后兴利库容50万m³，恢复供水量合计13万m³，恢复灌溉面积0.07万亩，投资200万元；</w:t>
      </w:r>
    </w:p>
    <w:p w14:paraId="40D1DED2">
      <w:pPr>
        <w:ind w:firstLine="640"/>
        <w:rPr>
          <w:color w:val="000000" w:themeColor="text1"/>
          <w14:textFill>
            <w14:solidFill>
              <w14:schemeClr w14:val="tx1"/>
            </w14:solidFill>
          </w14:textFill>
        </w:rPr>
      </w:pPr>
      <w:r>
        <w:rPr>
          <w:color w:val="000000" w:themeColor="text1"/>
          <w14:textFill>
            <w14:solidFill>
              <w14:schemeClr w14:val="tx1"/>
            </w14:solidFill>
          </w14:textFill>
        </w:rPr>
        <w:t>杨保庄水库，总库容15万m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，兴利库容14万m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生活和农业灌溉供水范围及对象为水桥社区，其中生活供水12万m³，农业灌溉供水10万m³，供水合计22万m³。水库总淤积量1万m³，共清淤1万m³，清淤后兴利库容14万m³，恢复供水量合计22万m³，恢复灌溉面积0.06万亩，投资40万元；</w:t>
      </w:r>
    </w:p>
    <w:p w14:paraId="19D83DFD">
      <w:pPr>
        <w:ind w:firstLine="640"/>
        <w:rPr>
          <w:color w:val="000000" w:themeColor="text1"/>
          <w14:textFill>
            <w14:solidFill>
              <w14:schemeClr w14:val="tx1"/>
            </w14:solidFill>
          </w14:textFill>
        </w:rPr>
      </w:pPr>
      <w:r>
        <w:rPr>
          <w:color w:val="000000" w:themeColor="text1"/>
          <w14:textFill>
            <w14:solidFill>
              <w14:schemeClr w14:val="tx1"/>
            </w14:solidFill>
          </w14:textFill>
        </w:rPr>
        <w:t>草箐丰收水库，总库容10万m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，兴利库容9万m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生活和农业灌溉供水范围及对象为草箐村委会阿奴者、塘子边、松树林、施李村、孟家，其中生活供水7万m³，农业灌溉供水8万m³，供水合计15万m³。水库总淤积量3万m³，共清淤3万m³，清淤后兴利库容9万m³，恢复供水量合计15万m³，恢复灌溉面积0.03万亩，投资120万元；</w:t>
      </w:r>
    </w:p>
    <w:p w14:paraId="0ADE6F42">
      <w:pPr>
        <w:ind w:firstLine="640"/>
        <w:rPr>
          <w:color w:val="000000" w:themeColor="text1"/>
          <w14:textFill>
            <w14:solidFill>
              <w14:schemeClr w14:val="tx1"/>
            </w14:solidFill>
          </w14:textFill>
        </w:rPr>
      </w:pPr>
      <w:r>
        <w:rPr>
          <w:color w:val="000000" w:themeColor="text1"/>
          <w14:textFill>
            <w14:solidFill>
              <w14:schemeClr w14:val="tx1"/>
            </w14:solidFill>
          </w14:textFill>
        </w:rPr>
        <w:t>龙泉水库，总库容43.9万m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，兴利库容28.13万m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，死库容0.17万m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，农业灌溉供水范围及对象为龙泉街道，供水合计90万m³。水库总淤积量9.52万m³，共清淤9.52万m³，清淤后兴利库容28.13万m³，恢复供水量合计90万m³，恢复灌溉面积0.14万亩，投资380.8万元；</w:t>
      </w:r>
    </w:p>
    <w:p w14:paraId="7517FC9D">
      <w:pPr>
        <w:ind w:firstLine="640"/>
        <w:rPr>
          <w:color w:val="000000" w:themeColor="text1"/>
          <w14:textFill>
            <w14:solidFill>
              <w14:schemeClr w14:val="tx1"/>
            </w14:solidFill>
          </w14:textFill>
        </w:rPr>
      </w:pPr>
      <w:r>
        <w:rPr>
          <w:color w:val="000000" w:themeColor="text1"/>
          <w14:textFill>
            <w14:solidFill>
              <w14:schemeClr w14:val="tx1"/>
            </w14:solidFill>
          </w14:textFill>
        </w:rPr>
        <w:t>园心坝水库，总库容18万m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，兴利库容13万m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，农业灌溉供水范围及对象为二街社区小旧村、上村、西山600亩，供水合计13万m³。水库总淤积量2万m³，共清淤2万m³，清淤后兴利库容13万m³，恢复供水量合计13万m³，恢复灌溉面积0.06万亩，投资80万元；</w:t>
      </w:r>
    </w:p>
    <w:p w14:paraId="29AAF330">
      <w:pPr>
        <w:ind w:firstLine="640"/>
        <w:rPr>
          <w:color w:val="000000" w:themeColor="text1"/>
          <w14:textFill>
            <w14:solidFill>
              <w14:schemeClr w14:val="tx1"/>
            </w14:solidFill>
          </w14:textFill>
        </w:rPr>
      </w:pPr>
      <w:r>
        <w:rPr>
          <w:color w:val="000000" w:themeColor="text1"/>
          <w14:textFill>
            <w14:solidFill>
              <w14:schemeClr w14:val="tx1"/>
            </w14:solidFill>
          </w14:textFill>
        </w:rPr>
        <w:t>铜厂一坝，总库容15万m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，兴利库容14万m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，农业灌溉供水范围及对象为里士、芭蕉村委会，供水合计25万m³。水库总淤积量3万m³，共清淤3万m³，清淤后兴利库容14万m³，恢复供水量合计25万m³，恢复灌溉面积0.02万亩，投资120万元；</w:t>
      </w:r>
    </w:p>
    <w:p w14:paraId="3C8B8766">
      <w:pPr>
        <w:ind w:firstLine="640"/>
        <w:rPr>
          <w:color w:val="000000" w:themeColor="text1"/>
          <w14:textFill>
            <w14:solidFill>
              <w14:schemeClr w14:val="tx1"/>
            </w14:solidFill>
          </w14:textFill>
        </w:rPr>
      </w:pPr>
      <w:r>
        <w:rPr>
          <w:color w:val="000000" w:themeColor="text1"/>
          <w14:textFill>
            <w14:solidFill>
              <w14:schemeClr w14:val="tx1"/>
            </w14:solidFill>
          </w14:textFill>
        </w:rPr>
        <w:t>三岔河坝，总库容14.46万m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，兴利库容7.82万m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，死库容0.47万m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，供水范围及对象为木冲村委会。水库总淤积量3万m³，共清淤3万m³，清淤后兴利库容7.82万m³，恢复灌溉面积0.044万亩，投资120万元；</w:t>
      </w:r>
    </w:p>
    <w:p w14:paraId="20ED8315">
      <w:pPr>
        <w:ind w:firstLine="640"/>
        <w:rPr>
          <w:color w:val="000000" w:themeColor="text1"/>
          <w14:textFill>
            <w14:solidFill>
              <w14:schemeClr w14:val="tx1"/>
            </w14:solidFill>
          </w14:textFill>
        </w:rPr>
      </w:pPr>
      <w:r>
        <w:rPr>
          <w:color w:val="000000" w:themeColor="text1"/>
          <w14:textFill>
            <w14:solidFill>
              <w14:schemeClr w14:val="tx1"/>
            </w14:solidFill>
          </w14:textFill>
        </w:rPr>
        <w:t>汉泥田水库，总库容10.60万m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，兴利库容7.5万m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，供水范围及对象为狮子山村委会。水库总淤积量1.5万m³，共清淤1.5万m³，清淤后兴利库容7.5万m³，恢复灌溉面积0.012万亩，投资60万元；</w:t>
      </w:r>
    </w:p>
    <w:p w14:paraId="695DBEE0">
      <w:pPr>
        <w:ind w:firstLine="640"/>
        <w:rPr>
          <w:color w:val="000000" w:themeColor="text1"/>
          <w14:textFill>
            <w14:solidFill>
              <w14:schemeClr w14:val="tx1"/>
            </w14:solidFill>
          </w14:textFill>
        </w:rPr>
      </w:pPr>
      <w:r>
        <w:rPr>
          <w:color w:val="000000" w:themeColor="text1"/>
          <w14:textFill>
            <w14:solidFill>
              <w14:schemeClr w14:val="tx1"/>
            </w14:solidFill>
          </w14:textFill>
        </w:rPr>
        <w:t>红岩一库，总库容27.14万m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，兴利库容14.64万m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，死库容1.26万m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，供水范围及对象为普厂村委会。水库总淤积量4万m³，清淤4万m³，清淤后兴利库容14.64万m³，恢复灌溉面积0.08万亩，投资160万元；</w:t>
      </w:r>
    </w:p>
    <w:p w14:paraId="161D2BE4">
      <w:pPr>
        <w:ind w:firstLine="640"/>
        <w:rPr>
          <w:color w:val="000000" w:themeColor="text1"/>
          <w14:textFill>
            <w14:solidFill>
              <w14:schemeClr w14:val="tx1"/>
            </w14:solidFill>
          </w14:textFill>
        </w:rPr>
      </w:pPr>
      <w:r>
        <w:rPr>
          <w:color w:val="000000" w:themeColor="text1"/>
          <w14:textFill>
            <w14:solidFill>
              <w14:schemeClr w14:val="tx1"/>
            </w14:solidFill>
          </w14:textFill>
        </w:rPr>
        <w:t>红岩二库， 总库容94.5万m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，兴利库容87.1万m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，死库容0.7万m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，供水范围及对象为普厂村委会。水库总淤积量6万m³，共清淤6万m³，清淤后兴利库容87.1万m³，恢复灌溉面积0.09万亩，投资240万元；</w:t>
      </w:r>
    </w:p>
    <w:p w14:paraId="6BBB33DB">
      <w:pPr>
        <w:ind w:firstLine="0" w:firstLineChars="0"/>
        <w:jc w:val="left"/>
        <w:outlineLvl w:val="2"/>
        <w:rPr>
          <w:b/>
          <w:color w:val="000000" w:themeColor="text1"/>
          <w14:textFill>
            <w14:solidFill>
              <w14:schemeClr w14:val="tx1"/>
            </w14:solidFill>
          </w14:textFill>
        </w:rPr>
      </w:pPr>
      <w:r>
        <w:rPr>
          <w:b/>
          <w:color w:val="000000" w:themeColor="text1"/>
          <w14:textFill>
            <w14:solidFill>
              <w14:schemeClr w14:val="tx1"/>
            </w14:solidFill>
          </w14:textFill>
        </w:rPr>
        <w:t>（四）重点城市防洪排涝提升</w:t>
      </w:r>
    </w:p>
    <w:p w14:paraId="4039E2A7">
      <w:pPr>
        <w:ind w:firstLine="640"/>
        <w:rPr>
          <w:color w:val="000000" w:themeColor="text1"/>
          <w14:textFill>
            <w14:solidFill>
              <w14:schemeClr w14:val="tx1"/>
            </w14:solidFill>
          </w14:textFill>
        </w:rPr>
      </w:pPr>
      <w:r>
        <w:rPr>
          <w:color w:val="000000" w:themeColor="text1"/>
          <w14:textFill>
            <w14:solidFill>
              <w14:schemeClr w14:val="tx1"/>
            </w14:solidFill>
          </w14:textFill>
        </w:rPr>
        <w:t>跟对易门县三五大河现状行洪不畅，防洪标准不足5年一遇，未达到20年一遇的防洪标准，提升城市防洪排涝，规划新建堤防长度14 km，投资3000万元。</w:t>
      </w:r>
    </w:p>
    <w:p w14:paraId="5A0140DA">
      <w:pPr>
        <w:pStyle w:val="45"/>
        <w:rPr>
          <w:color w:val="000000" w:themeColor="text1"/>
          <w14:textFill>
            <w14:solidFill>
              <w14:schemeClr w14:val="tx1"/>
            </w14:solidFill>
          </w14:textFill>
        </w:rPr>
      </w:pPr>
      <w:bookmarkStart w:id="75" w:name="_Toc19557"/>
      <w:bookmarkStart w:id="76" w:name="_Toc16493"/>
      <w:r>
        <w:rPr>
          <w:color w:val="000000" w:themeColor="text1"/>
          <w14:textFill>
            <w14:solidFill>
              <w14:schemeClr w14:val="tx1"/>
            </w14:solidFill>
          </w14:textFill>
        </w:rPr>
        <w:t>加强洪水风险防控能力</w:t>
      </w:r>
      <w:bookmarkEnd w:id="74"/>
      <w:bookmarkEnd w:id="75"/>
      <w:bookmarkEnd w:id="76"/>
    </w:p>
    <w:p w14:paraId="3D98E877">
      <w:pPr>
        <w:ind w:firstLine="640"/>
        <w:rPr>
          <w:color w:val="000000" w:themeColor="text1"/>
          <w14:textFill>
            <w14:solidFill>
              <w14:schemeClr w14:val="tx1"/>
            </w14:solidFill>
          </w14:textFill>
        </w:rPr>
      </w:pPr>
      <w:bookmarkStart w:id="77" w:name="_Toc6041"/>
      <w:r>
        <w:rPr>
          <w:color w:val="000000" w:themeColor="text1"/>
          <w14:textFill>
            <w14:solidFill>
              <w14:schemeClr w14:val="tx1"/>
            </w14:solidFill>
          </w14:textFill>
        </w:rPr>
        <w:t>通过制定洪水风险管理措施以加强洪水风险防控能力，管理措施分为工程措施和非工程措施。防洪工程措施是一个完整的洪水控制工程体系，它通常包括在上游兴建控制性的水库，拦蓄洪水，削减洪峰；在中下游进行河道整治，修建和加固堤防，以便将洪水约束在河槽里并顺利向下游输送；在重点防护地区修建分洪区，使超过水库、堤防防御能力的洪水有计划地向分滞洪区内分减，调整和扩大洪水泄量，分流、疏导和拦蓄洪水。保护下游地区的安全，减轻洪水灾害等。但是，防洪工程措施也面临着经济、技术、环境等因素的制约。受认识能力、科学技术水平以及经济实力的限制，防洪工程只能达到一定的标准，在超常的洪水面前，防洪工程往往失去作用。</w:t>
      </w:r>
    </w:p>
    <w:p w14:paraId="41E5FA2F">
      <w:pPr>
        <w:ind w:firstLine="640"/>
        <w:rPr>
          <w:color w:val="000000" w:themeColor="text1"/>
          <w14:textFill>
            <w14:solidFill>
              <w14:schemeClr w14:val="tx1"/>
            </w14:solidFill>
          </w14:textFill>
        </w:rPr>
      </w:pPr>
      <w:r>
        <w:rPr>
          <w:color w:val="000000" w:themeColor="text1"/>
          <w14:textFill>
            <w14:solidFill>
              <w14:schemeClr w14:val="tx1"/>
            </w14:solidFill>
          </w14:textFill>
        </w:rPr>
        <w:t>防洪非工程措施，就是通过颁布法律法规或者通过行政管理、经济手段、洪水保险及防洪工程措施以外的其他技术手段来减少洪水灾害损失的措施。它以不改变洪水特性为前提，利用自然和社会条件去适应洪水特性，减少洪水的破坏及造成的损失。防洪非工程措施主要包括建立洪水警报预警系统，加强蓄滞洪区的管理，制定超标准洪水防御措施，实行防洪保险，灾后救济等。通过这些非工程措施，可以预防洪水侵袭，适应各种类型洪水的变化，更好地发挥防洪工程的效益，从而减轻易门洪灾损失。</w:t>
      </w:r>
    </w:p>
    <w:p w14:paraId="51F96ECF">
      <w:pPr>
        <w:ind w:firstLine="720"/>
        <w:rPr>
          <w:rFonts w:eastAsia="黑体" w:cs="黑体"/>
          <w:color w:val="000000" w:themeColor="text1"/>
          <w:sz w:val="36"/>
          <w:szCs w:val="36"/>
          <w14:textFill>
            <w14:solidFill>
              <w14:schemeClr w14:val="tx1"/>
            </w14:solidFill>
          </w14:textFill>
        </w:rPr>
      </w:pPr>
      <w:r>
        <w:rPr>
          <w:rFonts w:eastAsia="黑体" w:cs="黑体"/>
          <w:color w:val="000000" w:themeColor="text1"/>
          <w:sz w:val="36"/>
          <w:szCs w:val="36"/>
          <w14:textFill>
            <w14:solidFill>
              <w14:schemeClr w14:val="tx1"/>
            </w14:solidFill>
          </w14:textFill>
        </w:rPr>
        <w:br w:type="page"/>
      </w:r>
    </w:p>
    <w:p w14:paraId="7499EE1F">
      <w:pPr>
        <w:pStyle w:val="43"/>
        <w:rPr>
          <w:color w:val="000000" w:themeColor="text1"/>
          <w14:textFill>
            <w14:solidFill>
              <w14:schemeClr w14:val="tx1"/>
            </w14:solidFill>
          </w14:textFill>
        </w:rPr>
      </w:pPr>
      <w:bookmarkStart w:id="78" w:name="_Toc16716"/>
      <w:bookmarkStart w:id="79" w:name="_Toc21526"/>
      <w:r>
        <w:rPr>
          <w:color w:val="000000" w:themeColor="text1"/>
          <w14:textFill>
            <w14:solidFill>
              <w14:schemeClr w14:val="tx1"/>
            </w14:solidFill>
          </w14:textFill>
        </w:rPr>
        <w:t>质量统筹，构建空间均衡的水资源配置体系</w:t>
      </w:r>
      <w:bookmarkEnd w:id="77"/>
      <w:bookmarkEnd w:id="78"/>
      <w:bookmarkEnd w:id="79"/>
    </w:p>
    <w:p w14:paraId="1D579CEE">
      <w:pPr>
        <w:pStyle w:val="45"/>
        <w:rPr>
          <w:color w:val="000000" w:themeColor="text1"/>
          <w14:textFill>
            <w14:solidFill>
              <w14:schemeClr w14:val="tx1"/>
            </w14:solidFill>
          </w14:textFill>
        </w:rPr>
      </w:pPr>
      <w:bookmarkStart w:id="80" w:name="_Toc25748"/>
      <w:bookmarkStart w:id="81" w:name="_Toc28368"/>
      <w:bookmarkStart w:id="82" w:name="_Toc28261"/>
      <w:r>
        <w:rPr>
          <w:color w:val="000000" w:themeColor="text1"/>
          <w14:textFill>
            <w14:solidFill>
              <w14:schemeClr w14:val="tx1"/>
            </w14:solidFill>
          </w14:textFill>
        </w:rPr>
        <w:t>完善供水格局</w:t>
      </w:r>
      <w:bookmarkEnd w:id="80"/>
      <w:bookmarkEnd w:id="81"/>
      <w:bookmarkEnd w:id="82"/>
    </w:p>
    <w:p w14:paraId="193C6063">
      <w:pPr>
        <w:ind w:firstLine="640"/>
        <w:rPr>
          <w:color w:val="000000" w:themeColor="text1"/>
          <w14:textFill>
            <w14:solidFill>
              <w14:schemeClr w14:val="tx1"/>
            </w14:solidFill>
          </w14:textFill>
        </w:rPr>
      </w:pPr>
      <w:bookmarkStart w:id="83" w:name="_Toc30370"/>
      <w:r>
        <w:rPr>
          <w:color w:val="000000" w:themeColor="text1"/>
          <w14:textFill>
            <w14:solidFill>
              <w14:schemeClr w14:val="tx1"/>
            </w14:solidFill>
          </w14:textFill>
        </w:rPr>
        <w:t>根据易门县现状水系格局、城镇分布、产业发展情况，通过重点水源工程、重点水系连通工程来完善供水格局，以提升水资源优化配置，构建空间均衡的水资源配置体系，为易门县经济社会、生态环境的健康发展提供水资源支撑。</w:t>
      </w:r>
    </w:p>
    <w:p w14:paraId="7D989B21">
      <w:pPr>
        <w:ind w:firstLine="640"/>
        <w:rPr>
          <w:color w:val="000000" w:themeColor="text1"/>
          <w14:textFill>
            <w14:solidFill>
              <w14:schemeClr w14:val="tx1"/>
            </w14:solidFill>
          </w14:textFill>
        </w:rPr>
      </w:pPr>
      <w:r>
        <w:rPr>
          <w:color w:val="000000" w:themeColor="text1"/>
          <w14:textFill>
            <w14:solidFill>
              <w14:schemeClr w14:val="tx1"/>
            </w14:solidFill>
          </w14:textFill>
        </w:rPr>
        <w:t>重点水源工程建设：对项目建设的必要性、开发任务、建设方案和建设规模已进行初步分析论证，且项目开发建设对河流上下游及周边地区其他水工程的影响已基本明确、影响坝址及引水线路方案比选的主要工程地质条件已基本查明、不突破区域用水总量控制指标、不存在影响项目立项的重大制约因素的项目、县级行政区内已统筹考虑项目的资金筹措能力的水库进行重点水源工程建设。</w:t>
      </w:r>
    </w:p>
    <w:p w14:paraId="6ECB1BC1">
      <w:pPr>
        <w:ind w:firstLine="640"/>
        <w:rPr>
          <w:color w:val="000000" w:themeColor="text1"/>
          <w14:textFill>
            <w14:solidFill>
              <w14:schemeClr w14:val="tx1"/>
            </w14:solidFill>
          </w14:textFill>
        </w:rPr>
      </w:pPr>
      <w:r>
        <w:rPr>
          <w:color w:val="000000" w:themeColor="text1"/>
          <w14:textFill>
            <w14:solidFill>
              <w14:schemeClr w14:val="tx1"/>
            </w14:solidFill>
          </w14:textFill>
        </w:rPr>
        <w:t>完善水系连通工程建设：依据水资源供需平衡分析、邻近干支流水资源分析及水利工程布局，加强水系连通工程建设，构建“水库相连、水系相通”的大水城空间格局，形成布局合理、生态良好，循环通畅、蓄泄兼筹、丰枯调剂、余缺互补，优化配置、高效利用的现代水网。合理布局全县各区域之间、流域之间水系连通工程，充分发挥已建工程的供水效益和效率，扩大行洪能力，增强水资源调配能力，优化全县水资源配置格局。</w:t>
      </w:r>
    </w:p>
    <w:p w14:paraId="253C7D6D">
      <w:pPr>
        <w:pStyle w:val="45"/>
        <w:rPr>
          <w:color w:val="000000" w:themeColor="text1"/>
          <w14:textFill>
            <w14:solidFill>
              <w14:schemeClr w14:val="tx1"/>
            </w14:solidFill>
          </w14:textFill>
        </w:rPr>
      </w:pPr>
      <w:bookmarkStart w:id="84" w:name="_Toc13150"/>
      <w:bookmarkStart w:id="85" w:name="_Toc3916"/>
      <w:r>
        <w:rPr>
          <w:color w:val="000000" w:themeColor="text1"/>
          <w14:textFill>
            <w14:solidFill>
              <w14:schemeClr w14:val="tx1"/>
            </w14:solidFill>
          </w14:textFill>
        </w:rPr>
        <w:t>加快重大项目实施进度</w:t>
      </w:r>
      <w:bookmarkEnd w:id="83"/>
      <w:bookmarkEnd w:id="84"/>
      <w:bookmarkEnd w:id="85"/>
    </w:p>
    <w:p w14:paraId="140CCDB3">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045710" cy="3411855"/>
            <wp:effectExtent l="0" t="0" r="2159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CC93956">
      <w:pPr>
        <w:pStyle w:val="7"/>
        <w:spacing w:line="240" w:lineRule="auto"/>
        <w:ind w:firstLine="0" w:firstLineChars="0"/>
        <w:jc w:val="left"/>
        <w:rPr>
          <w:rFonts w:ascii="Times New Roman"/>
          <w:color w:val="000000" w:themeColor="text1"/>
          <w14:textFill>
            <w14:solidFill>
              <w14:schemeClr w14:val="tx1"/>
            </w14:solidFill>
          </w14:textFill>
        </w:rPr>
      </w:pPr>
    </w:p>
    <w:p w14:paraId="79209236">
      <w:pPr>
        <w:ind w:firstLine="425" w:firstLineChars="133"/>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061585" cy="3842385"/>
            <wp:effectExtent l="0" t="0" r="24765" b="247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EA11D8">
      <w:pPr>
        <w:pStyle w:val="47"/>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86" w:name="_Toc6331"/>
      <w:r>
        <w:rPr>
          <w:color w:val="000000" w:themeColor="text1"/>
          <w14:textFill>
            <w14:solidFill>
              <w14:schemeClr w14:val="tx1"/>
            </w14:solidFill>
          </w14:textFill>
        </w:rPr>
        <w:t>重点水源工程建设</w:t>
      </w:r>
    </w:p>
    <w:p w14:paraId="06D42707">
      <w:pPr>
        <w:ind w:firstLine="640"/>
        <w:rPr>
          <w:color w:val="000000" w:themeColor="text1"/>
          <w14:textFill>
            <w14:solidFill>
              <w14:schemeClr w14:val="tx1"/>
            </w14:solidFill>
          </w14:textFill>
        </w:rPr>
      </w:pPr>
      <w:r>
        <w:rPr>
          <w:color w:val="000000" w:themeColor="text1"/>
          <w14:textFill>
            <w14:solidFill>
              <w14:schemeClr w14:val="tx1"/>
            </w14:solidFill>
          </w14:textFill>
        </w:rPr>
        <w:t>共有6件，包含白龙水库、丰收水库、坡拖水库、大兴坝水库及螃蟹箐水库5件改扩建工程；规划新建羊角村水库工程，总投资是57300万元。</w:t>
      </w:r>
    </w:p>
    <w:p w14:paraId="7AE6F18F">
      <w:pPr>
        <w:ind w:firstLine="643"/>
        <w:rPr>
          <w:b/>
          <w:color w:val="000000" w:themeColor="text1"/>
          <w14:textFill>
            <w14:solidFill>
              <w14:schemeClr w14:val="tx1"/>
            </w14:solidFill>
          </w14:textFill>
        </w:rPr>
      </w:pPr>
      <w:r>
        <w:rPr>
          <w:b/>
          <w:color w:val="000000" w:themeColor="text1"/>
          <w14:textFill>
            <w14:solidFill>
              <w14:schemeClr w14:val="tx1"/>
            </w14:solidFill>
          </w14:textFill>
        </w:rPr>
        <w:t>改扩建水库工程：5件，投资48500万元。</w:t>
      </w:r>
    </w:p>
    <w:p w14:paraId="43498EAC">
      <w:pPr>
        <w:ind w:firstLine="640"/>
        <w:rPr>
          <w:color w:val="000000" w:themeColor="text1"/>
          <w14:textFill>
            <w14:solidFill>
              <w14:schemeClr w14:val="tx1"/>
            </w14:solidFill>
          </w14:textFill>
        </w:rPr>
      </w:pPr>
      <w:r>
        <w:rPr>
          <w:color w:val="000000" w:themeColor="text1"/>
          <w14:textFill>
            <w14:solidFill>
              <w14:schemeClr w14:val="tx1"/>
            </w14:solidFill>
          </w14:textFill>
        </w:rPr>
        <w:t>白龙水库扩建工程，坝址处控制流域面积5.5 k㎡，现状最大坝高33 m，增加坝高8.3 m，总库容507.5万m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，兴利库容91万m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，年供水量123.7万m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，输水配套管网长8 km，新增灌溉面积0.2551万亩，投资11000万元；</w:t>
      </w:r>
    </w:p>
    <w:p w14:paraId="6615B098">
      <w:pPr>
        <w:ind w:firstLine="640"/>
        <w:rPr>
          <w:color w:val="000000" w:themeColor="text1"/>
          <w14:textFill>
            <w14:solidFill>
              <w14:schemeClr w14:val="tx1"/>
            </w14:solidFill>
          </w14:textFill>
        </w:rPr>
      </w:pPr>
      <w:r>
        <w:rPr>
          <w:color w:val="000000" w:themeColor="text1"/>
          <w14:textFill>
            <w14:solidFill>
              <w14:schemeClr w14:val="tx1"/>
            </w14:solidFill>
          </w14:textFill>
        </w:rPr>
        <w:t>丰收水库扩建工程，坝址处控制流域面积5 k㎡，现状最大坝高35 m，增加坝高5.4 m，总库容425万m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，兴利库容400万m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，年供水量560万m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，输水配套管网长12 km，新增灌溉面积0.12万亩，投资21250万元；</w:t>
      </w:r>
    </w:p>
    <w:p w14:paraId="1C9F07F5">
      <w:pPr>
        <w:ind w:firstLine="640"/>
        <w:rPr>
          <w:color w:val="000000" w:themeColor="text1"/>
          <w14:textFill>
            <w14:solidFill>
              <w14:schemeClr w14:val="tx1"/>
            </w14:solidFill>
          </w14:textFill>
        </w:rPr>
      </w:pPr>
      <w:r>
        <w:rPr>
          <w:color w:val="000000" w:themeColor="text1"/>
          <w14:textFill>
            <w14:solidFill>
              <w14:schemeClr w14:val="tx1"/>
            </w14:solidFill>
          </w14:textFill>
        </w:rPr>
        <w:t>坡拖水库扩建工程，坝址处控制流域面积6 k㎡，现状最大坝高29.8 m，增加坝高4.8 m，总库容111万m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，兴利库容73万m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，年供水量95万m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，输水配套管网长10 km，新增灌溉面积0.15万亩，投资5550万元；</w:t>
      </w:r>
    </w:p>
    <w:p w14:paraId="6DC8AC73">
      <w:pPr>
        <w:ind w:firstLine="640"/>
        <w:rPr>
          <w:color w:val="000000" w:themeColor="text1"/>
          <w14:textFill>
            <w14:solidFill>
              <w14:schemeClr w14:val="tx1"/>
            </w14:solidFill>
          </w14:textFill>
        </w:rPr>
      </w:pPr>
      <w:r>
        <w:rPr>
          <w:color w:val="000000" w:themeColor="text1"/>
          <w14:textFill>
            <w14:solidFill>
              <w14:schemeClr w14:val="tx1"/>
            </w14:solidFill>
          </w14:textFill>
        </w:rPr>
        <w:t>大兴坝水库扩建工程，坝址处控制流域面积4.42 k㎡，现状最大坝高33.5 m，增加坝高5 m，总库容106万m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，兴利库容72万m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，年供水量110万m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，输水配套管网长8 km，新增灌溉面积0.18万亩，投资5300万元；</w:t>
      </w:r>
    </w:p>
    <w:p w14:paraId="7D2A7204">
      <w:pPr>
        <w:ind w:firstLine="640"/>
        <w:rPr>
          <w:color w:val="000000" w:themeColor="text1"/>
          <w14:textFill>
            <w14:solidFill>
              <w14:schemeClr w14:val="tx1"/>
            </w14:solidFill>
          </w14:textFill>
        </w:rPr>
      </w:pPr>
      <w:r>
        <w:rPr>
          <w:color w:val="000000" w:themeColor="text1"/>
          <w14:textFill>
            <w14:solidFill>
              <w14:schemeClr w14:val="tx1"/>
            </w14:solidFill>
          </w14:textFill>
        </w:rPr>
        <w:t>螃蟹箐水库扩建工程，坝址处控制流域面积4.61 k㎡，现状最大坝高32.5 m，增加坝高5.5 m，总库容108万m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，兴利库容91万m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，年供水量105万m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，输水配套管网长9 km，新增灌溉面积0.10万亩，投资5400万元；</w:t>
      </w:r>
    </w:p>
    <w:p w14:paraId="03E657CC">
      <w:pPr>
        <w:ind w:firstLine="640"/>
        <w:rPr>
          <w:color w:val="000000" w:themeColor="text1"/>
          <w14:textFill>
            <w14:solidFill>
              <w14:schemeClr w14:val="tx1"/>
            </w14:solidFill>
          </w14:textFill>
        </w:rPr>
      </w:pPr>
      <w:r>
        <w:rPr>
          <w:color w:val="000000" w:themeColor="text1"/>
          <w14:textFill>
            <w14:solidFill>
              <w14:schemeClr w14:val="tx1"/>
            </w14:solidFill>
          </w14:textFill>
        </w:rPr>
        <w:t>新建水库1件：羊角村水库工程，坝址处控制流域面积5.8 k㎡，最大坝高35 m，总库容110万m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，兴利库容80万m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，年供水量95万m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，输水配套管网长11 km，新增灌溉面积0.20万亩，改善0.10万亩，投资8800万元。</w:t>
      </w:r>
    </w:p>
    <w:p w14:paraId="1E630B8E">
      <w:pPr>
        <w:pStyle w:val="47"/>
        <w:rPr>
          <w:color w:val="000000" w:themeColor="text1"/>
          <w14:textFill>
            <w14:solidFill>
              <w14:schemeClr w14:val="tx1"/>
            </w14:solidFill>
          </w14:textFill>
        </w:rPr>
      </w:pPr>
      <w:r>
        <w:rPr>
          <w:color w:val="000000" w:themeColor="text1"/>
          <w14:textFill>
            <w14:solidFill>
              <w14:schemeClr w14:val="tx1"/>
            </w14:solidFill>
          </w14:textFill>
        </w:rPr>
        <w:t>重点水系连通工程建设</w:t>
      </w:r>
    </w:p>
    <w:p w14:paraId="5D663D5E">
      <w:pPr>
        <w:ind w:firstLine="640"/>
        <w:rPr>
          <w:color w:val="000000" w:themeColor="text1"/>
          <w14:textFill>
            <w14:solidFill>
              <w14:schemeClr w14:val="tx1"/>
            </w14:solidFill>
          </w14:textFill>
        </w:rPr>
      </w:pPr>
      <w:r>
        <w:rPr>
          <w:color w:val="000000" w:themeColor="text1"/>
          <w14:textFill>
            <w14:solidFill>
              <w14:schemeClr w14:val="tx1"/>
            </w14:solidFill>
          </w14:textFill>
        </w:rPr>
        <w:t>共有2件，工程新增灌溉面积2.50万亩，均为新建工程，改善灌溉面积8.1万亩，投资131720万元。</w:t>
      </w:r>
    </w:p>
    <w:p w14:paraId="2EAF020E">
      <w:pPr>
        <w:pStyle w:val="76"/>
        <w:numPr>
          <w:ilvl w:val="0"/>
          <w:numId w:val="7"/>
        </w:numPr>
        <w:rPr>
          <w:color w:val="000000" w:themeColor="text1"/>
          <w14:textFill>
            <w14:solidFill>
              <w14:schemeClr w14:val="tx1"/>
            </w14:solidFill>
          </w14:textFill>
        </w:rPr>
      </w:pPr>
      <w:r>
        <w:rPr>
          <w:color w:val="000000" w:themeColor="text1"/>
          <w14:textFill>
            <w14:solidFill>
              <w14:schemeClr w14:val="tx1"/>
            </w14:solidFill>
          </w14:textFill>
        </w:rPr>
        <w:t>易门县全域现代化水网建设项目</w:t>
      </w:r>
    </w:p>
    <w:p w14:paraId="527A1623">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易门县全域现代化水网建设项目，整合水资源高效配置利用，供水线路长度230 km，工程总供水量2000万m</w:t>
      </w:r>
      <w:r>
        <w:rPr>
          <w:rFonts w:cs="Cambria"/>
          <w:color w:val="000000" w:themeColor="text1"/>
          <w14:textFill>
            <w14:solidFill>
              <w14:schemeClr w14:val="tx1"/>
            </w14:solidFill>
          </w14:textFill>
        </w:rPr>
        <w:t>³</w:t>
      </w:r>
      <w:r>
        <w:rPr>
          <w:rFonts w:cs="方正仿宋_GBK"/>
          <w:color w:val="000000" w:themeColor="text1"/>
          <w14:textFill>
            <w14:solidFill>
              <w14:schemeClr w14:val="tx1"/>
            </w14:solidFill>
          </w14:textFill>
        </w:rPr>
        <w:t>，供水范围龙泉、六街、浦贝、十街，新增灌溉面积</w:t>
      </w:r>
      <w:r>
        <w:rPr>
          <w:color w:val="000000" w:themeColor="text1"/>
          <w14:textFill>
            <w14:solidFill>
              <w14:schemeClr w14:val="tx1"/>
            </w14:solidFill>
          </w14:textFill>
        </w:rPr>
        <w:t>2.5万亩，改善灌溉面积3.1万亩，投资120000万元；</w:t>
      </w:r>
    </w:p>
    <w:p w14:paraId="6EF9178C">
      <w:pPr>
        <w:pStyle w:val="76"/>
        <w:numPr>
          <w:ilvl w:val="0"/>
          <w:numId w:val="8"/>
        </w:numPr>
        <w:rPr>
          <w:color w:val="000000" w:themeColor="text1"/>
          <w14:textFill>
            <w14:solidFill>
              <w14:schemeClr w14:val="tx1"/>
            </w14:solidFill>
          </w14:textFill>
        </w:rPr>
      </w:pPr>
      <w:r>
        <w:rPr>
          <w:color w:val="000000" w:themeColor="text1"/>
          <w14:textFill>
            <w14:solidFill>
              <w14:schemeClr w14:val="tx1"/>
            </w14:solidFill>
          </w14:textFill>
        </w:rPr>
        <w:t>前期工作情况</w:t>
      </w:r>
    </w:p>
    <w:p w14:paraId="33AFAE2B">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易门县全域现代化水网建设项目于</w:t>
      </w:r>
      <w:r>
        <w:rPr>
          <w:color w:val="000000" w:themeColor="text1"/>
          <w14:textFill>
            <w14:solidFill>
              <w14:schemeClr w14:val="tx1"/>
            </w14:solidFill>
          </w14:textFill>
        </w:rPr>
        <w:t>2020年12月1日经易门县第十七届人民政府第89次常务会议</w:t>
      </w:r>
      <w:r>
        <w:rPr>
          <w:color w:val="000000" w:themeColor="text1"/>
          <w:szCs w:val="32"/>
          <w14:textFill>
            <w14:solidFill>
              <w14:schemeClr w14:val="tx1"/>
            </w14:solidFill>
          </w14:textFill>
        </w:rPr>
        <w:t>同意以PPP模式实施，并授权易门县水利局为项目组织实施单位；</w:t>
      </w:r>
      <w:r>
        <w:rPr>
          <w:color w:val="000000" w:themeColor="text1"/>
          <w14:textFill>
            <w14:solidFill>
              <w14:schemeClr w14:val="tx1"/>
            </w14:solidFill>
          </w14:textFill>
        </w:rPr>
        <w:t>2021年1月18日由县发改局组织召开《易门县全域现代化水网建设工程可研专家评审会》，并顺利通过评审；2021年1月25日县发改局</w:t>
      </w:r>
      <w:r>
        <w:rPr>
          <w:color w:val="000000" w:themeColor="text1"/>
          <w:szCs w:val="32"/>
          <w14:textFill>
            <w14:solidFill>
              <w14:schemeClr w14:val="tx1"/>
            </w14:solidFill>
          </w14:textFill>
        </w:rPr>
        <w:t>批复了</w:t>
      </w:r>
      <w:r>
        <w:rPr>
          <w:color w:val="000000" w:themeColor="text1"/>
          <w14:textFill>
            <w14:solidFill>
              <w14:schemeClr w14:val="tx1"/>
            </w14:solidFill>
          </w14:textFill>
        </w:rPr>
        <w:t>《易门县全域现代化水网建设项目可行性研究报告》（易发改发〔2021〕11号），同时市发改委和市水利局批复了《易门县白龙水库扩建工程可行性研究报告》（玉发改农经复〔2021〕6号），</w:t>
      </w:r>
      <w:r>
        <w:rPr>
          <w:color w:val="000000" w:themeColor="text1"/>
          <w:szCs w:val="32"/>
          <w14:textFill>
            <w14:solidFill>
              <w14:schemeClr w14:val="tx1"/>
            </w14:solidFill>
          </w14:textFill>
        </w:rPr>
        <w:t>随后2021年5月8日通过初步设计报告评审，</w:t>
      </w:r>
      <w:r>
        <w:rPr>
          <w:color w:val="000000" w:themeColor="text1"/>
          <w14:textFill>
            <w14:solidFill>
              <w14:schemeClr w14:val="tx1"/>
            </w14:solidFill>
          </w14:textFill>
        </w:rPr>
        <w:t>2021年7月23日市水利局和市发改委批复了《易门县白龙水库工程初步设计报告》（玉水规财〔2021〕13号）。</w:t>
      </w:r>
      <w:r>
        <w:rPr>
          <w:color w:val="000000" w:themeColor="text1"/>
          <w:szCs w:val="32"/>
          <w14:textFill>
            <w14:solidFill>
              <w14:schemeClr w14:val="tx1"/>
            </w14:solidFill>
          </w14:textFill>
        </w:rPr>
        <w:t>4月易门县全域现代化水网建设PPP项目</w:t>
      </w:r>
      <w:r>
        <w:rPr>
          <w:rFonts w:eastAsia="仿宋_GB2312"/>
          <w:color w:val="000000" w:themeColor="text1"/>
          <w:szCs w:val="32"/>
          <w14:textFill>
            <w14:solidFill>
              <w14:schemeClr w14:val="tx1"/>
            </w14:solidFill>
          </w14:textFill>
        </w:rPr>
        <w:t>已</w:t>
      </w:r>
      <w:r>
        <w:rPr>
          <w:color w:val="000000" w:themeColor="text1"/>
          <w:szCs w:val="32"/>
          <w14:textFill>
            <w14:solidFill>
              <w14:schemeClr w14:val="tx1"/>
            </w14:solidFill>
          </w14:textFill>
        </w:rPr>
        <w:t>成功纳入全国PPP综合信息平台项目管理库，4月30日启动了易门县全域现代化水网建设PPP项目社会资本方采购招标，6月24日成功招选到社会资本方为云南建设基础设施投资股份有限公司和联合体成员（云南省建设投资控股集团有限公司、云南省水利水电工程有限公司、云南建投第二水利水电建设有限公司），目前合同谈判初步完成，准备进入PPP项目实施阶段。</w:t>
      </w:r>
    </w:p>
    <w:p w14:paraId="630E24F8">
      <w:pPr>
        <w:pStyle w:val="76"/>
        <w:numPr>
          <w:ilvl w:val="0"/>
          <w:numId w:val="8"/>
        </w:numPr>
        <w:rPr>
          <w:color w:val="000000" w:themeColor="text1"/>
          <w14:textFill>
            <w14:solidFill>
              <w14:schemeClr w14:val="tx1"/>
            </w14:solidFill>
          </w14:textFill>
        </w:rPr>
      </w:pPr>
      <w:r>
        <w:rPr>
          <w:color w:val="000000" w:themeColor="text1"/>
          <w14:textFill>
            <w14:solidFill>
              <w14:schemeClr w14:val="tx1"/>
            </w14:solidFill>
          </w14:textFill>
        </w:rPr>
        <w:t>项目建设内容</w:t>
      </w:r>
    </w:p>
    <w:p w14:paraId="3EEC209E">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易门县全域现代化水网建设PPP项目涉及1件水源工程、21件村镇供水工程和17件高效节水灌溉工程，主要工程明细如下表：</w:t>
      </w:r>
    </w:p>
    <w:p w14:paraId="17781B4A">
      <w:pPr>
        <w:widowControl/>
        <w:adjustRightInd/>
        <w:snapToGrid/>
        <w:spacing w:line="240" w:lineRule="auto"/>
        <w:ind w:firstLine="0" w:firstLineChars="0"/>
        <w:jc w:val="center"/>
        <w:textAlignment w:val="center"/>
        <w:rPr>
          <w:rFonts w:eastAsia="宋体" w:cs="宋体"/>
          <w:b/>
          <w:bCs/>
          <w:color w:val="000000" w:themeColor="text1"/>
          <w:kern w:val="0"/>
          <w:sz w:val="18"/>
          <w:szCs w:val="18"/>
          <w:lang w:bidi="ar"/>
          <w14:textFill>
            <w14:solidFill>
              <w14:schemeClr w14:val="tx1"/>
            </w14:solidFill>
          </w14:textFill>
        </w:rPr>
        <w:sectPr>
          <w:pgSz w:w="11906" w:h="16838"/>
          <w:pgMar w:top="1871" w:right="1304" w:bottom="1418" w:left="1304" w:header="851" w:footer="992" w:gutter="0"/>
          <w:pgNumType w:fmt="numberInDash"/>
          <w:cols w:space="720" w:num="1"/>
          <w:docGrid w:linePitch="312" w:charSpace="0"/>
        </w:sectPr>
      </w:pPr>
    </w:p>
    <w:p w14:paraId="47F83244">
      <w:pPr>
        <w:pStyle w:val="51"/>
        <w:rPr>
          <w:color w:val="000000" w:themeColor="text1"/>
          <w14:textFill>
            <w14:solidFill>
              <w14:schemeClr w14:val="tx1"/>
            </w14:solidFill>
          </w14:textFill>
        </w:rPr>
      </w:pPr>
      <w:r>
        <w:rPr>
          <w:color w:val="000000" w:themeColor="text1"/>
          <w14:textFill>
            <w14:solidFill>
              <w14:schemeClr w14:val="tx1"/>
            </w14:solidFill>
          </w14:textFill>
        </w:rPr>
        <w:t>表5-1         易门县全域现代化水网建设项目</w:t>
      </w:r>
    </w:p>
    <w:tbl>
      <w:tblPr>
        <w:tblStyle w:val="24"/>
        <w:tblW w:w="14260" w:type="dxa"/>
        <w:tblInd w:w="0" w:type="dxa"/>
        <w:tblLayout w:type="fixed"/>
        <w:tblCellMar>
          <w:top w:w="0" w:type="dxa"/>
          <w:left w:w="0" w:type="dxa"/>
          <w:bottom w:w="0" w:type="dxa"/>
          <w:right w:w="0" w:type="dxa"/>
        </w:tblCellMar>
      </w:tblPr>
      <w:tblGrid>
        <w:gridCol w:w="512"/>
        <w:gridCol w:w="510"/>
        <w:gridCol w:w="1950"/>
        <w:gridCol w:w="2937"/>
        <w:gridCol w:w="8351"/>
      </w:tblGrid>
      <w:tr w14:paraId="1FA4066D">
        <w:tblPrEx>
          <w:tblCellMar>
            <w:top w:w="0" w:type="dxa"/>
            <w:left w:w="0" w:type="dxa"/>
            <w:bottom w:w="0" w:type="dxa"/>
            <w:right w:w="0" w:type="dxa"/>
          </w:tblCellMar>
        </w:tblPrEx>
        <w:trPr>
          <w:trHeight w:val="618" w:hRule="atLeast"/>
          <w:tblHeader/>
        </w:trPr>
        <w:tc>
          <w:tcPr>
            <w:tcW w:w="512"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5BDFB64C">
            <w:pPr>
              <w:widowControl/>
              <w:adjustRightInd/>
              <w:snapToGrid/>
              <w:spacing w:line="240" w:lineRule="auto"/>
              <w:ind w:firstLine="0" w:firstLineChars="0"/>
              <w:jc w:val="center"/>
              <w:textAlignment w:val="center"/>
              <w:rPr>
                <w:rFonts w:cs="宋体"/>
                <w:b/>
                <w:bCs/>
                <w:color w:val="000000" w:themeColor="text1"/>
                <w:sz w:val="24"/>
                <w14:textFill>
                  <w14:solidFill>
                    <w14:schemeClr w14:val="tx1"/>
                  </w14:solidFill>
                </w14:textFill>
              </w:rPr>
            </w:pPr>
            <w:r>
              <w:rPr>
                <w:rFonts w:cs="宋体"/>
                <w:b/>
                <w:bCs/>
                <w:color w:val="000000" w:themeColor="text1"/>
                <w:kern w:val="0"/>
                <w:sz w:val="24"/>
                <w:lang w:bidi="ar"/>
                <w14:textFill>
                  <w14:solidFill>
                    <w14:schemeClr w14:val="tx1"/>
                  </w14:solidFill>
                </w14:textFill>
              </w:rPr>
              <w:t>序号</w:t>
            </w:r>
          </w:p>
        </w:tc>
        <w:tc>
          <w:tcPr>
            <w:tcW w:w="51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7886AB49">
            <w:pPr>
              <w:adjustRightInd/>
              <w:snapToGrid/>
              <w:spacing w:line="240" w:lineRule="auto"/>
              <w:ind w:firstLine="0" w:firstLineChars="0"/>
              <w:jc w:val="center"/>
              <w:rPr>
                <w:rFonts w:cs="宋体"/>
                <w:b/>
                <w:bCs/>
                <w:color w:val="000000" w:themeColor="text1"/>
                <w:sz w:val="24"/>
                <w14:textFill>
                  <w14:solidFill>
                    <w14:schemeClr w14:val="tx1"/>
                  </w14:solidFill>
                </w14:textFill>
              </w:rPr>
            </w:pPr>
          </w:p>
        </w:tc>
        <w:tc>
          <w:tcPr>
            <w:tcW w:w="195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71A744A7">
            <w:pPr>
              <w:widowControl/>
              <w:adjustRightInd/>
              <w:snapToGrid/>
              <w:spacing w:line="240" w:lineRule="auto"/>
              <w:ind w:firstLine="0" w:firstLineChars="0"/>
              <w:jc w:val="center"/>
              <w:textAlignment w:val="center"/>
              <w:rPr>
                <w:rFonts w:cs="宋体"/>
                <w:b/>
                <w:bCs/>
                <w:color w:val="000000" w:themeColor="text1"/>
                <w:sz w:val="24"/>
                <w14:textFill>
                  <w14:solidFill>
                    <w14:schemeClr w14:val="tx1"/>
                  </w14:solidFill>
                </w14:textFill>
              </w:rPr>
            </w:pPr>
            <w:r>
              <w:rPr>
                <w:rFonts w:cs="宋体"/>
                <w:b/>
                <w:bCs/>
                <w:color w:val="000000" w:themeColor="text1"/>
                <w:kern w:val="0"/>
                <w:sz w:val="24"/>
                <w:lang w:bidi="ar"/>
                <w14:textFill>
                  <w14:solidFill>
                    <w14:schemeClr w14:val="tx1"/>
                  </w14:solidFill>
                </w14:textFill>
              </w:rPr>
              <w:t>类别</w:t>
            </w:r>
          </w:p>
        </w:tc>
        <w:tc>
          <w:tcPr>
            <w:tcW w:w="293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1485364">
            <w:pPr>
              <w:widowControl/>
              <w:adjustRightInd/>
              <w:snapToGrid/>
              <w:spacing w:line="240" w:lineRule="auto"/>
              <w:ind w:firstLine="0" w:firstLineChars="0"/>
              <w:jc w:val="center"/>
              <w:textAlignment w:val="center"/>
              <w:rPr>
                <w:rFonts w:cs="宋体"/>
                <w:b/>
                <w:bCs/>
                <w:color w:val="000000" w:themeColor="text1"/>
                <w:sz w:val="24"/>
                <w14:textFill>
                  <w14:solidFill>
                    <w14:schemeClr w14:val="tx1"/>
                  </w14:solidFill>
                </w14:textFill>
              </w:rPr>
            </w:pPr>
            <w:r>
              <w:rPr>
                <w:rFonts w:cs="宋体"/>
                <w:b/>
                <w:bCs/>
                <w:color w:val="000000" w:themeColor="text1"/>
                <w:kern w:val="0"/>
                <w:sz w:val="24"/>
                <w:lang w:bidi="ar"/>
                <w14:textFill>
                  <w14:solidFill>
                    <w14:schemeClr w14:val="tx1"/>
                  </w14:solidFill>
                </w14:textFill>
              </w:rPr>
              <w:t>工程名称</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8EB12">
            <w:pPr>
              <w:widowControl/>
              <w:adjustRightInd/>
              <w:snapToGrid/>
              <w:spacing w:line="240" w:lineRule="auto"/>
              <w:ind w:firstLine="0" w:firstLineChars="0"/>
              <w:jc w:val="center"/>
              <w:textAlignment w:val="center"/>
              <w:rPr>
                <w:rFonts w:cs="宋体"/>
                <w:b/>
                <w:bCs/>
                <w:color w:val="000000" w:themeColor="text1"/>
                <w:sz w:val="24"/>
                <w14:textFill>
                  <w14:solidFill>
                    <w14:schemeClr w14:val="tx1"/>
                  </w14:solidFill>
                </w14:textFill>
              </w:rPr>
            </w:pPr>
            <w:r>
              <w:rPr>
                <w:rFonts w:cs="宋体"/>
                <w:b/>
                <w:bCs/>
                <w:color w:val="000000" w:themeColor="text1"/>
                <w:kern w:val="0"/>
                <w:sz w:val="24"/>
                <w:lang w:bidi="ar"/>
                <w14:textFill>
                  <w14:solidFill>
                    <w14:schemeClr w14:val="tx1"/>
                  </w14:solidFill>
                </w14:textFill>
              </w:rPr>
              <w:t>工程建设内容</w:t>
            </w:r>
          </w:p>
        </w:tc>
      </w:tr>
      <w:tr w14:paraId="10D61C9F">
        <w:tblPrEx>
          <w:tblCellMar>
            <w:top w:w="0" w:type="dxa"/>
            <w:left w:w="0" w:type="dxa"/>
            <w:bottom w:w="0" w:type="dxa"/>
            <w:right w:w="0"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5B318">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ED1B7">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1D4AB">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5C0FF">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白龙水库扩建工程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133D2">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主要为水库枢纽工程：拦河大坝、溢洪道、导流输水隧洞和相应的控制设施、设备及阀室（坑）等</w:t>
            </w:r>
          </w:p>
        </w:tc>
      </w:tr>
      <w:tr w14:paraId="69AD536C">
        <w:tblPrEx>
          <w:tblCellMar>
            <w:top w:w="0" w:type="dxa"/>
            <w:left w:w="0" w:type="dxa"/>
            <w:bottom w:w="0" w:type="dxa"/>
            <w:right w:w="0" w:type="dxa"/>
          </w:tblCellMar>
        </w:tblPrEx>
        <w:trPr>
          <w:trHeight w:val="54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D3A5F">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w:t>
            </w: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05605">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E8366">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CD683">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水资源监测管理中心</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97E2C">
            <w:pPr>
              <w:adjustRightInd/>
              <w:snapToGrid/>
              <w:spacing w:line="240" w:lineRule="auto"/>
              <w:ind w:firstLine="0" w:firstLineChars="0"/>
              <w:rPr>
                <w:rFonts w:cs="宋体"/>
                <w:color w:val="000000" w:themeColor="text1"/>
                <w:sz w:val="24"/>
                <w14:textFill>
                  <w14:solidFill>
                    <w14:schemeClr w14:val="tx1"/>
                  </w14:solidFill>
                </w14:textFill>
              </w:rPr>
            </w:pPr>
          </w:p>
        </w:tc>
      </w:tr>
      <w:tr w14:paraId="5CF78128">
        <w:tblPrEx>
          <w:tblCellMar>
            <w:top w:w="0" w:type="dxa"/>
            <w:left w:w="0" w:type="dxa"/>
            <w:bottom w:w="0" w:type="dxa"/>
            <w:right w:w="0" w:type="dxa"/>
          </w:tblCellMar>
        </w:tblPrEx>
        <w:trPr>
          <w:trHeight w:val="81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4F921">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w:t>
            </w:r>
          </w:p>
        </w:tc>
        <w:tc>
          <w:tcPr>
            <w:tcW w:w="5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390BCE">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小街</w:t>
            </w:r>
          </w:p>
        </w:tc>
        <w:tc>
          <w:tcPr>
            <w:tcW w:w="19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3BA95">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村镇供水工程</w:t>
            </w: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A3C11">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新建花椒箐水库提水工程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0A079">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新建净水厂：规模为300m</w:t>
            </w:r>
            <w:r>
              <w:rPr>
                <w:rFonts w:cs="Cambria"/>
                <w:color w:val="000000" w:themeColor="text1"/>
                <w:kern w:val="0"/>
                <w:sz w:val="24"/>
                <w:lang w:bidi="ar"/>
                <w14:textFill>
                  <w14:solidFill>
                    <w14:schemeClr w14:val="tx1"/>
                  </w14:solidFill>
                </w14:textFill>
              </w:rPr>
              <w:t>³</w:t>
            </w:r>
            <w:r>
              <w:rPr>
                <w:rFonts w:cs="宋体"/>
                <w:color w:val="000000" w:themeColor="text1"/>
                <w:kern w:val="0"/>
                <w:sz w:val="24"/>
                <w:lang w:bidi="ar"/>
                <w14:textFill>
                  <w14:solidFill>
                    <w14:schemeClr w14:val="tx1"/>
                  </w14:solidFill>
                </w14:textFill>
              </w:rPr>
              <w:t>/d,新建300m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高位水池，,新建DN50～DN100配水管道约8.53km,DN20～DN80管约20.16km。</w:t>
            </w:r>
          </w:p>
        </w:tc>
      </w:tr>
      <w:tr w14:paraId="34C785FF">
        <w:tblPrEx>
          <w:tblCellMar>
            <w:top w:w="0" w:type="dxa"/>
            <w:left w:w="0" w:type="dxa"/>
            <w:bottom w:w="0" w:type="dxa"/>
            <w:right w:w="0" w:type="dxa"/>
          </w:tblCellMar>
        </w:tblPrEx>
        <w:trPr>
          <w:trHeight w:val="54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BA09F">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w:t>
            </w: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1ADD32">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A0498">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01B04">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新建小街集镇水厂工程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35851">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为小街集镇补充三处净水厂，分别为小街集镇水厂：规模800m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/d、小街集镇备用水源厂：规模800m³/d，甲浦净水站：规模300m³/d, 铺设DN100～DN150管道约1.08km</w:t>
            </w:r>
          </w:p>
        </w:tc>
      </w:tr>
      <w:tr w14:paraId="73532022">
        <w:tblPrEx>
          <w:tblCellMar>
            <w:top w:w="0" w:type="dxa"/>
            <w:left w:w="0" w:type="dxa"/>
            <w:bottom w:w="0" w:type="dxa"/>
            <w:right w:w="0" w:type="dxa"/>
          </w:tblCellMar>
        </w:tblPrEx>
        <w:trPr>
          <w:trHeight w:val="36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8904C">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5</w:t>
            </w: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A1D28F">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3C3A9D">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高效节水灌溉工程</w:t>
            </w: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9125D">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小街乡中拉西片区灌溉工程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F785F">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铺设DN80～DN200mm管道625m,</w:t>
            </w:r>
          </w:p>
        </w:tc>
      </w:tr>
      <w:tr w14:paraId="08B5D25B">
        <w:tblPrEx>
          <w:tblCellMar>
            <w:top w:w="0" w:type="dxa"/>
            <w:left w:w="0" w:type="dxa"/>
            <w:bottom w:w="0" w:type="dxa"/>
            <w:right w:w="0" w:type="dxa"/>
          </w:tblCellMar>
        </w:tblPrEx>
        <w:trPr>
          <w:trHeight w:val="30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542CB">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6</w:t>
            </w: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FD497">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97C55">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2F530">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小街乡洒波多片区灌溉工程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D94C7">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新建DN300～DN80mm管道7.15Km，提水浮船泵站1座，2000m</w:t>
            </w:r>
            <w:r>
              <w:rPr>
                <w:rFonts w:cs="Cambria"/>
                <w:color w:val="000000" w:themeColor="text1"/>
                <w:kern w:val="0"/>
                <w:sz w:val="24"/>
                <w:lang w:bidi="ar"/>
                <w14:textFill>
                  <w14:solidFill>
                    <w14:schemeClr w14:val="tx1"/>
                  </w14:solidFill>
                </w14:textFill>
              </w:rPr>
              <w:t>³</w:t>
            </w:r>
            <w:r>
              <w:rPr>
                <w:rFonts w:cs="方正仿宋_GBK"/>
                <w:color w:val="000000" w:themeColor="text1"/>
                <w:kern w:val="0"/>
                <w:sz w:val="24"/>
                <w:lang w:bidi="ar"/>
                <w14:textFill>
                  <w14:solidFill>
                    <w14:schemeClr w14:val="tx1"/>
                  </w14:solidFill>
                </w14:textFill>
              </w:rPr>
              <w:t>高位水池</w:t>
            </w:r>
            <w:r>
              <w:rPr>
                <w:rFonts w:cs="宋体"/>
                <w:color w:val="000000" w:themeColor="text1"/>
                <w:kern w:val="0"/>
                <w:sz w:val="24"/>
                <w:lang w:bidi="ar"/>
                <w14:textFill>
                  <w14:solidFill>
                    <w14:schemeClr w14:val="tx1"/>
                  </w14:solidFill>
                </w14:textFill>
              </w:rPr>
              <w:t>1个</w:t>
            </w:r>
          </w:p>
        </w:tc>
      </w:tr>
      <w:tr w14:paraId="52E3C266">
        <w:tblPrEx>
          <w:tblCellMar>
            <w:top w:w="0" w:type="dxa"/>
            <w:left w:w="0" w:type="dxa"/>
            <w:bottom w:w="0" w:type="dxa"/>
            <w:right w:w="0" w:type="dxa"/>
          </w:tblCellMar>
        </w:tblPrEx>
        <w:trPr>
          <w:trHeight w:val="54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0FEF98">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7</w:t>
            </w:r>
          </w:p>
        </w:tc>
        <w:tc>
          <w:tcPr>
            <w:tcW w:w="5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5C022B">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六街</w:t>
            </w:r>
          </w:p>
        </w:tc>
        <w:tc>
          <w:tcPr>
            <w:tcW w:w="19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78108">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村镇供水工程</w:t>
            </w: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076E2">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六街二水厂管道延伸至旧县人饮工程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AF419">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铺设DNlOO～DN200配水管道总长5.5km,DN20～DN100入户管道总长72.0km, 新建500m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 xml:space="preserve"> 高位水池1座。</w:t>
            </w:r>
          </w:p>
        </w:tc>
      </w:tr>
      <w:tr w14:paraId="52838A25">
        <w:tblPrEx>
          <w:tblCellMar>
            <w:top w:w="0" w:type="dxa"/>
            <w:left w:w="0" w:type="dxa"/>
            <w:bottom w:w="0" w:type="dxa"/>
            <w:right w:w="0" w:type="dxa"/>
          </w:tblCellMar>
        </w:tblPrEx>
        <w:trPr>
          <w:trHeight w:val="54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D1EDEE">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8</w:t>
            </w: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3152B">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E7006">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76ACB">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新建麦子田提水工程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09EAC">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铺设DN200～DN300输水管道总长2.7km, 新建取水泵站1座，9000m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土工膜高位水池1座</w:t>
            </w:r>
          </w:p>
        </w:tc>
      </w:tr>
      <w:tr w14:paraId="79834755">
        <w:tblPrEx>
          <w:tblCellMar>
            <w:top w:w="0" w:type="dxa"/>
            <w:left w:w="0" w:type="dxa"/>
            <w:bottom w:w="0" w:type="dxa"/>
            <w:right w:w="0" w:type="dxa"/>
          </w:tblCellMar>
        </w:tblPrEx>
        <w:trPr>
          <w:trHeight w:val="9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22584">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9</w:t>
            </w: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5F845">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4489C">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BEBCB">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新建东山水库水厂工程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9D688">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铺设DN200输水管道总长2.0km,铺设DNIOO～DN250配水管道总长4.9km,DN20～DN100入户管道总长85.7km, 新建1500m</w:t>
            </w:r>
            <w:r>
              <w:rPr>
                <w:rFonts w:cs="Cambria"/>
                <w:color w:val="000000" w:themeColor="text1"/>
                <w:kern w:val="0"/>
                <w:sz w:val="24"/>
                <w:lang w:bidi="ar"/>
                <w14:textFill>
                  <w14:solidFill>
                    <w14:schemeClr w14:val="tx1"/>
                  </w14:solidFill>
                </w14:textFill>
              </w:rPr>
              <w:t>³</w:t>
            </w:r>
            <w:r>
              <w:rPr>
                <w:rFonts w:cs="宋体"/>
                <w:color w:val="000000" w:themeColor="text1"/>
                <w:kern w:val="0"/>
                <w:sz w:val="24"/>
                <w:lang w:bidi="ar"/>
                <w14:textFill>
                  <w14:solidFill>
                    <w14:schemeClr w14:val="tx1"/>
                  </w14:solidFill>
                </w14:textFill>
              </w:rPr>
              <w:t>/d净水厂1座</w:t>
            </w:r>
          </w:p>
        </w:tc>
      </w:tr>
      <w:tr w14:paraId="3B7596FE">
        <w:tblPrEx>
          <w:tblCellMar>
            <w:top w:w="0" w:type="dxa"/>
            <w:left w:w="0" w:type="dxa"/>
            <w:bottom w:w="0" w:type="dxa"/>
            <w:right w:w="0" w:type="dxa"/>
          </w:tblCellMar>
        </w:tblPrEx>
        <w:trPr>
          <w:trHeight w:val="883"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99129">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10</w:t>
            </w: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1553E9">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0E98C">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高效节水灌溉工程</w:t>
            </w: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685DB">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六街樟木箐提水灌溉工程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7B44F">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新建管径DN150～DN350mm管线总长1.57Km，新建旧樟路泵站1座，新建100m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调节池1个</w:t>
            </w:r>
          </w:p>
        </w:tc>
      </w:tr>
      <w:tr w14:paraId="6512AAD7">
        <w:tblPrEx>
          <w:tblCellMar>
            <w:top w:w="0" w:type="dxa"/>
            <w:left w:w="0" w:type="dxa"/>
            <w:bottom w:w="0" w:type="dxa"/>
            <w:right w:w="0" w:type="dxa"/>
          </w:tblCellMar>
        </w:tblPrEx>
        <w:trPr>
          <w:trHeight w:val="54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283FB">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11</w:t>
            </w:r>
          </w:p>
        </w:tc>
        <w:tc>
          <w:tcPr>
            <w:tcW w:w="5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5C8B1">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龙泉</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4B800">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村镇供水工程</w:t>
            </w: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18998">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公鸡山水库、螃蟹箐坝调水工程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577F0">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铺设DN500</w:t>
            </w:r>
            <w:r>
              <w:rPr>
                <w:rStyle w:val="81"/>
                <w:color w:val="000000" w:themeColor="text1"/>
                <w:sz w:val="24"/>
                <w:szCs w:val="24"/>
                <w:lang w:bidi="ar"/>
                <w14:textFill>
                  <w14:solidFill>
                    <w14:schemeClr w14:val="tx1"/>
                  </w14:solidFill>
                </w14:textFill>
              </w:rPr>
              <w:t>～</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DN800供水管道总长7.7km, 新建中途增压泵站1座</w:t>
            </w:r>
          </w:p>
        </w:tc>
      </w:tr>
      <w:tr w14:paraId="5E56626C">
        <w:tblPrEx>
          <w:tblCellMar>
            <w:top w:w="0" w:type="dxa"/>
            <w:left w:w="0" w:type="dxa"/>
            <w:bottom w:w="0" w:type="dxa"/>
            <w:right w:w="0" w:type="dxa"/>
          </w:tblCellMar>
        </w:tblPrEx>
        <w:trPr>
          <w:trHeight w:val="27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99726">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12</w:t>
            </w:r>
          </w:p>
        </w:tc>
        <w:tc>
          <w:tcPr>
            <w:tcW w:w="51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542E9D2">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CB8E4">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高效节水灌溉工程</w:t>
            </w: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D4033">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龙泉大谷厂水库与合作水库龙泉灌区灌溉工程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A4905">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新建DN250～DN500mm管道18.219Km，采用钢管和球墨铸铁管，新建200m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调节池1个</w:t>
            </w:r>
          </w:p>
        </w:tc>
      </w:tr>
      <w:tr w14:paraId="1887A819">
        <w:tblPrEx>
          <w:tblCellMar>
            <w:top w:w="0" w:type="dxa"/>
            <w:left w:w="0" w:type="dxa"/>
            <w:bottom w:w="0" w:type="dxa"/>
            <w:right w:w="0" w:type="dxa"/>
          </w:tblCellMar>
        </w:tblPrEx>
        <w:trPr>
          <w:trHeight w:val="54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585C7">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13</w:t>
            </w:r>
          </w:p>
        </w:tc>
        <w:tc>
          <w:tcPr>
            <w:tcW w:w="51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1E74DBD">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1605E">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FD8B4">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龙泉平滩子、平阳地片区灌溉工程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0A516">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新建管径DN300～DN400mm管道7.283Km，钢管长度1043m，球墨铸铁管长度6240m，新建平滩子提水泵站1座，500m</w:t>
            </w:r>
            <w:r>
              <w:rPr>
                <w:rFonts w:cs="Cambria"/>
                <w:color w:val="000000" w:themeColor="text1"/>
                <w:kern w:val="0"/>
                <w:sz w:val="24"/>
                <w:lang w:bidi="ar"/>
                <w14:textFill>
                  <w14:solidFill>
                    <w14:schemeClr w14:val="tx1"/>
                  </w14:solidFill>
                </w14:textFill>
              </w:rPr>
              <w:t>³</w:t>
            </w:r>
            <w:r>
              <w:rPr>
                <w:rFonts w:cs="方正仿宋_GBK"/>
                <w:color w:val="000000" w:themeColor="text1"/>
                <w:kern w:val="0"/>
                <w:sz w:val="24"/>
                <w:lang w:bidi="ar"/>
                <w14:textFill>
                  <w14:solidFill>
                    <w14:schemeClr w14:val="tx1"/>
                  </w14:solidFill>
                </w14:textFill>
              </w:rPr>
              <w:t>高位水池</w:t>
            </w:r>
            <w:r>
              <w:rPr>
                <w:rFonts w:cs="宋体"/>
                <w:color w:val="000000" w:themeColor="text1"/>
                <w:kern w:val="0"/>
                <w:sz w:val="24"/>
                <w:lang w:bidi="ar"/>
                <w14:textFill>
                  <w14:solidFill>
                    <w14:schemeClr w14:val="tx1"/>
                  </w14:solidFill>
                </w14:textFill>
              </w:rPr>
              <w:t>1个及200m</w:t>
            </w:r>
            <w:r>
              <w:rPr>
                <w:rFonts w:cs="Cambria"/>
                <w:color w:val="000000" w:themeColor="text1"/>
                <w:kern w:val="0"/>
                <w:sz w:val="24"/>
                <w:lang w:bidi="ar"/>
                <w14:textFill>
                  <w14:solidFill>
                    <w14:schemeClr w14:val="tx1"/>
                  </w14:solidFill>
                </w14:textFill>
              </w:rPr>
              <w:t>³</w:t>
            </w:r>
            <w:r>
              <w:rPr>
                <w:rFonts w:cs="方正仿宋_GBK"/>
                <w:color w:val="000000" w:themeColor="text1"/>
                <w:kern w:val="0"/>
                <w:sz w:val="24"/>
                <w:lang w:bidi="ar"/>
                <w14:textFill>
                  <w14:solidFill>
                    <w14:schemeClr w14:val="tx1"/>
                  </w14:solidFill>
                </w14:textFill>
              </w:rPr>
              <w:t>调节池</w:t>
            </w:r>
            <w:r>
              <w:rPr>
                <w:rFonts w:cs="宋体"/>
                <w:color w:val="000000" w:themeColor="text1"/>
                <w:kern w:val="0"/>
                <w:sz w:val="24"/>
                <w:lang w:bidi="ar"/>
                <w14:textFill>
                  <w14:solidFill>
                    <w14:schemeClr w14:val="tx1"/>
                  </w14:solidFill>
                </w14:textFill>
              </w:rPr>
              <w:t>1个</w:t>
            </w:r>
          </w:p>
        </w:tc>
      </w:tr>
      <w:tr w14:paraId="16778131">
        <w:tblPrEx>
          <w:tblCellMar>
            <w:top w:w="0" w:type="dxa"/>
            <w:left w:w="0" w:type="dxa"/>
            <w:bottom w:w="0" w:type="dxa"/>
            <w:right w:w="0" w:type="dxa"/>
          </w:tblCellMar>
        </w:tblPrEx>
        <w:trPr>
          <w:trHeight w:val="54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85442">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14</w:t>
            </w:r>
          </w:p>
        </w:tc>
        <w:tc>
          <w:tcPr>
            <w:tcW w:w="51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FEF26A">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EE1C5">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E2A00">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龙泉水桥小山凹和杨保庄片区灌溉工程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37B59">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新建DN150～DN250mm管线6.792km，其中涂塑钢管1485m，球墨铸铁管5207m，新建麦子田泵站提水泵站1座。</w:t>
            </w:r>
          </w:p>
        </w:tc>
      </w:tr>
      <w:tr w14:paraId="4D4B1B33">
        <w:tblPrEx>
          <w:tblCellMar>
            <w:top w:w="0" w:type="dxa"/>
            <w:left w:w="0" w:type="dxa"/>
            <w:bottom w:w="0" w:type="dxa"/>
            <w:right w:w="0" w:type="dxa"/>
          </w:tblCellMar>
        </w:tblPrEx>
        <w:trPr>
          <w:trHeight w:val="54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BFFB1">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15</w:t>
            </w:r>
          </w:p>
        </w:tc>
        <w:tc>
          <w:tcPr>
            <w:tcW w:w="51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A870513">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7AD8F">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0277E">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龙泉韩所、蔡营片区灌溉工程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0190E">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新建DN450～DN150mm管道12.378Km，均为球墨铸铁管</w:t>
            </w:r>
          </w:p>
        </w:tc>
      </w:tr>
      <w:tr w14:paraId="1B925D09">
        <w:tblPrEx>
          <w:tblCellMar>
            <w:top w:w="0" w:type="dxa"/>
            <w:left w:w="0" w:type="dxa"/>
            <w:bottom w:w="0" w:type="dxa"/>
            <w:right w:w="0" w:type="dxa"/>
          </w:tblCellMar>
        </w:tblPrEx>
        <w:trPr>
          <w:trHeight w:val="343"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94945C">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16</w:t>
            </w:r>
          </w:p>
        </w:tc>
        <w:tc>
          <w:tcPr>
            <w:tcW w:w="510" w:type="dxa"/>
            <w:vMerge w:val="restart"/>
            <w:tcBorders>
              <w:top w:val="nil"/>
              <w:left w:val="single" w:color="000000" w:sz="4" w:space="0"/>
              <w:right w:val="single" w:color="000000" w:sz="4" w:space="0"/>
            </w:tcBorders>
            <w:noWrap/>
            <w:tcMar>
              <w:top w:w="15" w:type="dxa"/>
              <w:left w:w="15" w:type="dxa"/>
              <w:right w:w="15" w:type="dxa"/>
            </w:tcMar>
            <w:vAlign w:val="center"/>
          </w:tcPr>
          <w:p w14:paraId="029891F1">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w:t>
            </w:r>
          </w:p>
        </w:tc>
        <w:tc>
          <w:tcPr>
            <w:tcW w:w="195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337B4DB">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村镇供水工程</w:t>
            </w: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19E67">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浦贝乡草箐片集中供水工程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5A589">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新建DN20～DN80入户管 33.375km, 改造500m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/d净水厂1座。</w:t>
            </w:r>
          </w:p>
        </w:tc>
      </w:tr>
      <w:tr w14:paraId="223A6DBD">
        <w:tblPrEx>
          <w:tblCellMar>
            <w:top w:w="0" w:type="dxa"/>
            <w:left w:w="0" w:type="dxa"/>
            <w:bottom w:w="0" w:type="dxa"/>
            <w:right w:w="0" w:type="dxa"/>
          </w:tblCellMar>
        </w:tblPrEx>
        <w:trPr>
          <w:trHeight w:val="344" w:hRule="atLeast"/>
        </w:trPr>
        <w:tc>
          <w:tcPr>
            <w:tcW w:w="51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10A7975">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17</w:t>
            </w:r>
          </w:p>
        </w:tc>
        <w:tc>
          <w:tcPr>
            <w:tcW w:w="510" w:type="dxa"/>
            <w:vMerge w:val="continue"/>
            <w:tcBorders>
              <w:left w:val="single" w:color="000000" w:sz="4" w:space="0"/>
              <w:right w:val="single" w:color="000000" w:sz="4" w:space="0"/>
            </w:tcBorders>
            <w:noWrap/>
            <w:tcMar>
              <w:top w:w="15" w:type="dxa"/>
              <w:left w:w="15" w:type="dxa"/>
              <w:right w:w="15" w:type="dxa"/>
            </w:tcMar>
            <w:vAlign w:val="center"/>
          </w:tcPr>
          <w:p w14:paraId="4FE82F03">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left w:val="single" w:color="000000" w:sz="4" w:space="0"/>
              <w:right w:val="single" w:color="000000" w:sz="4" w:space="0"/>
            </w:tcBorders>
            <w:noWrap/>
            <w:tcMar>
              <w:top w:w="15" w:type="dxa"/>
              <w:left w:w="15" w:type="dxa"/>
              <w:right w:w="15" w:type="dxa"/>
            </w:tcMar>
            <w:vAlign w:val="center"/>
          </w:tcPr>
          <w:p w14:paraId="0590FDDD">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2B56BCC">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浦贝水厂管网改扩建工程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B453C">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铺设DN300输水管 0.24km, DN65～DN300 配水干管 16.3km, 新建中间提升泵站1座，改造3600m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/d净水厂1座（现状规模为1600m³/d)。</w:t>
            </w:r>
          </w:p>
        </w:tc>
      </w:tr>
      <w:tr w14:paraId="1F199FF8">
        <w:tblPrEx>
          <w:tblCellMar>
            <w:top w:w="0" w:type="dxa"/>
            <w:left w:w="0" w:type="dxa"/>
            <w:bottom w:w="0" w:type="dxa"/>
            <w:right w:w="0" w:type="dxa"/>
          </w:tblCellMar>
        </w:tblPrEx>
        <w:trPr>
          <w:trHeight w:val="732" w:hRule="atLeast"/>
        </w:trPr>
        <w:tc>
          <w:tcPr>
            <w:tcW w:w="51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73BDDBDA">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18</w:t>
            </w:r>
          </w:p>
        </w:tc>
        <w:tc>
          <w:tcPr>
            <w:tcW w:w="510" w:type="dxa"/>
            <w:vMerge w:val="continue"/>
            <w:tcBorders>
              <w:left w:val="single" w:color="000000" w:sz="4" w:space="0"/>
              <w:right w:val="single" w:color="000000" w:sz="4" w:space="0"/>
            </w:tcBorders>
            <w:noWrap/>
            <w:tcMar>
              <w:top w:w="15" w:type="dxa"/>
              <w:left w:w="15" w:type="dxa"/>
              <w:right w:w="15" w:type="dxa"/>
            </w:tcMar>
            <w:vAlign w:val="center"/>
          </w:tcPr>
          <w:p w14:paraId="751EE3FA">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left w:val="single" w:color="000000" w:sz="4" w:space="0"/>
              <w:right w:val="single" w:color="000000" w:sz="4" w:space="0"/>
            </w:tcBorders>
            <w:noWrap/>
            <w:tcMar>
              <w:top w:w="15" w:type="dxa"/>
              <w:left w:w="15" w:type="dxa"/>
              <w:right w:w="15" w:type="dxa"/>
            </w:tcMar>
            <w:vAlign w:val="center"/>
          </w:tcPr>
          <w:p w14:paraId="31E48066">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E6F130C">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浦贝乡罗台旧村委会集中供水工程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0722B">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新建DN50～DN150配水干管2.62km, DN20～DN100入户管58.105km, 新建500m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/d净水厂1座,新建红石岩泵站和大兴坝浮船泵站</w:t>
            </w:r>
          </w:p>
        </w:tc>
      </w:tr>
      <w:tr w14:paraId="3F581122">
        <w:tblPrEx>
          <w:tblCellMar>
            <w:top w:w="0" w:type="dxa"/>
            <w:left w:w="0" w:type="dxa"/>
            <w:bottom w:w="0" w:type="dxa"/>
            <w:right w:w="0" w:type="dxa"/>
          </w:tblCellMar>
        </w:tblPrEx>
        <w:trPr>
          <w:trHeight w:val="30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9E859">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19</w:t>
            </w:r>
          </w:p>
        </w:tc>
        <w:tc>
          <w:tcPr>
            <w:tcW w:w="510" w:type="dxa"/>
            <w:vMerge w:val="continue"/>
            <w:tcBorders>
              <w:left w:val="single" w:color="000000" w:sz="4" w:space="0"/>
              <w:right w:val="single" w:color="000000" w:sz="4" w:space="0"/>
            </w:tcBorders>
            <w:noWrap/>
            <w:tcMar>
              <w:top w:w="15" w:type="dxa"/>
              <w:left w:w="15" w:type="dxa"/>
              <w:right w:w="15" w:type="dxa"/>
            </w:tcMar>
            <w:vAlign w:val="center"/>
          </w:tcPr>
          <w:p w14:paraId="1C838CE4">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left w:val="single" w:color="000000" w:sz="4" w:space="0"/>
              <w:right w:val="single" w:color="000000" w:sz="4" w:space="0"/>
            </w:tcBorders>
            <w:noWrap/>
            <w:tcMar>
              <w:top w:w="15" w:type="dxa"/>
              <w:left w:w="15" w:type="dxa"/>
              <w:right w:w="15" w:type="dxa"/>
            </w:tcMar>
            <w:vAlign w:val="center"/>
          </w:tcPr>
          <w:p w14:paraId="49BC4BD9">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3BB0D">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浦贝大黑虎郎村水厂工程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39C30">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铺设DN20～DN100进村入户管10.225km, 新建40m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/d净水厂1座。</w:t>
            </w:r>
          </w:p>
        </w:tc>
      </w:tr>
      <w:tr w14:paraId="768C839A">
        <w:tblPrEx>
          <w:tblCellMar>
            <w:top w:w="0" w:type="dxa"/>
            <w:left w:w="0" w:type="dxa"/>
            <w:bottom w:w="0" w:type="dxa"/>
            <w:right w:w="0" w:type="dxa"/>
          </w:tblCellMar>
        </w:tblPrEx>
        <w:trPr>
          <w:trHeight w:val="30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76CDF">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w:t>
            </w:r>
          </w:p>
        </w:tc>
        <w:tc>
          <w:tcPr>
            <w:tcW w:w="510" w:type="dxa"/>
            <w:vMerge w:val="continue"/>
            <w:tcBorders>
              <w:left w:val="single" w:color="000000" w:sz="4" w:space="0"/>
              <w:right w:val="single" w:color="000000" w:sz="4" w:space="0"/>
            </w:tcBorders>
            <w:noWrap/>
            <w:tcMar>
              <w:top w:w="15" w:type="dxa"/>
              <w:left w:w="15" w:type="dxa"/>
              <w:right w:w="15" w:type="dxa"/>
            </w:tcMar>
            <w:vAlign w:val="center"/>
          </w:tcPr>
          <w:p w14:paraId="27ACA647">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left w:val="single" w:color="000000" w:sz="4" w:space="0"/>
              <w:right w:val="single" w:color="000000" w:sz="4" w:space="0"/>
            </w:tcBorders>
            <w:noWrap/>
            <w:tcMar>
              <w:top w:w="15" w:type="dxa"/>
              <w:left w:w="15" w:type="dxa"/>
              <w:right w:w="15" w:type="dxa"/>
            </w:tcMar>
            <w:vAlign w:val="center"/>
          </w:tcPr>
          <w:p w14:paraId="632DDF83">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C7BA4">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浦贝小黑虎郎村水厂工程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CCFCE">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铺设DN20～DN80进村入户管9.7 7km, 新建40m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/d净水厂1座</w:t>
            </w:r>
          </w:p>
        </w:tc>
      </w:tr>
      <w:tr w14:paraId="220F109D">
        <w:tblPrEx>
          <w:tblCellMar>
            <w:top w:w="0" w:type="dxa"/>
            <w:left w:w="0" w:type="dxa"/>
            <w:bottom w:w="0" w:type="dxa"/>
            <w:right w:w="0" w:type="dxa"/>
          </w:tblCellMar>
        </w:tblPrEx>
        <w:trPr>
          <w:trHeight w:val="30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D146E">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21</w:t>
            </w:r>
          </w:p>
        </w:tc>
        <w:tc>
          <w:tcPr>
            <w:tcW w:w="510" w:type="dxa"/>
            <w:vMerge w:val="continue"/>
            <w:tcBorders>
              <w:left w:val="single" w:color="000000" w:sz="4" w:space="0"/>
              <w:right w:val="single" w:color="000000" w:sz="4" w:space="0"/>
            </w:tcBorders>
            <w:noWrap/>
            <w:tcMar>
              <w:top w:w="15" w:type="dxa"/>
              <w:left w:w="15" w:type="dxa"/>
              <w:right w:w="15" w:type="dxa"/>
            </w:tcMar>
            <w:vAlign w:val="center"/>
          </w:tcPr>
          <w:p w14:paraId="0E61B069">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left w:val="single" w:color="000000" w:sz="4" w:space="0"/>
              <w:right w:val="single" w:color="000000" w:sz="4" w:space="0"/>
            </w:tcBorders>
            <w:noWrap/>
            <w:tcMar>
              <w:top w:w="15" w:type="dxa"/>
              <w:left w:w="15" w:type="dxa"/>
              <w:right w:w="15" w:type="dxa"/>
            </w:tcMar>
            <w:vAlign w:val="center"/>
          </w:tcPr>
          <w:p w14:paraId="219E7EFD">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BB4A9">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浦贝芭蕉村水厂工程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3CAFA">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新建20m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/d净水厂1座</w:t>
            </w:r>
          </w:p>
        </w:tc>
      </w:tr>
      <w:tr w14:paraId="24A5EE71">
        <w:tblPrEx>
          <w:tblCellMar>
            <w:top w:w="0" w:type="dxa"/>
            <w:left w:w="0" w:type="dxa"/>
            <w:bottom w:w="0" w:type="dxa"/>
            <w:right w:w="0" w:type="dxa"/>
          </w:tblCellMar>
        </w:tblPrEx>
        <w:trPr>
          <w:trHeight w:val="54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968D53">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22</w:t>
            </w:r>
          </w:p>
        </w:tc>
        <w:tc>
          <w:tcPr>
            <w:tcW w:w="510" w:type="dxa"/>
            <w:vMerge w:val="continue"/>
            <w:tcBorders>
              <w:left w:val="single" w:color="000000" w:sz="4" w:space="0"/>
              <w:right w:val="single" w:color="000000" w:sz="4" w:space="0"/>
            </w:tcBorders>
            <w:noWrap/>
            <w:tcMar>
              <w:top w:w="15" w:type="dxa"/>
              <w:left w:w="15" w:type="dxa"/>
              <w:right w:w="15" w:type="dxa"/>
            </w:tcMar>
            <w:vAlign w:val="center"/>
          </w:tcPr>
          <w:p w14:paraId="57E69691">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2D658D27">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B1C24">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浦贝老水厂改造工程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F2A99">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更换DN150的输水管1.9km, 改造1000m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/d净水厂1座</w:t>
            </w:r>
          </w:p>
        </w:tc>
      </w:tr>
      <w:tr w14:paraId="27044937">
        <w:tblPrEx>
          <w:tblCellMar>
            <w:top w:w="0" w:type="dxa"/>
            <w:left w:w="0" w:type="dxa"/>
            <w:bottom w:w="0" w:type="dxa"/>
            <w:right w:w="0" w:type="dxa"/>
          </w:tblCellMar>
        </w:tblPrEx>
        <w:trPr>
          <w:trHeight w:val="54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6A942">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23</w:t>
            </w:r>
          </w:p>
        </w:tc>
        <w:tc>
          <w:tcPr>
            <w:tcW w:w="510" w:type="dxa"/>
            <w:vMerge w:val="continue"/>
            <w:tcBorders>
              <w:left w:val="single" w:color="000000" w:sz="4" w:space="0"/>
              <w:right w:val="single" w:color="000000" w:sz="4" w:space="0"/>
            </w:tcBorders>
            <w:noWrap/>
            <w:tcMar>
              <w:top w:w="15" w:type="dxa"/>
              <w:left w:w="15" w:type="dxa"/>
              <w:right w:w="15" w:type="dxa"/>
            </w:tcMar>
            <w:vAlign w:val="center"/>
          </w:tcPr>
          <w:p w14:paraId="0954557C">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B70B4">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高效节水灌溉工程</w:t>
            </w: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13643">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浦贝乡朋多上片灌溉工程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3C95E">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新建管径DN100～DN400mm管线12.101Km，均为涂塑钢管，新建100m</w:t>
            </w:r>
            <w:r>
              <w:rPr>
                <w:rFonts w:cs="Cambria"/>
                <w:color w:val="000000" w:themeColor="text1"/>
                <w:kern w:val="0"/>
                <w:sz w:val="24"/>
                <w:lang w:bidi="ar"/>
                <w14:textFill>
                  <w14:solidFill>
                    <w14:schemeClr w14:val="tx1"/>
                  </w14:solidFill>
                </w14:textFill>
              </w:rPr>
              <w:t>³</w:t>
            </w:r>
            <w:r>
              <w:rPr>
                <w:rFonts w:cs="宋体"/>
                <w:color w:val="000000" w:themeColor="text1"/>
                <w:kern w:val="0"/>
                <w:sz w:val="24"/>
                <w:lang w:bidi="ar"/>
                <w14:textFill>
                  <w14:solidFill>
                    <w14:schemeClr w14:val="tx1"/>
                  </w14:solidFill>
                </w14:textFill>
              </w:rPr>
              <w:t>调节池2个</w:t>
            </w:r>
          </w:p>
        </w:tc>
      </w:tr>
      <w:tr w14:paraId="12E77406">
        <w:tblPrEx>
          <w:tblCellMar>
            <w:top w:w="0" w:type="dxa"/>
            <w:left w:w="0" w:type="dxa"/>
            <w:bottom w:w="0" w:type="dxa"/>
            <w:right w:w="0" w:type="dxa"/>
          </w:tblCellMar>
        </w:tblPrEx>
        <w:trPr>
          <w:trHeight w:val="27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12193">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24</w:t>
            </w:r>
          </w:p>
        </w:tc>
        <w:tc>
          <w:tcPr>
            <w:tcW w:w="51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7227AE6">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5163C">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E65E2">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浦贝乡罗台旧灌溉工程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3D63B">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新建管径DN80～DN300mm管道18.523Km，均为涂塑钢管，新建红石岩提水泵站1座</w:t>
            </w:r>
          </w:p>
        </w:tc>
      </w:tr>
      <w:tr w14:paraId="21784C91">
        <w:tblPrEx>
          <w:tblCellMar>
            <w:top w:w="0" w:type="dxa"/>
            <w:left w:w="0" w:type="dxa"/>
            <w:bottom w:w="0" w:type="dxa"/>
            <w:right w:w="0" w:type="dxa"/>
          </w:tblCellMar>
        </w:tblPrEx>
        <w:trPr>
          <w:trHeight w:val="81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D3C91">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25</w:t>
            </w:r>
          </w:p>
        </w:tc>
        <w:tc>
          <w:tcPr>
            <w:tcW w:w="5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4755C">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十街</w:t>
            </w:r>
          </w:p>
        </w:tc>
        <w:tc>
          <w:tcPr>
            <w:tcW w:w="19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BF549">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村镇供水工程</w:t>
            </w: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5C2A4">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岔河连通二期工程十街集镇引水工程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CF07C">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新建十街光伏泵站水厂（规模200m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/d)， 南山村水厂（规模100m³/d)，扩建现状十街集镇水厂至1500m³（现状规模300m³/d)，新建DN50～DN200 原水输水管约8.70km。</w:t>
            </w:r>
          </w:p>
        </w:tc>
      </w:tr>
      <w:tr w14:paraId="27ACF5B7">
        <w:tblPrEx>
          <w:tblCellMar>
            <w:top w:w="0" w:type="dxa"/>
            <w:left w:w="0" w:type="dxa"/>
            <w:bottom w:w="0" w:type="dxa"/>
            <w:right w:w="0" w:type="dxa"/>
          </w:tblCellMar>
        </w:tblPrEx>
        <w:trPr>
          <w:trHeight w:val="54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21492">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26</w:t>
            </w: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42FDB">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F671C">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E60AE">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十街光伏泵站水厂工程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DDA14">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新建200m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/d净水厂1座。</w:t>
            </w:r>
          </w:p>
        </w:tc>
      </w:tr>
      <w:tr w14:paraId="34DA2E15">
        <w:tblPrEx>
          <w:tblCellMar>
            <w:top w:w="0" w:type="dxa"/>
            <w:left w:w="0" w:type="dxa"/>
            <w:bottom w:w="0" w:type="dxa"/>
            <w:right w:w="0" w:type="dxa"/>
          </w:tblCellMar>
        </w:tblPrEx>
        <w:trPr>
          <w:trHeight w:val="30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2F0B1">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27</w:t>
            </w: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37B73">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52863">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E3CDB">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十街南山水厂工程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AFDB7">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 100m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/d净水厂1座。</w:t>
            </w:r>
          </w:p>
        </w:tc>
      </w:tr>
      <w:tr w14:paraId="6CBCADA3">
        <w:tblPrEx>
          <w:tblCellMar>
            <w:top w:w="0" w:type="dxa"/>
            <w:left w:w="0" w:type="dxa"/>
            <w:bottom w:w="0" w:type="dxa"/>
            <w:right w:w="0" w:type="dxa"/>
          </w:tblCellMar>
        </w:tblPrEx>
        <w:trPr>
          <w:trHeight w:val="30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CCE7D">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28</w:t>
            </w: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469E3">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4E672">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高效节水灌溉工程</w:t>
            </w: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BF6F8">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十街乡贾姑片区灌溉工程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F87DB">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新建管径DN350mm管线1.63Km，管材为涂塑钢管，新建提水团山闸泵站1座</w:t>
            </w:r>
          </w:p>
        </w:tc>
      </w:tr>
      <w:tr w14:paraId="686D55D9">
        <w:tblPrEx>
          <w:tblCellMar>
            <w:top w:w="0" w:type="dxa"/>
            <w:left w:w="0" w:type="dxa"/>
            <w:bottom w:w="0" w:type="dxa"/>
            <w:right w:w="0" w:type="dxa"/>
          </w:tblCellMar>
        </w:tblPrEx>
        <w:trPr>
          <w:trHeight w:val="30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8F592">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29</w:t>
            </w: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71F93">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DB47AD">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CB849">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十街乡落水洞片区灌溉工程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90D76">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新建管径DN250～350mm管线8.824Km，管材为涂塑钢管，新建向阳一级、向阳二级提水泵站，新建2000m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高位水池1个</w:t>
            </w:r>
          </w:p>
        </w:tc>
      </w:tr>
      <w:tr w14:paraId="12116E70">
        <w:tblPrEx>
          <w:tblCellMar>
            <w:top w:w="0" w:type="dxa"/>
            <w:left w:w="0" w:type="dxa"/>
            <w:bottom w:w="0" w:type="dxa"/>
            <w:right w:w="0" w:type="dxa"/>
          </w:tblCellMar>
        </w:tblPrEx>
        <w:trPr>
          <w:trHeight w:val="30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95FFA">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30</w:t>
            </w: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7B60F">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F85C5D">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91098">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十街乡马头片区岔河连通工程引水灌溉工程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DD456">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新建管径DN150～DN700mm管线总长20.236Km，新建柔性水池1座，加固马头村柔性水池</w:t>
            </w:r>
          </w:p>
        </w:tc>
      </w:tr>
      <w:tr w14:paraId="417DB29A">
        <w:tblPrEx>
          <w:tblCellMar>
            <w:top w:w="0" w:type="dxa"/>
            <w:left w:w="0" w:type="dxa"/>
            <w:bottom w:w="0" w:type="dxa"/>
            <w:right w:w="0" w:type="dxa"/>
          </w:tblCellMar>
        </w:tblPrEx>
        <w:trPr>
          <w:trHeight w:val="54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F3A6A">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31</w:t>
            </w:r>
          </w:p>
        </w:tc>
        <w:tc>
          <w:tcPr>
            <w:tcW w:w="5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46F7C">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铜厂</w:t>
            </w:r>
          </w:p>
        </w:tc>
        <w:tc>
          <w:tcPr>
            <w:tcW w:w="19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0B3AB">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高效节水灌溉工程</w:t>
            </w: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97E23">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铜厂乡里士二坝灌溉工程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8BD30">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新建DN250～DN350mm管线总长13.177Km，均为涂塑钢管，有压管道改造1处</w:t>
            </w:r>
          </w:p>
        </w:tc>
      </w:tr>
      <w:tr w14:paraId="7EF0B82C">
        <w:tblPrEx>
          <w:tblCellMar>
            <w:top w:w="0" w:type="dxa"/>
            <w:left w:w="0" w:type="dxa"/>
            <w:bottom w:w="0" w:type="dxa"/>
            <w:right w:w="0" w:type="dxa"/>
          </w:tblCellMar>
        </w:tblPrEx>
        <w:trPr>
          <w:trHeight w:val="54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E5AF1">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32</w:t>
            </w:r>
          </w:p>
        </w:tc>
        <w:tc>
          <w:tcPr>
            <w:tcW w:w="510" w:type="dxa"/>
            <w:vMerge w:val="continue"/>
            <w:tcBorders>
              <w:top w:val="single" w:color="000000" w:sz="4" w:space="0"/>
              <w:left w:val="single" w:color="000000" w:sz="4" w:space="0"/>
              <w:right w:val="single" w:color="000000" w:sz="4" w:space="0"/>
            </w:tcBorders>
            <w:noWrap/>
            <w:tcMar>
              <w:top w:w="15" w:type="dxa"/>
              <w:left w:w="15" w:type="dxa"/>
              <w:right w:w="15" w:type="dxa"/>
            </w:tcMar>
            <w:vAlign w:val="center"/>
          </w:tcPr>
          <w:p w14:paraId="0BE182C5">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right w:val="single" w:color="000000" w:sz="4" w:space="0"/>
            </w:tcBorders>
            <w:noWrap/>
            <w:tcMar>
              <w:top w:w="15" w:type="dxa"/>
              <w:left w:w="15" w:type="dxa"/>
              <w:right w:w="15" w:type="dxa"/>
            </w:tcMar>
            <w:vAlign w:val="center"/>
          </w:tcPr>
          <w:p w14:paraId="262EB279">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0A904">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铜厂乡米茂水库灌溉工程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C89C6">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新建管径DN80～DN400管线28.341Km，均采用涂塑钢管，新建混凝土取水池3个，混凝100m</w:t>
            </w:r>
            <w:r>
              <w:rPr>
                <w:rFonts w:cs="Cambria"/>
                <w:color w:val="000000" w:themeColor="text1"/>
                <w:kern w:val="0"/>
                <w:sz w:val="24"/>
                <w:lang w:bidi="ar"/>
                <w14:textFill>
                  <w14:solidFill>
                    <w14:schemeClr w14:val="tx1"/>
                  </w14:solidFill>
                </w14:textFill>
              </w:rPr>
              <w:t>³</w:t>
            </w:r>
            <w:r>
              <w:rPr>
                <w:rFonts w:cs="宋体"/>
                <w:color w:val="000000" w:themeColor="text1"/>
                <w:kern w:val="0"/>
                <w:sz w:val="24"/>
                <w:lang w:bidi="ar"/>
                <w14:textFill>
                  <w14:solidFill>
                    <w14:schemeClr w14:val="tx1"/>
                  </w14:solidFill>
                </w14:textFill>
              </w:rPr>
              <w:t>土调节池1个</w:t>
            </w:r>
          </w:p>
        </w:tc>
      </w:tr>
      <w:tr w14:paraId="017E2759">
        <w:tblPrEx>
          <w:tblCellMar>
            <w:top w:w="0" w:type="dxa"/>
            <w:left w:w="0" w:type="dxa"/>
            <w:bottom w:w="0" w:type="dxa"/>
            <w:right w:w="0" w:type="dxa"/>
          </w:tblCellMar>
        </w:tblPrEx>
        <w:trPr>
          <w:trHeight w:val="54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AA59C">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33</w:t>
            </w:r>
          </w:p>
        </w:tc>
        <w:tc>
          <w:tcPr>
            <w:tcW w:w="5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854A6">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绿汁</w:t>
            </w:r>
          </w:p>
        </w:tc>
        <w:tc>
          <w:tcPr>
            <w:tcW w:w="19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5E3334">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村镇供水工程</w:t>
            </w: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2331A">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绿汁集镇供水管网改造工程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62782">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铺设DN150输水管6.3km,DN200配水管0.4km, DNIOO配水管8.8km</w:t>
            </w:r>
          </w:p>
        </w:tc>
      </w:tr>
      <w:tr w14:paraId="007BEC69">
        <w:tblPrEx>
          <w:tblCellMar>
            <w:top w:w="0" w:type="dxa"/>
            <w:left w:w="0" w:type="dxa"/>
            <w:bottom w:w="0" w:type="dxa"/>
            <w:right w:w="0" w:type="dxa"/>
          </w:tblCellMar>
        </w:tblPrEx>
        <w:trPr>
          <w:trHeight w:val="81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037A3">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34</w:t>
            </w:r>
          </w:p>
        </w:tc>
        <w:tc>
          <w:tcPr>
            <w:tcW w:w="510" w:type="dxa"/>
            <w:vMerge w:val="continue"/>
            <w:tcBorders>
              <w:top w:val="single" w:color="000000" w:sz="4" w:space="0"/>
              <w:left w:val="single" w:color="000000" w:sz="4" w:space="0"/>
              <w:right w:val="single" w:color="000000" w:sz="4" w:space="0"/>
            </w:tcBorders>
            <w:noWrap/>
            <w:tcMar>
              <w:top w:w="15" w:type="dxa"/>
              <w:left w:w="15" w:type="dxa"/>
              <w:right w:w="15" w:type="dxa"/>
            </w:tcMar>
            <w:vAlign w:val="center"/>
          </w:tcPr>
          <w:p w14:paraId="2ABFEF92">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94148">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64CF0">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绿汁镇大鹿箐提水工程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B5D88">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铺设DN125输水管道总长4.0km, 新建取水泵站1座， 新建600m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/d净水厂1座。</w:t>
            </w:r>
          </w:p>
        </w:tc>
      </w:tr>
      <w:tr w14:paraId="3A74F1CA">
        <w:tblPrEx>
          <w:tblCellMar>
            <w:top w:w="0" w:type="dxa"/>
            <w:left w:w="0" w:type="dxa"/>
            <w:bottom w:w="0" w:type="dxa"/>
            <w:right w:w="0" w:type="dxa"/>
          </w:tblCellMar>
        </w:tblPrEx>
        <w:trPr>
          <w:trHeight w:val="36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DDB02">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35</w:t>
            </w:r>
          </w:p>
        </w:tc>
        <w:tc>
          <w:tcPr>
            <w:tcW w:w="510" w:type="dxa"/>
            <w:vMerge w:val="continue"/>
            <w:tcBorders>
              <w:top w:val="single" w:color="000000" w:sz="4" w:space="0"/>
              <w:left w:val="single" w:color="000000" w:sz="4" w:space="0"/>
              <w:right w:val="single" w:color="000000" w:sz="4" w:space="0"/>
            </w:tcBorders>
            <w:noWrap/>
            <w:tcMar>
              <w:top w:w="15" w:type="dxa"/>
              <w:left w:w="15" w:type="dxa"/>
              <w:right w:w="15" w:type="dxa"/>
            </w:tcMar>
            <w:vAlign w:val="center"/>
          </w:tcPr>
          <w:p w14:paraId="5854C2D3">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D5E33D">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19073">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绿汁镇龙格利大田河片区集中供水工程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24CAE">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铺设DN80 输水管道总长 5.3km, DN40～DN100配水干管12.3km, DN20～DN50进村入户管16.825km, 新建180m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/d净水厂1座。</w:t>
            </w:r>
          </w:p>
        </w:tc>
      </w:tr>
      <w:tr w14:paraId="2A2813FF">
        <w:tblPrEx>
          <w:tblCellMar>
            <w:top w:w="0" w:type="dxa"/>
            <w:left w:w="0" w:type="dxa"/>
            <w:bottom w:w="0" w:type="dxa"/>
            <w:right w:w="0" w:type="dxa"/>
          </w:tblCellMar>
        </w:tblPrEx>
        <w:trPr>
          <w:trHeight w:val="68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8627B">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36</w:t>
            </w: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86804">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345AD127">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高效节水灌溉工程</w:t>
            </w: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9DAA5">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绿汁镇大小绿汁和湾子片区灌溉工程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83C3A">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新建DN150～DN250管道7.077Km，均为涂塑钢管，新建100m</w:t>
            </w:r>
            <w:r>
              <w:rPr>
                <w:rFonts w:cs="Cambria"/>
                <w:color w:val="000000" w:themeColor="text1"/>
                <w:kern w:val="0"/>
                <w:sz w:val="24"/>
                <w:lang w:bidi="ar"/>
                <w14:textFill>
                  <w14:solidFill>
                    <w14:schemeClr w14:val="tx1"/>
                  </w14:solidFill>
                </w14:textFill>
              </w:rPr>
              <w:t>³</w:t>
            </w:r>
            <w:r>
              <w:rPr>
                <w:rFonts w:cs="宋体"/>
                <w:color w:val="000000" w:themeColor="text1"/>
                <w:kern w:val="0"/>
                <w:sz w:val="24"/>
                <w:lang w:bidi="ar"/>
                <w14:textFill>
                  <w14:solidFill>
                    <w14:schemeClr w14:val="tx1"/>
                  </w14:solidFill>
                </w14:textFill>
              </w:rPr>
              <w:t>和200m</w:t>
            </w:r>
            <w:r>
              <w:rPr>
                <w:rFonts w:cs="Cambria"/>
                <w:color w:val="000000" w:themeColor="text1"/>
                <w:kern w:val="0"/>
                <w:sz w:val="24"/>
                <w:lang w:bidi="ar"/>
                <w14:textFill>
                  <w14:solidFill>
                    <w14:schemeClr w14:val="tx1"/>
                  </w14:solidFill>
                </w14:textFill>
              </w:rPr>
              <w:t>³</w:t>
            </w:r>
            <w:r>
              <w:rPr>
                <w:rFonts w:cs="宋体"/>
                <w:color w:val="000000" w:themeColor="text1"/>
                <w:kern w:val="0"/>
                <w:sz w:val="24"/>
                <w:lang w:bidi="ar"/>
                <w14:textFill>
                  <w14:solidFill>
                    <w14:schemeClr w14:val="tx1"/>
                  </w14:solidFill>
                </w14:textFill>
              </w:rPr>
              <w:t>混凝土调节池个1座</w:t>
            </w:r>
          </w:p>
        </w:tc>
      </w:tr>
      <w:tr w14:paraId="48EE9E7A">
        <w:tblPrEx>
          <w:tblCellMar>
            <w:top w:w="0" w:type="dxa"/>
            <w:left w:w="0" w:type="dxa"/>
            <w:bottom w:w="0" w:type="dxa"/>
            <w:right w:w="0" w:type="dxa"/>
          </w:tblCellMar>
        </w:tblPrEx>
        <w:trPr>
          <w:trHeight w:val="54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462073">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37</w:t>
            </w: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1962A">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00187">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88C41">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绿汁镇木厂片区灌溉工程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49D1A">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新建DN150～DN250管道总长6.124Km，均为涂塑钢管，新建木厂滚水坝1座，新建2000m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柔性水池1个，新建100m³和200m³混凝土调节池各1个</w:t>
            </w:r>
          </w:p>
        </w:tc>
      </w:tr>
      <w:tr w14:paraId="03A50EF2">
        <w:tblPrEx>
          <w:tblCellMar>
            <w:top w:w="0" w:type="dxa"/>
            <w:left w:w="0" w:type="dxa"/>
            <w:bottom w:w="0" w:type="dxa"/>
            <w:right w:w="0" w:type="dxa"/>
          </w:tblCellMar>
        </w:tblPrEx>
        <w:trPr>
          <w:trHeight w:val="300" w:hRule="atLeast"/>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D10E7">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38</w:t>
            </w: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55E2C">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15323">
            <w:pPr>
              <w:adjustRightInd/>
              <w:snapToGrid/>
              <w:spacing w:line="240" w:lineRule="auto"/>
              <w:ind w:firstLine="0" w:firstLineChars="0"/>
              <w:jc w:val="center"/>
              <w:rPr>
                <w:rFonts w:cs="宋体"/>
                <w:color w:val="000000" w:themeColor="text1"/>
                <w:sz w:val="24"/>
                <w14:textFill>
                  <w14:solidFill>
                    <w14:schemeClr w14:val="tx1"/>
                  </w14:solidFill>
                </w14:textFill>
              </w:rPr>
            </w:pPr>
          </w:p>
        </w:tc>
        <w:tc>
          <w:tcPr>
            <w:tcW w:w="2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3F115">
            <w:pPr>
              <w:widowControl/>
              <w:adjustRightInd/>
              <w:snapToGrid/>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绿汁镇小路箐二坝水库灌溉工程</w:t>
            </w:r>
          </w:p>
        </w:tc>
        <w:tc>
          <w:tcPr>
            <w:tcW w:w="8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70E48">
            <w:pPr>
              <w:widowControl/>
              <w:adjustRightInd/>
              <w:snapToGrid/>
              <w:spacing w:line="240" w:lineRule="auto"/>
              <w:ind w:firstLine="0" w:firstLineChars="0"/>
              <w:jc w:val="left"/>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新建管线总长度为20564m，均采用涂塑钢管。新建调节池12个，其中500m</w:t>
            </w:r>
            <w:r>
              <w:rPr>
                <w:rFonts w:cs="Cambria"/>
                <w:color w:val="000000" w:themeColor="text1"/>
                <w:kern w:val="0"/>
                <w:sz w:val="24"/>
                <w:lang w:bidi="ar"/>
                <w14:textFill>
                  <w14:solidFill>
                    <w14:schemeClr w14:val="tx1"/>
                  </w14:solidFill>
                </w14:textFill>
              </w:rPr>
              <w:t>³</w:t>
            </w:r>
            <w:r>
              <w:rPr>
                <w:rStyle w:val="78"/>
                <w:rFonts w:hint="default" w:ascii="Times New Roman" w:hAnsi="Times New Roman" w:eastAsia="方正仿宋_GBK"/>
                <w:b w:val="0"/>
                <w:color w:val="000000" w:themeColor="text1"/>
                <w:sz w:val="24"/>
                <w:szCs w:val="24"/>
                <w:lang w:bidi="ar"/>
                <w14:textFill>
                  <w14:solidFill>
                    <w14:schemeClr w14:val="tx1"/>
                  </w14:solidFill>
                </w14:textFill>
              </w:rPr>
              <w:t>混凝土水池1个，100m³混凝土水池2个，其余均为50m³混凝土水池</w:t>
            </w:r>
          </w:p>
        </w:tc>
      </w:tr>
    </w:tbl>
    <w:p w14:paraId="54099043">
      <w:pPr>
        <w:ind w:firstLine="640"/>
        <w:rPr>
          <w:color w:val="000000" w:themeColor="text1"/>
          <w14:textFill>
            <w14:solidFill>
              <w14:schemeClr w14:val="tx1"/>
            </w14:solidFill>
          </w14:textFill>
        </w:rPr>
        <w:sectPr>
          <w:pgSz w:w="16838" w:h="11906" w:orient="landscape"/>
          <w:pgMar w:top="1871" w:right="1304" w:bottom="1418" w:left="1304" w:header="851" w:footer="992" w:gutter="0"/>
          <w:pgNumType w:fmt="numberInDash"/>
          <w:cols w:space="720" w:num="1"/>
          <w:docGrid w:linePitch="312" w:charSpace="0"/>
        </w:sectPr>
      </w:pPr>
    </w:p>
    <w:p w14:paraId="35178B73">
      <w:pPr>
        <w:pStyle w:val="76"/>
        <w:numPr>
          <w:ilvl w:val="0"/>
          <w:numId w:val="8"/>
        </w:numPr>
        <w:rPr>
          <w:color w:val="000000" w:themeColor="text1"/>
          <w14:textFill>
            <w14:solidFill>
              <w14:schemeClr w14:val="tx1"/>
            </w14:solidFill>
          </w14:textFill>
        </w:rPr>
      </w:pPr>
      <w:r>
        <w:rPr>
          <w:color w:val="000000" w:themeColor="text1"/>
          <w14:textFill>
            <w14:solidFill>
              <w14:schemeClr w14:val="tx1"/>
            </w14:solidFill>
          </w14:textFill>
        </w:rPr>
        <w:t>工程建设计划</w:t>
      </w:r>
    </w:p>
    <w:p w14:paraId="573647A1">
      <w:pPr>
        <w:ind w:firstLine="640"/>
        <w:rPr>
          <w:color w:val="000000" w:themeColor="text1"/>
          <w14:textFill>
            <w14:solidFill>
              <w14:schemeClr w14:val="tx1"/>
            </w14:solidFill>
          </w14:textFill>
        </w:rPr>
        <w:sectPr>
          <w:pgSz w:w="11906" w:h="16838"/>
          <w:pgMar w:top="1871" w:right="1304" w:bottom="1418" w:left="1304" w:header="851" w:footer="992" w:gutter="0"/>
          <w:pgNumType w:fmt="numberInDash"/>
          <w:cols w:space="720" w:num="1"/>
          <w:docGrid w:linePitch="312" w:charSpace="0"/>
        </w:sectPr>
      </w:pPr>
      <w:r>
        <w:rPr>
          <w:color w:val="000000" w:themeColor="text1"/>
          <w14:textFill>
            <w14:solidFill>
              <w14:schemeClr w14:val="tx1"/>
            </w14:solidFill>
          </w14:textFill>
        </w:rPr>
        <w:t>本PPP项目采用TOT+BOT模式实施，计划项目合作期20年，其中：TOT部分（小街、浦贝、十街、铜厂、绿汁五个集镇水厂）无建设期，运营期为20年；BOT部分中村镇供水工程和高效节水灌溉工程（子项目一）建设期2年，运营期18年，易门县白龙水库扩建工程（子项目二）建设期3年，运营期17年。根据工程用地及实施建设时的用地协调计划，现初步拟定了工程建设计划实施明细表如下：</w:t>
      </w:r>
    </w:p>
    <w:p w14:paraId="360D4780">
      <w:pPr>
        <w:pStyle w:val="51"/>
        <w:rPr>
          <w:color w:val="000000" w:themeColor="text1"/>
          <w14:textFill>
            <w14:solidFill>
              <w14:schemeClr w14:val="tx1"/>
            </w14:solidFill>
          </w14:textFill>
        </w:rPr>
      </w:pPr>
      <w:r>
        <w:rPr>
          <w:color w:val="000000" w:themeColor="text1"/>
          <w14:textFill>
            <w14:solidFill>
              <w14:schemeClr w14:val="tx1"/>
            </w14:solidFill>
          </w14:textFill>
        </w:rPr>
        <w:t>表5-2             工程建设计划实施明细表</w:t>
      </w:r>
    </w:p>
    <w:tbl>
      <w:tblPr>
        <w:tblStyle w:val="24"/>
        <w:tblW w:w="13579" w:type="dxa"/>
        <w:tblInd w:w="0" w:type="dxa"/>
        <w:tblLayout w:type="fixed"/>
        <w:tblCellMar>
          <w:top w:w="0" w:type="dxa"/>
          <w:left w:w="0" w:type="dxa"/>
          <w:bottom w:w="0" w:type="dxa"/>
          <w:right w:w="0" w:type="dxa"/>
        </w:tblCellMar>
      </w:tblPr>
      <w:tblGrid>
        <w:gridCol w:w="553"/>
        <w:gridCol w:w="1638"/>
        <w:gridCol w:w="3381"/>
        <w:gridCol w:w="1898"/>
        <w:gridCol w:w="1127"/>
        <w:gridCol w:w="769"/>
        <w:gridCol w:w="1016"/>
        <w:gridCol w:w="918"/>
        <w:gridCol w:w="970"/>
        <w:gridCol w:w="1309"/>
      </w:tblGrid>
      <w:tr w14:paraId="3E009920">
        <w:tblPrEx>
          <w:tblCellMar>
            <w:top w:w="0" w:type="dxa"/>
            <w:left w:w="0" w:type="dxa"/>
            <w:bottom w:w="0" w:type="dxa"/>
            <w:right w:w="0" w:type="dxa"/>
          </w:tblCellMar>
        </w:tblPrEx>
        <w:trPr>
          <w:trHeight w:val="340" w:hRule="atLeast"/>
          <w:tblHeader/>
        </w:trPr>
        <w:tc>
          <w:tcPr>
            <w:tcW w:w="55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935ED">
            <w:pPr>
              <w:widowControl/>
              <w:spacing w:line="240" w:lineRule="auto"/>
              <w:ind w:firstLine="0" w:firstLineChars="0"/>
              <w:jc w:val="center"/>
              <w:textAlignment w:val="center"/>
              <w:rPr>
                <w:rFonts w:cs="宋体"/>
                <w:b/>
                <w:color w:val="000000" w:themeColor="text1"/>
                <w:sz w:val="24"/>
                <w14:textFill>
                  <w14:solidFill>
                    <w14:schemeClr w14:val="tx1"/>
                  </w14:solidFill>
                </w14:textFill>
              </w:rPr>
            </w:pPr>
            <w:r>
              <w:rPr>
                <w:rFonts w:cs="宋体"/>
                <w:b/>
                <w:color w:val="000000" w:themeColor="text1"/>
                <w:kern w:val="0"/>
                <w:sz w:val="24"/>
                <w:lang w:bidi="ar"/>
                <w14:textFill>
                  <w14:solidFill>
                    <w14:schemeClr w14:val="tx1"/>
                  </w14:solidFill>
                </w14:textFill>
              </w:rPr>
              <w:t>序号</w:t>
            </w:r>
          </w:p>
        </w:tc>
        <w:tc>
          <w:tcPr>
            <w:tcW w:w="16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E95FA">
            <w:pPr>
              <w:widowControl/>
              <w:spacing w:line="240" w:lineRule="auto"/>
              <w:ind w:firstLine="0" w:firstLineChars="0"/>
              <w:jc w:val="center"/>
              <w:textAlignment w:val="center"/>
              <w:rPr>
                <w:rFonts w:cs="宋体"/>
                <w:b/>
                <w:color w:val="000000" w:themeColor="text1"/>
                <w:sz w:val="24"/>
                <w14:textFill>
                  <w14:solidFill>
                    <w14:schemeClr w14:val="tx1"/>
                  </w14:solidFill>
                </w14:textFill>
              </w:rPr>
            </w:pPr>
            <w:r>
              <w:rPr>
                <w:rFonts w:cs="宋体"/>
                <w:b/>
                <w:color w:val="000000" w:themeColor="text1"/>
                <w:kern w:val="0"/>
                <w:sz w:val="24"/>
                <w:lang w:bidi="ar"/>
                <w14:textFill>
                  <w14:solidFill>
                    <w14:schemeClr w14:val="tx1"/>
                  </w14:solidFill>
                </w14:textFill>
              </w:rPr>
              <w:t>实施</w:t>
            </w:r>
            <w:r>
              <w:rPr>
                <w:rFonts w:cs="宋体"/>
                <w:b/>
                <w:color w:val="000000" w:themeColor="text1"/>
                <w:kern w:val="0"/>
                <w:sz w:val="24"/>
                <w:lang w:bidi="ar"/>
                <w14:textFill>
                  <w14:solidFill>
                    <w14:schemeClr w14:val="tx1"/>
                  </w14:solidFill>
                </w14:textFill>
              </w:rPr>
              <w:br w:type="textWrapping"/>
            </w:r>
            <w:r>
              <w:rPr>
                <w:rFonts w:cs="宋体"/>
                <w:b/>
                <w:color w:val="000000" w:themeColor="text1"/>
                <w:kern w:val="0"/>
                <w:sz w:val="24"/>
                <w:lang w:bidi="ar"/>
                <w14:textFill>
                  <w14:solidFill>
                    <w14:schemeClr w14:val="tx1"/>
                  </w14:solidFill>
                </w14:textFill>
              </w:rPr>
              <w:t>时间</w:t>
            </w:r>
          </w:p>
        </w:tc>
        <w:tc>
          <w:tcPr>
            <w:tcW w:w="33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2768F">
            <w:pPr>
              <w:widowControl/>
              <w:spacing w:line="240" w:lineRule="auto"/>
              <w:ind w:firstLine="0" w:firstLineChars="0"/>
              <w:jc w:val="center"/>
              <w:textAlignment w:val="center"/>
              <w:rPr>
                <w:rFonts w:cs="宋体"/>
                <w:b/>
                <w:color w:val="000000" w:themeColor="text1"/>
                <w:sz w:val="24"/>
                <w14:textFill>
                  <w14:solidFill>
                    <w14:schemeClr w14:val="tx1"/>
                  </w14:solidFill>
                </w14:textFill>
              </w:rPr>
            </w:pPr>
            <w:r>
              <w:rPr>
                <w:rFonts w:cs="宋体"/>
                <w:b/>
                <w:color w:val="000000" w:themeColor="text1"/>
                <w:kern w:val="0"/>
                <w:sz w:val="24"/>
                <w:lang w:bidi="ar"/>
                <w14:textFill>
                  <w14:solidFill>
                    <w14:schemeClr w14:val="tx1"/>
                  </w14:solidFill>
                </w14:textFill>
              </w:rPr>
              <w:t>工程名称</w:t>
            </w:r>
          </w:p>
        </w:tc>
        <w:tc>
          <w:tcPr>
            <w:tcW w:w="189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3849A">
            <w:pPr>
              <w:widowControl/>
              <w:spacing w:line="240" w:lineRule="auto"/>
              <w:ind w:firstLine="0" w:firstLineChars="0"/>
              <w:jc w:val="center"/>
              <w:textAlignment w:val="center"/>
              <w:rPr>
                <w:rFonts w:cs="宋体"/>
                <w:b/>
                <w:color w:val="000000" w:themeColor="text1"/>
                <w:sz w:val="24"/>
                <w14:textFill>
                  <w14:solidFill>
                    <w14:schemeClr w14:val="tx1"/>
                  </w14:solidFill>
                </w14:textFill>
              </w:rPr>
            </w:pPr>
            <w:r>
              <w:rPr>
                <w:rFonts w:cs="宋体"/>
                <w:b/>
                <w:color w:val="000000" w:themeColor="text1"/>
                <w:kern w:val="0"/>
                <w:sz w:val="24"/>
                <w:lang w:bidi="ar"/>
                <w14:textFill>
                  <w14:solidFill>
                    <w14:schemeClr w14:val="tx1"/>
                  </w14:solidFill>
                </w14:textFill>
              </w:rPr>
              <w:t>计划开工</w:t>
            </w:r>
            <w:r>
              <w:rPr>
                <w:rFonts w:cs="宋体"/>
                <w:b/>
                <w:color w:val="000000" w:themeColor="text1"/>
                <w:kern w:val="0"/>
                <w:sz w:val="24"/>
                <w:lang w:bidi="ar"/>
                <w14:textFill>
                  <w14:solidFill>
                    <w14:schemeClr w14:val="tx1"/>
                  </w14:solidFill>
                </w14:textFill>
              </w:rPr>
              <w:br w:type="textWrapping"/>
            </w:r>
            <w:r>
              <w:rPr>
                <w:rFonts w:cs="宋体"/>
                <w:b/>
                <w:color w:val="000000" w:themeColor="text1"/>
                <w:kern w:val="0"/>
                <w:sz w:val="24"/>
                <w:lang w:bidi="ar"/>
                <w14:textFill>
                  <w14:solidFill>
                    <w14:schemeClr w14:val="tx1"/>
                  </w14:solidFill>
                </w14:textFill>
              </w:rPr>
              <w:t>时间</w:t>
            </w:r>
          </w:p>
        </w:tc>
        <w:tc>
          <w:tcPr>
            <w:tcW w:w="2912"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9E18CCF">
            <w:pPr>
              <w:widowControl/>
              <w:spacing w:line="240" w:lineRule="auto"/>
              <w:ind w:firstLine="0" w:firstLineChars="0"/>
              <w:jc w:val="center"/>
              <w:textAlignment w:val="center"/>
              <w:rPr>
                <w:rFonts w:cs="宋体"/>
                <w:b/>
                <w:color w:val="000000" w:themeColor="text1"/>
                <w:kern w:val="0"/>
                <w:sz w:val="24"/>
                <w:lang w:bidi="ar"/>
                <w14:textFill>
                  <w14:solidFill>
                    <w14:schemeClr w14:val="tx1"/>
                  </w14:solidFill>
                </w14:textFill>
              </w:rPr>
            </w:pPr>
            <w:r>
              <w:rPr>
                <w:rFonts w:cs="宋体"/>
                <w:b/>
                <w:color w:val="000000" w:themeColor="text1"/>
                <w:kern w:val="0"/>
                <w:sz w:val="24"/>
                <w:lang w:bidi="ar"/>
                <w14:textFill>
                  <w14:solidFill>
                    <w14:schemeClr w14:val="tx1"/>
                  </w14:solidFill>
                </w14:textFill>
              </w:rPr>
              <w:t>工程永久占地情况（亩）</w:t>
            </w:r>
          </w:p>
        </w:tc>
        <w:tc>
          <w:tcPr>
            <w:tcW w:w="3197" w:type="dxa"/>
            <w:gridSpan w:val="3"/>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5620C25">
            <w:pPr>
              <w:widowControl/>
              <w:spacing w:line="240" w:lineRule="auto"/>
              <w:ind w:firstLine="0" w:firstLineChars="0"/>
              <w:jc w:val="center"/>
              <w:textAlignment w:val="center"/>
              <w:rPr>
                <w:rFonts w:cs="宋体"/>
                <w:b/>
                <w:color w:val="000000" w:themeColor="text1"/>
                <w:kern w:val="0"/>
                <w:sz w:val="24"/>
                <w:lang w:bidi="ar"/>
                <w14:textFill>
                  <w14:solidFill>
                    <w14:schemeClr w14:val="tx1"/>
                  </w14:solidFill>
                </w14:textFill>
              </w:rPr>
            </w:pPr>
            <w:r>
              <w:rPr>
                <w:rFonts w:cs="宋体"/>
                <w:b/>
                <w:color w:val="000000" w:themeColor="text1"/>
                <w:kern w:val="0"/>
                <w:sz w:val="24"/>
                <w:lang w:bidi="ar"/>
                <w14:textFill>
                  <w14:solidFill>
                    <w14:schemeClr w14:val="tx1"/>
                  </w14:solidFill>
                </w14:textFill>
              </w:rPr>
              <w:t>工程临时占地情况（亩）</w:t>
            </w:r>
          </w:p>
        </w:tc>
      </w:tr>
      <w:tr w14:paraId="4F7FEC3C">
        <w:tblPrEx>
          <w:tblCellMar>
            <w:top w:w="0" w:type="dxa"/>
            <w:left w:w="0" w:type="dxa"/>
            <w:bottom w:w="0" w:type="dxa"/>
            <w:right w:w="0" w:type="dxa"/>
          </w:tblCellMar>
        </w:tblPrEx>
        <w:trPr>
          <w:trHeight w:val="340" w:hRule="atLeast"/>
          <w:tblHeader/>
        </w:trPr>
        <w:tc>
          <w:tcPr>
            <w:tcW w:w="55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0614A0">
            <w:pPr>
              <w:widowControl/>
              <w:spacing w:line="240" w:lineRule="auto"/>
              <w:ind w:firstLine="0" w:firstLineChars="0"/>
              <w:jc w:val="center"/>
              <w:rPr>
                <w:rFonts w:cs="宋体"/>
                <w:b/>
                <w:color w:val="000000" w:themeColor="text1"/>
                <w:sz w:val="24"/>
                <w14:textFill>
                  <w14:solidFill>
                    <w14:schemeClr w14:val="tx1"/>
                  </w14:solidFill>
                </w14:textFill>
              </w:rPr>
            </w:pPr>
          </w:p>
        </w:tc>
        <w:tc>
          <w:tcPr>
            <w:tcW w:w="16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F9CF9">
            <w:pPr>
              <w:widowControl/>
              <w:spacing w:line="240" w:lineRule="auto"/>
              <w:ind w:firstLine="0" w:firstLineChars="0"/>
              <w:jc w:val="center"/>
              <w:rPr>
                <w:rFonts w:cs="宋体"/>
                <w:b/>
                <w:color w:val="000000" w:themeColor="text1"/>
                <w:sz w:val="24"/>
                <w14:textFill>
                  <w14:solidFill>
                    <w14:schemeClr w14:val="tx1"/>
                  </w14:solidFill>
                </w14:textFill>
              </w:rPr>
            </w:pPr>
          </w:p>
        </w:tc>
        <w:tc>
          <w:tcPr>
            <w:tcW w:w="33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C3C00">
            <w:pPr>
              <w:widowControl/>
              <w:spacing w:line="240" w:lineRule="auto"/>
              <w:ind w:firstLine="0" w:firstLineChars="0"/>
              <w:jc w:val="center"/>
              <w:rPr>
                <w:rFonts w:cs="宋体"/>
                <w:b/>
                <w:color w:val="000000" w:themeColor="text1"/>
                <w:sz w:val="24"/>
                <w14:textFill>
                  <w14:solidFill>
                    <w14:schemeClr w14:val="tx1"/>
                  </w14:solidFill>
                </w14:textFill>
              </w:rPr>
            </w:pPr>
          </w:p>
        </w:tc>
        <w:tc>
          <w:tcPr>
            <w:tcW w:w="189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4C5D5">
            <w:pPr>
              <w:widowControl/>
              <w:spacing w:line="240" w:lineRule="auto"/>
              <w:ind w:firstLine="0" w:firstLineChars="0"/>
              <w:jc w:val="center"/>
              <w:rPr>
                <w:rFonts w:cs="宋体"/>
                <w:b/>
                <w:color w:val="000000" w:themeColor="text1"/>
                <w:sz w:val="24"/>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07384">
            <w:pPr>
              <w:widowControl/>
              <w:spacing w:line="240" w:lineRule="auto"/>
              <w:ind w:firstLine="0" w:firstLineChars="0"/>
              <w:jc w:val="center"/>
              <w:textAlignment w:val="center"/>
              <w:rPr>
                <w:rFonts w:cs="宋体"/>
                <w:b/>
                <w:color w:val="000000" w:themeColor="text1"/>
                <w:sz w:val="24"/>
                <w14:textFill>
                  <w14:solidFill>
                    <w14:schemeClr w14:val="tx1"/>
                  </w14:solidFill>
                </w14:textFill>
              </w:rPr>
            </w:pPr>
            <w:r>
              <w:rPr>
                <w:rFonts w:cs="宋体"/>
                <w:b/>
                <w:color w:val="000000" w:themeColor="text1"/>
                <w:kern w:val="0"/>
                <w:sz w:val="24"/>
                <w:lang w:bidi="ar"/>
                <w14:textFill>
                  <w14:solidFill>
                    <w14:schemeClr w14:val="tx1"/>
                  </w14:solidFill>
                </w14:textFill>
              </w:rPr>
              <w:t>耕地</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584B3">
            <w:pPr>
              <w:widowControl/>
              <w:spacing w:line="240" w:lineRule="auto"/>
              <w:ind w:firstLine="0" w:firstLineChars="0"/>
              <w:jc w:val="center"/>
              <w:textAlignment w:val="center"/>
              <w:rPr>
                <w:rFonts w:cs="宋体"/>
                <w:b/>
                <w:color w:val="000000" w:themeColor="text1"/>
                <w:sz w:val="24"/>
                <w14:textFill>
                  <w14:solidFill>
                    <w14:schemeClr w14:val="tx1"/>
                  </w14:solidFill>
                </w14:textFill>
              </w:rPr>
            </w:pPr>
            <w:r>
              <w:rPr>
                <w:rFonts w:cs="宋体"/>
                <w:b/>
                <w:color w:val="000000" w:themeColor="text1"/>
                <w:kern w:val="0"/>
                <w:sz w:val="24"/>
                <w:lang w:bidi="ar"/>
                <w14:textFill>
                  <w14:solidFill>
                    <w14:schemeClr w14:val="tx1"/>
                  </w14:solidFill>
                </w14:textFill>
              </w:rPr>
              <w:t>林地</w:t>
            </w:r>
          </w:p>
        </w:tc>
        <w:tc>
          <w:tcPr>
            <w:tcW w:w="101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097FD27E">
            <w:pPr>
              <w:widowControl/>
              <w:spacing w:line="240" w:lineRule="auto"/>
              <w:ind w:firstLine="0" w:firstLineChars="0"/>
              <w:jc w:val="center"/>
              <w:textAlignment w:val="center"/>
              <w:rPr>
                <w:rFonts w:cs="宋体"/>
                <w:b/>
                <w:color w:val="000000" w:themeColor="text1"/>
                <w:sz w:val="24"/>
                <w14:textFill>
                  <w14:solidFill>
                    <w14:schemeClr w14:val="tx1"/>
                  </w14:solidFill>
                </w14:textFill>
              </w:rPr>
            </w:pPr>
            <w:r>
              <w:rPr>
                <w:rFonts w:cs="宋体"/>
                <w:b/>
                <w:color w:val="000000" w:themeColor="text1"/>
                <w:kern w:val="0"/>
                <w:sz w:val="24"/>
                <w:lang w:bidi="ar"/>
                <w14:textFill>
                  <w14:solidFill>
                    <w14:schemeClr w14:val="tx1"/>
                  </w14:solidFill>
                </w14:textFill>
              </w:rPr>
              <w:t>小计</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BE2FF">
            <w:pPr>
              <w:widowControl/>
              <w:spacing w:line="240" w:lineRule="auto"/>
              <w:ind w:firstLine="0" w:firstLineChars="0"/>
              <w:jc w:val="center"/>
              <w:textAlignment w:val="center"/>
              <w:rPr>
                <w:rFonts w:cs="宋体"/>
                <w:b/>
                <w:color w:val="000000" w:themeColor="text1"/>
                <w:kern w:val="0"/>
                <w:sz w:val="24"/>
                <w:lang w:bidi="ar"/>
                <w14:textFill>
                  <w14:solidFill>
                    <w14:schemeClr w14:val="tx1"/>
                  </w14:solidFill>
                </w14:textFill>
              </w:rPr>
            </w:pPr>
            <w:r>
              <w:rPr>
                <w:rFonts w:cs="宋体"/>
                <w:b/>
                <w:color w:val="000000" w:themeColor="text1"/>
                <w:kern w:val="0"/>
                <w:sz w:val="24"/>
                <w:lang w:bidi="ar"/>
                <w14:textFill>
                  <w14:solidFill>
                    <w14:schemeClr w14:val="tx1"/>
                  </w14:solidFill>
                </w14:textFill>
              </w:rPr>
              <w:t>耕地</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5CD36A">
            <w:pPr>
              <w:widowControl/>
              <w:spacing w:line="240" w:lineRule="auto"/>
              <w:ind w:firstLine="0" w:firstLineChars="0"/>
              <w:jc w:val="center"/>
              <w:textAlignment w:val="center"/>
              <w:rPr>
                <w:rFonts w:cs="宋体"/>
                <w:b/>
                <w:color w:val="000000" w:themeColor="text1"/>
                <w:sz w:val="24"/>
                <w14:textFill>
                  <w14:solidFill>
                    <w14:schemeClr w14:val="tx1"/>
                  </w14:solidFill>
                </w14:textFill>
              </w:rPr>
            </w:pPr>
            <w:r>
              <w:rPr>
                <w:rFonts w:cs="宋体"/>
                <w:b/>
                <w:color w:val="000000" w:themeColor="text1"/>
                <w:kern w:val="0"/>
                <w:sz w:val="24"/>
                <w:lang w:bidi="ar"/>
                <w14:textFill>
                  <w14:solidFill>
                    <w14:schemeClr w14:val="tx1"/>
                  </w14:solidFill>
                </w14:textFill>
              </w:rPr>
              <w:t>林地</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17E65">
            <w:pPr>
              <w:widowControl/>
              <w:spacing w:line="240" w:lineRule="auto"/>
              <w:ind w:firstLine="0" w:firstLineChars="0"/>
              <w:jc w:val="center"/>
              <w:textAlignment w:val="center"/>
              <w:rPr>
                <w:rFonts w:cs="宋体"/>
                <w:b/>
                <w:color w:val="000000" w:themeColor="text1"/>
                <w:sz w:val="24"/>
                <w14:textFill>
                  <w14:solidFill>
                    <w14:schemeClr w14:val="tx1"/>
                  </w14:solidFill>
                </w14:textFill>
              </w:rPr>
            </w:pPr>
            <w:r>
              <w:rPr>
                <w:rFonts w:cs="宋体"/>
                <w:b/>
                <w:color w:val="000000" w:themeColor="text1"/>
                <w:kern w:val="0"/>
                <w:sz w:val="24"/>
                <w:lang w:bidi="ar"/>
                <w14:textFill>
                  <w14:solidFill>
                    <w14:schemeClr w14:val="tx1"/>
                  </w14:solidFill>
                </w14:textFill>
              </w:rPr>
              <w:t>小计</w:t>
            </w:r>
          </w:p>
        </w:tc>
      </w:tr>
      <w:tr w14:paraId="50F7B36D">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F156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w:t>
            </w:r>
          </w:p>
        </w:tc>
        <w:tc>
          <w:tcPr>
            <w:tcW w:w="163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1EA4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2021年9月</w:t>
            </w: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562D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公鸡山水库、螃蟹箐坝调水工程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D1A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2021.7</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181D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1.26</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8425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E8D8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1.26</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9C8C7">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47.16</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691C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27.69</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F906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74.85</w:t>
            </w:r>
          </w:p>
        </w:tc>
      </w:tr>
      <w:tr w14:paraId="170ECCD4">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9267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33960">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831E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六街二水厂管道延伸至旧县人饮工程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26196">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2021.7</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7E13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0.99</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84A36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0898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0.99</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45D21">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2.23</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57B2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C056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2.23</w:t>
            </w:r>
          </w:p>
        </w:tc>
      </w:tr>
      <w:tr w14:paraId="1FF8C11F">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9D886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83359">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DDFE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绿汁集镇供水管网改造工程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9232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2021.7</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417F6">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B16B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C41C8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0BA03A">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15.51</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6D49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23.26</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6352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38.77</w:t>
            </w:r>
          </w:p>
        </w:tc>
      </w:tr>
      <w:tr w14:paraId="4FCF30D4">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591BE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C3533">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716D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浦贝水厂管网改扩建工程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FD8A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2021.7</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6D52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1.68</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FBDF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05F5E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1.68</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13FCA">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62.37</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06018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49</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31BB9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111.37</w:t>
            </w:r>
          </w:p>
        </w:tc>
      </w:tr>
      <w:tr w14:paraId="6778430D">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6999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5</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3D96A">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F648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六街樟木箐提水灌溉工程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CDAA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2021.7</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E957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1.2</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481B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13C36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1.2</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404CF">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6.89</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4A56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ABFE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6.89</w:t>
            </w:r>
          </w:p>
        </w:tc>
      </w:tr>
      <w:tr w14:paraId="6E73AF1C">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1160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6</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89FFB4">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8948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龙泉大谷厂水库与合作水库龙泉灌区灌溉工程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67BE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2021.7</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11F7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1.14</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DADA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F8AE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1.14</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33FCA">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67.84</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2999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62.31</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3B63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130.15</w:t>
            </w:r>
          </w:p>
        </w:tc>
      </w:tr>
      <w:tr w14:paraId="1A92225B">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F47D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7</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B8C99D">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E631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龙泉平滩子、平阳地片区灌溉工程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7E6D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2021.7</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921B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1.07</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9A53C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5.64</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0BC0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6.71</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99AAA">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41.91</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76CD9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33.82</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DAF1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75.73</w:t>
            </w:r>
          </w:p>
        </w:tc>
      </w:tr>
      <w:tr w14:paraId="5F8FEBFF">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8990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8</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C331D7">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6029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铜厂乡里士二坝灌溉工程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9EC98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2021.7</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0946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0.08</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ACBA7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987D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0.08</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378A1">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72.59</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94469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61.03</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3F536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133.62</w:t>
            </w:r>
          </w:p>
        </w:tc>
      </w:tr>
      <w:tr w14:paraId="3A31574A">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6398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9</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DCE6E">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CD57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绿汁镇大小绿汁和湾子片区灌溉工程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12766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2021.7</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0C54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0.02</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043A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0.92</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5ACF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0.94</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90E18E">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42.43</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0CD6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32.83</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ACFF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75.26</w:t>
            </w:r>
          </w:p>
        </w:tc>
      </w:tr>
      <w:tr w14:paraId="097B8D9E">
        <w:tblPrEx>
          <w:tblCellMar>
            <w:top w:w="0" w:type="dxa"/>
            <w:left w:w="0" w:type="dxa"/>
            <w:bottom w:w="0" w:type="dxa"/>
            <w:right w:w="0" w:type="dxa"/>
          </w:tblCellMar>
        </w:tblPrEx>
        <w:trPr>
          <w:trHeight w:val="340" w:hRule="atLeast"/>
        </w:trPr>
        <w:tc>
          <w:tcPr>
            <w:tcW w:w="557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514D7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2021年7月合计</w:t>
            </w:r>
          </w:p>
        </w:tc>
        <w:tc>
          <w:tcPr>
            <w:tcW w:w="1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025E6">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2021.7 </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DAB4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7.44 </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3E5E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6.56 </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C09F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14.00 </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30B94">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 xml:space="preserve">358.93 </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3932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289.94 </w:t>
            </w:r>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4AC3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648.87 </w:t>
            </w:r>
          </w:p>
        </w:tc>
      </w:tr>
      <w:tr w14:paraId="414232E2">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7933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10</w:t>
            </w:r>
          </w:p>
        </w:tc>
        <w:tc>
          <w:tcPr>
            <w:tcW w:w="163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8C67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2021年10月</w:t>
            </w: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81C1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十街乡贾姑片区灌溉工程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0455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2021.8</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A16C2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2.1</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1767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A257F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2.1</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1B4F2">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12.32</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EA75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7.59</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0BFB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19.91</w:t>
            </w:r>
          </w:p>
        </w:tc>
      </w:tr>
      <w:tr w14:paraId="3DD4AFCA">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DBC9C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11</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3018A">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A973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十街乡落水洞片区灌溉工程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DF90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2021.8</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16EF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1.65</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2719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3.01</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F0C8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4.66</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7976A">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50.41</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FFDFB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40.99</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0A37B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91.4</w:t>
            </w:r>
          </w:p>
        </w:tc>
      </w:tr>
      <w:tr w14:paraId="63DADB96">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84707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12</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DCA3E">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B031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岔河连通二期工程十街集镇引水工程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180C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2021.10</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FA4B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A55E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E4F4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7111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7.37</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C813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3.16</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AF498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10.53</w:t>
            </w:r>
          </w:p>
        </w:tc>
      </w:tr>
      <w:tr w14:paraId="6E94494D">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FD01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13</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F58FD">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3B87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十街乡马头片区岔河连通工程引水灌溉工程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5999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2021.10</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047A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0.14</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4566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1.75</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0809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1.89</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2BC8F2">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106.81</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45DE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94.01</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6610B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200.82</w:t>
            </w:r>
          </w:p>
        </w:tc>
      </w:tr>
      <w:tr w14:paraId="10B8E337">
        <w:tblPrEx>
          <w:tblCellMar>
            <w:top w:w="0" w:type="dxa"/>
            <w:left w:w="0" w:type="dxa"/>
            <w:bottom w:w="0" w:type="dxa"/>
            <w:right w:w="0" w:type="dxa"/>
          </w:tblCellMar>
        </w:tblPrEx>
        <w:trPr>
          <w:trHeight w:val="340" w:hRule="atLeast"/>
        </w:trPr>
        <w:tc>
          <w:tcPr>
            <w:tcW w:w="557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1245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2021年8月合计</w:t>
            </w:r>
          </w:p>
        </w:tc>
        <w:tc>
          <w:tcPr>
            <w:tcW w:w="1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59B3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2021.8 </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19BF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3.89 </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4FE6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4.76 </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D6A0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8.65 </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37F0F">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176.91 </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31FC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145.75 </w:t>
            </w:r>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67CA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322.66 </w:t>
            </w:r>
          </w:p>
        </w:tc>
      </w:tr>
      <w:tr w14:paraId="061F55F4">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091E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14</w:t>
            </w:r>
          </w:p>
        </w:tc>
        <w:tc>
          <w:tcPr>
            <w:tcW w:w="1638"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3F12131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2021年11月</w:t>
            </w: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2BB0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浦贝乡草箐片集中供水工程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FE86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2021.10</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F274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77C8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2.57</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BB7E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2.57</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EA93A6">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03DB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1E86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r>
      <w:tr w14:paraId="27C721CC">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9D71E6">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15</w:t>
            </w:r>
          </w:p>
        </w:tc>
        <w:tc>
          <w:tcPr>
            <w:tcW w:w="1638"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37EF5FA5">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4B5A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浦贝乡罗台旧村委会集中供水工程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B110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2021.10</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F177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4.96</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20599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D381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4.96</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22A4F">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16.26</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6893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3A61D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16.26</w:t>
            </w:r>
          </w:p>
        </w:tc>
      </w:tr>
      <w:tr w14:paraId="6632F5BB">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AF8B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16</w:t>
            </w:r>
          </w:p>
        </w:tc>
        <w:tc>
          <w:tcPr>
            <w:tcW w:w="1638"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51C3B1C1">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9B98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小街乡中拉西片区灌溉工程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9E65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2021.10</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F5BB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0.17</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8FC8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2AF8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0.17</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6D3CA">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13.71</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361C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13.18</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42492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26.89</w:t>
            </w:r>
          </w:p>
        </w:tc>
      </w:tr>
      <w:tr w14:paraId="2BDFCF70">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796C1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17</w:t>
            </w:r>
          </w:p>
        </w:tc>
        <w:tc>
          <w:tcPr>
            <w:tcW w:w="1638"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446CD24C">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EED2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小街乡洒波多片区灌溉工程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C272B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2021.10</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BF93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3.57</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29476">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D1B0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3.57</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8A47A">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36.49</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8A2C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29.32</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45798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65.81</w:t>
            </w:r>
          </w:p>
        </w:tc>
      </w:tr>
      <w:tr w14:paraId="5BC6658A">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F5B8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18</w:t>
            </w:r>
          </w:p>
        </w:tc>
        <w:tc>
          <w:tcPr>
            <w:tcW w:w="1638"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785B4635">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2CF0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龙泉水桥小山凹和杨保庄片区灌溉工程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2030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2021.10</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4179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0.96</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C031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B52B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0.96</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7BCD05">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29.01</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F020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24.17</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EFFA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53.18</w:t>
            </w:r>
          </w:p>
        </w:tc>
      </w:tr>
      <w:tr w14:paraId="6B7E2BFC">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B916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19</w:t>
            </w:r>
          </w:p>
        </w:tc>
        <w:tc>
          <w:tcPr>
            <w:tcW w:w="1638"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5AED1C33">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3AD9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龙泉韩所、蔡营片区灌溉工程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2359B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2021.10</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D1F9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0.37</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24F0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237B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0.37</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A40C1">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50.57</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0B84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45.69</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F01F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96.26</w:t>
            </w:r>
          </w:p>
        </w:tc>
      </w:tr>
      <w:tr w14:paraId="1B91FE01">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DB93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w:t>
            </w:r>
          </w:p>
        </w:tc>
        <w:tc>
          <w:tcPr>
            <w:tcW w:w="1638"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528CB8CD">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0106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绿汁镇小路箐二坝水库灌溉工程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A677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2021.10</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35737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3.23</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3082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3B09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3.23</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3210B">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93.56</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9437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89.94</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BDF7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18.05</w:t>
            </w:r>
          </w:p>
        </w:tc>
      </w:tr>
      <w:tr w14:paraId="64062E64">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5C53C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21</w:t>
            </w:r>
          </w:p>
        </w:tc>
        <w:tc>
          <w:tcPr>
            <w:tcW w:w="1638"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3E4420FF">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5D6B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新建花椒箐水库提水工程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F239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2021.12</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3F9B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3.96</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FDA4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0.98</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BBE1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4.94</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DD925">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7.12</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F18AA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4.75</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0BD5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11.87</w:t>
            </w:r>
          </w:p>
        </w:tc>
      </w:tr>
      <w:tr w14:paraId="44D7F83A">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6F6B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22</w:t>
            </w:r>
          </w:p>
        </w:tc>
        <w:tc>
          <w:tcPr>
            <w:tcW w:w="1638"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51131B8C">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096583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铜厂乡米茂水库灌溉工程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0A9B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2021.12</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C9F9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0.5</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9DF3A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0.04</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6EE0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0.54</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C12B1">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151.37</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55ECE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123.18</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5FF9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274.55</w:t>
            </w:r>
          </w:p>
        </w:tc>
      </w:tr>
      <w:tr w14:paraId="0CFB584D">
        <w:tblPrEx>
          <w:tblCellMar>
            <w:top w:w="0" w:type="dxa"/>
            <w:left w:w="0" w:type="dxa"/>
            <w:bottom w:w="0" w:type="dxa"/>
            <w:right w:w="0" w:type="dxa"/>
          </w:tblCellMar>
        </w:tblPrEx>
        <w:trPr>
          <w:trHeight w:val="340" w:hRule="atLeast"/>
        </w:trPr>
        <w:tc>
          <w:tcPr>
            <w:tcW w:w="557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FC02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2021年10月合计</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685B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2021.10</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EB28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17.72 </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CAC3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3.59 </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0DDF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21.31 </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36161">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 xml:space="preserve">398.09 </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FCC6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330.23 </w:t>
            </w:r>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B2A2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562.87 </w:t>
            </w:r>
          </w:p>
        </w:tc>
      </w:tr>
      <w:tr w14:paraId="5ACF3000">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19AD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23</w:t>
            </w:r>
          </w:p>
        </w:tc>
        <w:tc>
          <w:tcPr>
            <w:tcW w:w="163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9A40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2021年12月</w:t>
            </w: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2012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水资源监测管理中心</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738B8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2021.12</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A828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A37BC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2E16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A5EF0">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98E3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E5184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r>
      <w:tr w14:paraId="43FB1B1E">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0595D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24</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1ABC4">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B11F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浦贝乡朋多上片灌溉工程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DCF17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2021.12</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72E5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0.52</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4F80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0.33</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F8BB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0.85</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C4BDB">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59.73</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B0956">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57.39</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E524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117.12</w:t>
            </w:r>
          </w:p>
        </w:tc>
      </w:tr>
      <w:tr w14:paraId="32D375C9">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7F27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25</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ABFAD">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8077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浦贝乡罗台旧灌溉工程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0A480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2021.12</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3616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0.11</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8A79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C6FB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0.11</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7885B">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74.99</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171C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65.39</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4EE0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140.38</w:t>
            </w:r>
          </w:p>
        </w:tc>
      </w:tr>
      <w:tr w14:paraId="15D3960D">
        <w:tblPrEx>
          <w:tblCellMar>
            <w:top w:w="0" w:type="dxa"/>
            <w:left w:w="0" w:type="dxa"/>
            <w:bottom w:w="0" w:type="dxa"/>
            <w:right w:w="0" w:type="dxa"/>
          </w:tblCellMar>
        </w:tblPrEx>
        <w:trPr>
          <w:trHeight w:val="340" w:hRule="atLeast"/>
        </w:trPr>
        <w:tc>
          <w:tcPr>
            <w:tcW w:w="557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40E7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2021年12月合计</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CBB5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2021.12</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F5FF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0.63 </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F694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0.33 </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3CE16">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0.96 </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E546E4">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134.72 </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0EECB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122.78 </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C490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257.50 </w:t>
            </w:r>
          </w:p>
        </w:tc>
      </w:tr>
      <w:tr w14:paraId="42F6C8BB">
        <w:tblPrEx>
          <w:tblCellMar>
            <w:top w:w="0" w:type="dxa"/>
            <w:left w:w="0" w:type="dxa"/>
            <w:bottom w:w="0" w:type="dxa"/>
            <w:right w:w="0" w:type="dxa"/>
          </w:tblCellMar>
        </w:tblPrEx>
        <w:trPr>
          <w:trHeight w:val="340" w:hRule="atLeast"/>
        </w:trPr>
        <w:tc>
          <w:tcPr>
            <w:tcW w:w="557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C393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2021年合计</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4414E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2021年7-12月</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9446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29.68 </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00B1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15.24 </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1A2B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44.92 </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33F97">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1068.65 </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5F5E2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888.70 </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77AB6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1791.90 </w:t>
            </w:r>
          </w:p>
        </w:tc>
      </w:tr>
      <w:tr w14:paraId="10FC635F">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7E16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26</w:t>
            </w:r>
          </w:p>
        </w:tc>
        <w:tc>
          <w:tcPr>
            <w:tcW w:w="163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5A0E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2022年1月</w:t>
            </w: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08A7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十街光伏泵站水厂工程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E940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2022.1</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1680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0.54</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9DED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F1E4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0.54</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6ED9D8">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0.7</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22E58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1.56</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1653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2.26</w:t>
            </w:r>
          </w:p>
        </w:tc>
      </w:tr>
      <w:tr w14:paraId="73D65F0D">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E0D3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27</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C262E">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6FE1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十街南山水厂工程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60D3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2022.1</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4FCB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4.86</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701C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116F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4.86</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B9261">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2.06</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D788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8D41D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2.06</w:t>
            </w:r>
          </w:p>
        </w:tc>
      </w:tr>
      <w:tr w14:paraId="16DB73B8">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7B25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28</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FAFCBE">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4A6F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浦贝大黑虎郎村水厂工程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7206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2022.1</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ABD3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1.83</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9C4F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54D2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1.83</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E0EB5">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0.56</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71FB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A372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0.56</w:t>
            </w:r>
          </w:p>
        </w:tc>
      </w:tr>
      <w:tr w14:paraId="3A839494">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C801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29</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AF38E7">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F35C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浦贝小黑虎郎村水厂工程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325A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2022.1</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2BD6C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0.65</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33E0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3685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0.65</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428A00">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0.69</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8581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7E3FE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0.69</w:t>
            </w:r>
          </w:p>
        </w:tc>
      </w:tr>
      <w:tr w14:paraId="28AD70FB">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A7671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30</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668FD7">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5A96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浦贝芭蕉沟村水厂工程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8A63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2022.1</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43A7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5BB5A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0.94</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58263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0.94</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C2A7A">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5E20B6">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5CB3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r>
      <w:tr w14:paraId="7F752F84">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14537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31</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44C44">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6073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浦贝老水厂改造工程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12165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2022.1</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6C04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731D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1F4F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6D4C88">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6.21</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B4AF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4.14</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E2DE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10.35</w:t>
            </w:r>
          </w:p>
        </w:tc>
      </w:tr>
      <w:tr w14:paraId="04781C4A">
        <w:tblPrEx>
          <w:tblCellMar>
            <w:top w:w="0" w:type="dxa"/>
            <w:left w:w="0" w:type="dxa"/>
            <w:bottom w:w="0" w:type="dxa"/>
            <w:right w:w="0" w:type="dxa"/>
          </w:tblCellMar>
        </w:tblPrEx>
        <w:trPr>
          <w:trHeight w:val="340" w:hRule="atLeast"/>
        </w:trPr>
        <w:tc>
          <w:tcPr>
            <w:tcW w:w="557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47F56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2022年1月合计</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DCED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2022.1</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CCC2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7.88 </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F8E8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0.94 </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FC1D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8.82 </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13D02">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10.22 </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A125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5.70 </w:t>
            </w:r>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9240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15.92 </w:t>
            </w:r>
          </w:p>
        </w:tc>
      </w:tr>
      <w:tr w14:paraId="68E9155B">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D55C6">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32</w:t>
            </w:r>
          </w:p>
        </w:tc>
        <w:tc>
          <w:tcPr>
            <w:tcW w:w="163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0CF0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2022年4月</w:t>
            </w: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3BD0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绿汁镇大鹿箐提水工程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9BC5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2022.4</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BD2C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6499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1.33</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0C56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1.33</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D8A28">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8.73</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0091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CBF3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8.73</w:t>
            </w:r>
          </w:p>
        </w:tc>
      </w:tr>
      <w:tr w14:paraId="4260F0CE">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3DF6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33</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EE770">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5151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绿汁镇龙格利大田河片区集中供水工程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2BE9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2022.4</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EAB7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4.53</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C1EC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3.74</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BF9A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8.27</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9EA3A">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17.47</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BCDD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40.77</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1EF606">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58.24</w:t>
            </w:r>
          </w:p>
        </w:tc>
      </w:tr>
      <w:tr w14:paraId="2CFB5022">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138B6">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34</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C66FD">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7625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白龙水库扩建工程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F285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2022.4</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979B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52.8</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5EE7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315.2</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1B0F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409.6</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0EEE7">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104.1</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EA78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71</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FB123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175.1</w:t>
            </w:r>
          </w:p>
        </w:tc>
      </w:tr>
      <w:tr w14:paraId="321218BB">
        <w:tblPrEx>
          <w:tblCellMar>
            <w:top w:w="0" w:type="dxa"/>
            <w:left w:w="0" w:type="dxa"/>
            <w:bottom w:w="0" w:type="dxa"/>
            <w:right w:w="0" w:type="dxa"/>
          </w:tblCellMar>
        </w:tblPrEx>
        <w:trPr>
          <w:trHeight w:val="340" w:hRule="atLeast"/>
        </w:trPr>
        <w:tc>
          <w:tcPr>
            <w:tcW w:w="557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DE57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2022年4月合计</w:t>
            </w:r>
          </w:p>
        </w:tc>
        <w:tc>
          <w:tcPr>
            <w:tcW w:w="1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F902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2022.4 </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54D3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57.33 </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B3A46">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320.27 </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1B6D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419.20 </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6AE00">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130.30 </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B6D4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111.77 </w:t>
            </w:r>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15A0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242.07 </w:t>
            </w:r>
          </w:p>
        </w:tc>
      </w:tr>
      <w:tr w14:paraId="6EFE4A5C">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29EC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35</w:t>
            </w:r>
          </w:p>
        </w:tc>
        <w:tc>
          <w:tcPr>
            <w:tcW w:w="163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DD3E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2022年5月</w:t>
            </w: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F7C8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新建麦子田提水工程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1C1EF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2022.5</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B68F9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1.22</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C605D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6.98</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165D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8.2</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6C471">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AD93D">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EEFEF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r>
      <w:tr w14:paraId="574AA2A3">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7EB6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36</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67CC0">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40B1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新建东山水库水厂工程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6395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2022.5</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2BA6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A806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4.91</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F14F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4.91</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780887">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5.64</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09E66">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5.41</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9285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5.41</w:t>
            </w:r>
          </w:p>
        </w:tc>
      </w:tr>
      <w:tr w14:paraId="4B8973A3">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B7FA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37</w:t>
            </w:r>
          </w:p>
        </w:tc>
        <w:tc>
          <w:tcPr>
            <w:tcW w:w="163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C80A1">
            <w:pPr>
              <w:spacing w:line="240" w:lineRule="auto"/>
              <w:ind w:firstLine="0" w:firstLineChars="0"/>
              <w:jc w:val="center"/>
              <w:rPr>
                <w:rFonts w:cs="宋体"/>
                <w:color w:val="000000" w:themeColor="text1"/>
                <w:sz w:val="24"/>
                <w14:textFill>
                  <w14:solidFill>
                    <w14:schemeClr w14:val="tx1"/>
                  </w14:solidFill>
                </w14:textFill>
              </w:rPr>
            </w:pP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C454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绿汁镇木厂片区灌溉工程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0A5C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2022.5</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3BA7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0.75</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557F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2.32</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AC8C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3.07</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B0405D">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38.89</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95A331">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28.63</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C025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28.63</w:t>
            </w:r>
          </w:p>
        </w:tc>
      </w:tr>
      <w:tr w14:paraId="4C70E509">
        <w:tblPrEx>
          <w:tblCellMar>
            <w:top w:w="0" w:type="dxa"/>
            <w:left w:w="0" w:type="dxa"/>
            <w:bottom w:w="0" w:type="dxa"/>
            <w:right w:w="0" w:type="dxa"/>
          </w:tblCellMar>
        </w:tblPrEx>
        <w:trPr>
          <w:trHeight w:val="340" w:hRule="atLeast"/>
        </w:trPr>
        <w:tc>
          <w:tcPr>
            <w:tcW w:w="557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57B7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2022年5月合计</w:t>
            </w:r>
          </w:p>
        </w:tc>
        <w:tc>
          <w:tcPr>
            <w:tcW w:w="1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8180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2022.5 </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4971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1.97 </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7D07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14.21 </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279D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16.18 </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EFA5D">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 xml:space="preserve">44.53 </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6107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34.04 </w:t>
            </w:r>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D093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34.04 </w:t>
            </w:r>
          </w:p>
        </w:tc>
      </w:tr>
      <w:tr w14:paraId="14A76DAA">
        <w:tblPrEx>
          <w:tblCellMar>
            <w:top w:w="0" w:type="dxa"/>
            <w:left w:w="0" w:type="dxa"/>
            <w:bottom w:w="0" w:type="dxa"/>
            <w:right w:w="0" w:type="dxa"/>
          </w:tblCellMar>
        </w:tblPrEx>
        <w:trPr>
          <w:trHeight w:val="34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F8744">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38</w:t>
            </w:r>
          </w:p>
        </w:tc>
        <w:tc>
          <w:tcPr>
            <w:tcW w:w="1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B1FC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2022年12月</w:t>
            </w:r>
          </w:p>
        </w:tc>
        <w:tc>
          <w:tcPr>
            <w:tcW w:w="3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9CE2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新建小街集镇水厂工程</w:t>
            </w:r>
          </w:p>
        </w:tc>
        <w:tc>
          <w:tcPr>
            <w:tcW w:w="1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7643A">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2022.12</w:t>
            </w:r>
          </w:p>
        </w:tc>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7F13F">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3.3</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54D68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3.56</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5B583">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6.86</w:t>
            </w:r>
          </w:p>
        </w:tc>
        <w:tc>
          <w:tcPr>
            <w:tcW w:w="9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E9ECF">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5.69</w:t>
            </w: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C3D29">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c>
          <w:tcPr>
            <w:tcW w:w="1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7FA66">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0</w:t>
            </w:r>
          </w:p>
        </w:tc>
      </w:tr>
      <w:tr w14:paraId="67008515">
        <w:tblPrEx>
          <w:tblCellMar>
            <w:top w:w="0" w:type="dxa"/>
            <w:left w:w="0" w:type="dxa"/>
            <w:bottom w:w="0" w:type="dxa"/>
            <w:right w:w="0" w:type="dxa"/>
          </w:tblCellMar>
        </w:tblPrEx>
        <w:trPr>
          <w:trHeight w:val="340" w:hRule="atLeast"/>
        </w:trPr>
        <w:tc>
          <w:tcPr>
            <w:tcW w:w="557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6F0F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2022年合计</w:t>
            </w:r>
          </w:p>
        </w:tc>
        <w:tc>
          <w:tcPr>
            <w:tcW w:w="18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0003E">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2022年1-12月</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165B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70.48 </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D9DE0">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338.98 </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B7155">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451.06 </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12DC4">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190.74 </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DAC3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151.51 </w:t>
            </w:r>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40C3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 xml:space="preserve">151.51 </w:t>
            </w:r>
          </w:p>
        </w:tc>
      </w:tr>
      <w:tr w14:paraId="58210C9B">
        <w:tblPrEx>
          <w:tblCellMar>
            <w:top w:w="0" w:type="dxa"/>
            <w:left w:w="0" w:type="dxa"/>
            <w:bottom w:w="0" w:type="dxa"/>
            <w:right w:w="0" w:type="dxa"/>
          </w:tblCellMar>
        </w:tblPrEx>
        <w:trPr>
          <w:trHeight w:val="340" w:hRule="atLeast"/>
        </w:trPr>
        <w:tc>
          <w:tcPr>
            <w:tcW w:w="55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D8A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累计</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5242">
            <w:pPr>
              <w:spacing w:line="240" w:lineRule="auto"/>
              <w:ind w:firstLine="0" w:firstLineChars="0"/>
              <w:jc w:val="center"/>
              <w:rPr>
                <w:rFonts w:cs="宋体"/>
                <w:color w:val="000000" w:themeColor="text1"/>
                <w:sz w:val="24"/>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3BB2">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100.16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FF9B">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354.22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E40C">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495.98</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F574">
            <w:pPr>
              <w:widowControl/>
              <w:spacing w:line="240" w:lineRule="auto"/>
              <w:ind w:firstLine="0" w:firstLineChars="0"/>
              <w:jc w:val="center"/>
              <w:textAlignment w:val="center"/>
              <w:rPr>
                <w:rFonts w:cs="宋体"/>
                <w:color w:val="000000" w:themeColor="text1"/>
                <w:kern w:val="0"/>
                <w:sz w:val="24"/>
                <w:lang w:bidi="ar"/>
                <w14:textFill>
                  <w14:solidFill>
                    <w14:schemeClr w14:val="tx1"/>
                  </w14:solidFill>
                </w14:textFill>
              </w:rPr>
            </w:pPr>
            <w:r>
              <w:rPr>
                <w:rFonts w:cs="宋体"/>
                <w:color w:val="000000" w:themeColor="text1"/>
                <w:kern w:val="0"/>
                <w:sz w:val="24"/>
                <w:lang w:bidi="ar"/>
                <w14:textFill>
                  <w14:solidFill>
                    <w14:schemeClr w14:val="tx1"/>
                  </w14:solidFill>
                </w14:textFill>
              </w:rPr>
              <w:t>1259.39</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10DE8">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1040.21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9F5C7">
            <w:pPr>
              <w:widowControl/>
              <w:spacing w:line="240" w:lineRule="auto"/>
              <w:ind w:firstLine="0" w:firstLineChars="0"/>
              <w:jc w:val="center"/>
              <w:textAlignment w:val="center"/>
              <w:rPr>
                <w:rFonts w:cs="宋体"/>
                <w:color w:val="000000" w:themeColor="text1"/>
                <w:sz w:val="24"/>
                <w14:textFill>
                  <w14:solidFill>
                    <w14:schemeClr w14:val="tx1"/>
                  </w14:solidFill>
                </w14:textFill>
              </w:rPr>
            </w:pPr>
            <w:r>
              <w:rPr>
                <w:rFonts w:cs="宋体"/>
                <w:color w:val="000000" w:themeColor="text1"/>
                <w:kern w:val="0"/>
                <w:sz w:val="24"/>
                <w:lang w:bidi="ar"/>
                <w14:textFill>
                  <w14:solidFill>
                    <w14:schemeClr w14:val="tx1"/>
                  </w14:solidFill>
                </w14:textFill>
              </w:rPr>
              <w:t>1040.21</w:t>
            </w:r>
          </w:p>
        </w:tc>
      </w:tr>
    </w:tbl>
    <w:p w14:paraId="0EBA2DDD">
      <w:pPr>
        <w:ind w:firstLine="640"/>
        <w:rPr>
          <w:color w:val="000000" w:themeColor="text1"/>
          <w14:textFill>
            <w14:solidFill>
              <w14:schemeClr w14:val="tx1"/>
            </w14:solidFill>
          </w14:textFill>
        </w:rPr>
      </w:pPr>
    </w:p>
    <w:p w14:paraId="253AE011">
      <w:pPr>
        <w:ind w:firstLine="640"/>
        <w:rPr>
          <w:color w:val="000000" w:themeColor="text1"/>
          <w14:textFill>
            <w14:solidFill>
              <w14:schemeClr w14:val="tx1"/>
            </w14:solidFill>
          </w14:textFill>
        </w:rPr>
        <w:sectPr>
          <w:headerReference r:id="rId14" w:type="first"/>
          <w:footerReference r:id="rId16" w:type="first"/>
          <w:headerReference r:id="rId13" w:type="even"/>
          <w:footerReference r:id="rId15" w:type="even"/>
          <w:pgSz w:w="16838" w:h="11906" w:orient="landscape"/>
          <w:pgMar w:top="1304" w:right="1871" w:bottom="1304" w:left="1418" w:header="851" w:footer="680" w:gutter="0"/>
          <w:pgNumType w:fmt="numberInDash"/>
          <w:cols w:space="425" w:num="1"/>
          <w:docGrid w:linePitch="381" w:charSpace="0"/>
        </w:sectPr>
      </w:pPr>
    </w:p>
    <w:p w14:paraId="6685857C">
      <w:pPr>
        <w:pStyle w:val="76"/>
        <w:numPr>
          <w:ilvl w:val="0"/>
          <w:numId w:val="7"/>
        </w:numPr>
        <w:rPr>
          <w:color w:val="000000" w:themeColor="text1"/>
          <w14:textFill>
            <w14:solidFill>
              <w14:schemeClr w14:val="tx1"/>
            </w14:solidFill>
          </w14:textFill>
        </w:rPr>
      </w:pPr>
      <w:r>
        <w:rPr>
          <w:color w:val="000000" w:themeColor="text1"/>
          <w14:textFill>
            <w14:solidFill>
              <w14:schemeClr w14:val="tx1"/>
            </w14:solidFill>
          </w14:textFill>
        </w:rPr>
        <w:t>大谷厂水库连通工程</w:t>
      </w:r>
    </w:p>
    <w:p w14:paraId="66BA3DBC">
      <w:pPr>
        <w:ind w:firstLine="640"/>
        <w:rPr>
          <w:color w:val="000000" w:themeColor="text1"/>
          <w14:textFill>
            <w14:solidFill>
              <w14:schemeClr w14:val="tx1"/>
            </w14:solidFill>
          </w14:textFill>
        </w:rPr>
      </w:pPr>
      <w:r>
        <w:rPr>
          <w:color w:val="000000" w:themeColor="text1"/>
          <w14:textFill>
            <w14:solidFill>
              <w14:schemeClr w14:val="tx1"/>
            </w14:solidFill>
          </w14:textFill>
        </w:rPr>
        <w:t>大谷厂水库连通工程，供水线路长度30 km，工程总供水量2800万m</w:t>
      </w:r>
      <w:r>
        <w:rPr>
          <w:rFonts w:cs="Cambria"/>
          <w:color w:val="000000" w:themeColor="text1"/>
          <w14:textFill>
            <w14:solidFill>
              <w14:schemeClr w14:val="tx1"/>
            </w14:solidFill>
          </w14:textFill>
        </w:rPr>
        <w:t>³</w:t>
      </w:r>
      <w:r>
        <w:rPr>
          <w:rFonts w:cs="方正仿宋_GBK"/>
          <w:color w:val="000000" w:themeColor="text1"/>
          <w14:textFill>
            <w14:solidFill>
              <w14:schemeClr w14:val="tx1"/>
            </w14:solidFill>
          </w14:textFill>
        </w:rPr>
        <w:t>，供水范围龙泉，改善灌溉面积</w:t>
      </w:r>
      <w:r>
        <w:rPr>
          <w:color w:val="000000" w:themeColor="text1"/>
          <w14:textFill>
            <w14:solidFill>
              <w14:schemeClr w14:val="tx1"/>
            </w14:solidFill>
          </w14:textFill>
        </w:rPr>
        <w:t>5万亩，投资11720万元。</w:t>
      </w:r>
    </w:p>
    <w:p w14:paraId="61906FBD">
      <w:pPr>
        <w:pStyle w:val="45"/>
        <w:rPr>
          <w:color w:val="000000" w:themeColor="text1"/>
          <w14:textFill>
            <w14:solidFill>
              <w14:schemeClr w14:val="tx1"/>
            </w14:solidFill>
          </w14:textFill>
        </w:rPr>
      </w:pPr>
      <w:bookmarkStart w:id="87" w:name="_Toc24097"/>
      <w:bookmarkStart w:id="88" w:name="_Toc2477"/>
      <w:r>
        <w:rPr>
          <w:color w:val="000000" w:themeColor="text1"/>
          <w14:textFill>
            <w14:solidFill>
              <w14:schemeClr w14:val="tx1"/>
            </w14:solidFill>
          </w14:textFill>
        </w:rPr>
        <w:t>健全水资源配置体系</w:t>
      </w:r>
      <w:bookmarkEnd w:id="86"/>
      <w:bookmarkEnd w:id="87"/>
      <w:bookmarkEnd w:id="88"/>
    </w:p>
    <w:p w14:paraId="4F7EA206">
      <w:pPr>
        <w:ind w:firstLine="640"/>
        <w:rPr>
          <w:color w:val="000000" w:themeColor="text1"/>
          <w14:textFill>
            <w14:solidFill>
              <w14:schemeClr w14:val="tx1"/>
            </w14:solidFill>
          </w14:textFill>
        </w:rPr>
      </w:pPr>
      <w:bookmarkStart w:id="89" w:name="_Toc8180"/>
      <w:r>
        <w:rPr>
          <w:color w:val="000000" w:themeColor="text1"/>
          <w14:textFill>
            <w14:solidFill>
              <w14:schemeClr w14:val="tx1"/>
            </w14:solidFill>
          </w14:textFill>
        </w:rPr>
        <w:t>水资源优化配置是实现水资源合理开发利用的基础，是水资源可持续利用的根本保证。以促进区域可持续发展为目标，以有效、公平和可持续的原则，对有限的、不同形式的水资源，通过工程与非工程措施在各用水户之间进行的科学分配。</w:t>
      </w:r>
    </w:p>
    <w:p w14:paraId="6534FB63">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在时间上，通过建设重点水源工程，来解决年内和年际水资源分布不均匀的问题。在空间上，通过建设重点水系连通工程，跨地区、跨流域调水来调剂水资源余缺。同时可以从水资源配置的“源头”需求和供给进行分析，在需求方面通过调整产业结构、建设节水型社会并调整生产力布局，抑制需水增长势头，以适应较为不利的水资源条件；在供给方面则协调各项竞争性用水，加强管理，并通过工程措施改变水资源的天然时空分布来适应生产力布局。</w:t>
      </w:r>
    </w:p>
    <w:p w14:paraId="01933369">
      <w:pPr>
        <w:ind w:firstLine="640"/>
        <w:rPr>
          <w:color w:val="000000" w:themeColor="text1"/>
          <w14:textFill>
            <w14:solidFill>
              <w14:schemeClr w14:val="tx1"/>
            </w14:solidFill>
          </w14:textFill>
        </w:rPr>
      </w:pPr>
      <w:r>
        <w:rPr>
          <w:color w:val="000000" w:themeColor="text1"/>
          <w14:textFill>
            <w14:solidFill>
              <w14:schemeClr w14:val="tx1"/>
            </w14:solidFill>
          </w14:textFill>
        </w:rPr>
        <w:t>工程体系是健全水资源配置的基础，真正实现还要有政策法规体系、行政机构和经济机构等非工程体系的保障。政策法规体系主要有《中华人民共和国水法》、《中华人民共和国水污染法》，以及国务院颁发的各类分水条例、河道管理条例、取水证许可实施办法、水资源费征收管理办法等等。行政体系主要由国家水利部、各级地方政府水行政主管部门以及按流域设立的流域管理结构组成。经济机构由水费和水资源费两部分组成，通过水费和水资源费的调节，缩小同一地区内利用水资源的用户的费用差别，还可以规范用户行为，达到节约用水的目的。</w:t>
      </w:r>
    </w:p>
    <w:p w14:paraId="74D8C9B1">
      <w:pPr>
        <w:ind w:firstLine="640"/>
        <w:rPr>
          <w:rFonts w:eastAsia="黑体" w:cs="黑体"/>
          <w:color w:val="000000" w:themeColor="text1"/>
          <w:sz w:val="36"/>
          <w:szCs w:val="36"/>
          <w14:textFill>
            <w14:solidFill>
              <w14:schemeClr w14:val="tx1"/>
            </w14:solidFill>
          </w14:textFill>
        </w:rPr>
      </w:pPr>
      <w:r>
        <w:rPr>
          <w:color w:val="000000" w:themeColor="text1"/>
          <w14:textFill>
            <w14:solidFill>
              <w14:schemeClr w14:val="tx1"/>
            </w14:solidFill>
          </w14:textFill>
        </w:rPr>
        <w:t>通过上述工程措施和非工程措施，来健全易门县水资源配置体系。</w:t>
      </w:r>
      <w:r>
        <w:rPr>
          <w:rFonts w:eastAsia="黑体" w:cs="黑体"/>
          <w:color w:val="000000" w:themeColor="text1"/>
          <w:sz w:val="36"/>
          <w:szCs w:val="36"/>
          <w14:textFill>
            <w14:solidFill>
              <w14:schemeClr w14:val="tx1"/>
            </w14:solidFill>
          </w14:textFill>
        </w:rPr>
        <w:br w:type="page"/>
      </w:r>
    </w:p>
    <w:p w14:paraId="7C9698E5">
      <w:pPr>
        <w:pStyle w:val="43"/>
        <w:rPr>
          <w:color w:val="000000" w:themeColor="text1"/>
          <w14:textFill>
            <w14:solidFill>
              <w14:schemeClr w14:val="tx1"/>
            </w14:solidFill>
          </w14:textFill>
        </w:rPr>
      </w:pPr>
      <w:bookmarkStart w:id="90" w:name="_Toc16955"/>
      <w:bookmarkStart w:id="91" w:name="_Toc4263"/>
      <w:r>
        <w:rPr>
          <w:color w:val="000000" w:themeColor="text1"/>
          <w14:textFill>
            <w14:solidFill>
              <w14:schemeClr w14:val="tx1"/>
            </w14:solidFill>
          </w14:textFill>
        </w:rPr>
        <w:t>防治结合，恢复水清岸绿的水生态体系</w:t>
      </w:r>
      <w:bookmarkEnd w:id="89"/>
      <w:bookmarkEnd w:id="90"/>
      <w:bookmarkEnd w:id="91"/>
    </w:p>
    <w:p w14:paraId="301DB355">
      <w:pPr>
        <w:ind w:firstLine="640"/>
        <w:rPr>
          <w:color w:val="000000" w:themeColor="text1"/>
          <w14:textFill>
            <w14:solidFill>
              <w14:schemeClr w14:val="tx1"/>
            </w14:solidFill>
          </w14:textFill>
        </w:rPr>
      </w:pPr>
      <w:bookmarkStart w:id="92" w:name="_Toc10223"/>
      <w:r>
        <w:rPr>
          <w:color w:val="000000" w:themeColor="text1"/>
          <w14:textFill>
            <w14:solidFill>
              <w14:schemeClr w14:val="tx1"/>
            </w14:solidFill>
          </w14:textFill>
        </w:rPr>
        <w:t>以满足人民群众对健康水生态、宜居水环境的要求为目标，按照“重保护、促修复”的思路，坚持保护优先、自然恢复与治理修复相结合，从水源涵养、修复水生态入手，结合水土流失治理、河道防洪生态治理、农村水环境综合整治等，工程措施与非工程措施相结合，大力推进水生态文明建设，统筹解决水资源、水环境、水生态、水灾害问题。</w:t>
      </w:r>
    </w:p>
    <w:p w14:paraId="53C50F47">
      <w:pPr>
        <w:pStyle w:val="45"/>
        <w:rPr>
          <w:color w:val="000000" w:themeColor="text1"/>
          <w14:textFill>
            <w14:solidFill>
              <w14:schemeClr w14:val="tx1"/>
            </w14:solidFill>
          </w14:textFill>
        </w:rPr>
      </w:pPr>
      <w:bookmarkStart w:id="93" w:name="_Toc12272"/>
      <w:bookmarkStart w:id="94" w:name="_Toc14358"/>
      <w:r>
        <w:rPr>
          <w:color w:val="000000" w:themeColor="text1"/>
          <w14:textFill>
            <w14:solidFill>
              <w14:schemeClr w14:val="tx1"/>
            </w14:solidFill>
          </w14:textFill>
        </w:rPr>
        <w:t>加大重点河湖生态保护与综合治理力度</w:t>
      </w:r>
      <w:bookmarkEnd w:id="92"/>
      <w:bookmarkEnd w:id="93"/>
      <w:bookmarkEnd w:id="94"/>
    </w:p>
    <w:p w14:paraId="4F4BA575">
      <w:pPr>
        <w:ind w:firstLine="640"/>
        <w:rPr>
          <w:color w:val="000000" w:themeColor="text1"/>
          <w14:textFill>
            <w14:solidFill>
              <w14:schemeClr w14:val="tx1"/>
            </w14:solidFill>
          </w14:textFill>
        </w:rPr>
      </w:pPr>
      <w:bookmarkStart w:id="95" w:name="_Toc17536"/>
      <w:r>
        <w:rPr>
          <w:color w:val="000000" w:themeColor="text1"/>
          <w14:textFill>
            <w14:solidFill>
              <w14:schemeClr w14:val="tx1"/>
            </w14:solidFill>
          </w14:textFill>
        </w:rPr>
        <w:t>坚持综合施策、协同推进，针对河湖“四水”突出问题，加大河湖保护修复和综合治理，保护河湖结构与功能，构建河湖绿色生态廊道。综合运用截污治污、河湖清淤、生态调蓄带、河堤修复、种植树木等措施，推进生态脆弱河湖库的生态修复。加强河湖库水资源生态调度，保障河湖库生态用水。围绕“生态、安全、自然、和谐”的治河理念，以打造集生态、防洪于一体的清水通道为目标，易门县以绿汁江、扒河干支流生态治理为骨干，以主要经济区、坝区河段生态治理为基础的重要生态治理工程。</w:t>
      </w:r>
    </w:p>
    <w:p w14:paraId="391EA3A1">
      <w:pPr>
        <w:pStyle w:val="7"/>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0" distR="0">
            <wp:extent cx="4772025" cy="3681095"/>
            <wp:effectExtent l="0" t="0" r="9525"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D9CD6B">
      <w:pPr>
        <w:pStyle w:val="76"/>
        <w:outlineLvl w:val="9"/>
        <w:rPr>
          <w:color w:val="000000" w:themeColor="text1"/>
          <w14:textFill>
            <w14:solidFill>
              <w14:schemeClr w14:val="tx1"/>
            </w14:solidFill>
          </w14:textFill>
        </w:rPr>
      </w:pPr>
      <w:r>
        <w:rPr>
          <w:color w:val="000000" w:themeColor="text1"/>
          <w14:textFill>
            <w14:solidFill>
              <w14:schemeClr w14:val="tx1"/>
            </w14:solidFill>
          </w14:textFill>
        </w:rPr>
        <w:t>重点河湖生态治理与修复项目：4件，总投资81410万元。</w:t>
      </w:r>
    </w:p>
    <w:p w14:paraId="02401602">
      <w:pPr>
        <w:ind w:firstLine="640"/>
        <w:rPr>
          <w:color w:val="000000" w:themeColor="text1"/>
          <w14:textFill>
            <w14:solidFill>
              <w14:schemeClr w14:val="tx1"/>
            </w14:solidFill>
          </w14:textFill>
        </w:rPr>
      </w:pPr>
      <w:r>
        <w:rPr>
          <w:color w:val="000000" w:themeColor="text1"/>
          <w14:textFill>
            <w14:solidFill>
              <w14:schemeClr w14:val="tx1"/>
            </w14:solidFill>
          </w14:textFill>
        </w:rPr>
        <w:t>绿汁江（易门段）生态廊道保护修复综合治理，河道生态治理27.61 km，进行保护修复挤占25.1 km和修复水域岸线空间萎缩面积2.51 k㎡，投资6000万元；</w:t>
      </w:r>
    </w:p>
    <w:p w14:paraId="62B02DA4">
      <w:pPr>
        <w:ind w:firstLine="640"/>
        <w:rPr>
          <w:color w:val="000000" w:themeColor="text1"/>
          <w14:textFill>
            <w14:solidFill>
              <w14:schemeClr w14:val="tx1"/>
            </w14:solidFill>
          </w14:textFill>
        </w:rPr>
      </w:pPr>
      <w:r>
        <w:rPr>
          <w:color w:val="000000" w:themeColor="text1"/>
          <w14:textFill>
            <w14:solidFill>
              <w14:schemeClr w14:val="tx1"/>
            </w14:solidFill>
          </w14:textFill>
        </w:rPr>
        <w:t>扒河生态廊道保护修复综合治理，河道生态治理66 km，进行保护修复挤占60 km和修复水域岸线空间萎缩面积6 k㎡，投资13000万元；</w:t>
      </w:r>
    </w:p>
    <w:p w14:paraId="02F5009A">
      <w:pPr>
        <w:ind w:firstLine="640"/>
        <w:rPr>
          <w:color w:val="000000" w:themeColor="text1"/>
          <w14:textFill>
            <w14:solidFill>
              <w14:schemeClr w14:val="tx1"/>
            </w14:solidFill>
          </w14:textFill>
        </w:rPr>
      </w:pPr>
      <w:r>
        <w:rPr>
          <w:color w:val="000000" w:themeColor="text1"/>
          <w14:textFill>
            <w14:solidFill>
              <w14:schemeClr w14:val="tx1"/>
            </w14:solidFill>
          </w14:textFill>
        </w:rPr>
        <w:t>苗茂水库库尾生态治理，修复水域岸线空间萎缩面积2.3 k㎡，投资2410万元；</w:t>
      </w:r>
    </w:p>
    <w:p w14:paraId="3838C787">
      <w:pPr>
        <w:ind w:firstLine="640"/>
        <w:rPr>
          <w:color w:val="000000" w:themeColor="text1"/>
          <w14:textFill>
            <w14:solidFill>
              <w14:schemeClr w14:val="tx1"/>
            </w14:solidFill>
          </w14:textFill>
        </w:rPr>
      </w:pPr>
      <w:r>
        <w:rPr>
          <w:color w:val="000000" w:themeColor="text1"/>
          <w14:textFill>
            <w14:solidFill>
              <w14:schemeClr w14:val="tx1"/>
            </w14:solidFill>
          </w14:textFill>
        </w:rPr>
        <w:t>岔河水库生态治理与修复，修复水域岸线空间萎缩面积74 k㎡，投资60000万元。</w:t>
      </w:r>
      <w:r>
        <w:rPr>
          <w:color w:val="000000" w:themeColor="text1"/>
          <w14:textFill>
            <w14:solidFill>
              <w14:schemeClr w14:val="tx1"/>
            </w14:solidFill>
          </w14:textFill>
        </w:rPr>
        <w:br w:type="page"/>
      </w:r>
    </w:p>
    <w:p w14:paraId="2BDBE79C">
      <w:pPr>
        <w:pStyle w:val="45"/>
        <w:rPr>
          <w:color w:val="000000" w:themeColor="text1"/>
          <w14:textFill>
            <w14:solidFill>
              <w14:schemeClr w14:val="tx1"/>
            </w14:solidFill>
          </w14:textFill>
        </w:rPr>
      </w:pPr>
      <w:bookmarkStart w:id="96" w:name="_Toc18518"/>
      <w:bookmarkStart w:id="97" w:name="_Toc13673"/>
      <w:r>
        <w:rPr>
          <w:color w:val="000000" w:themeColor="text1"/>
          <w14:textFill>
            <w14:solidFill>
              <w14:schemeClr w14:val="tx1"/>
            </w14:solidFill>
          </w14:textFill>
        </w:rPr>
        <w:t>推进水土保持生态建设</w:t>
      </w:r>
      <w:bookmarkEnd w:id="95"/>
      <w:bookmarkEnd w:id="96"/>
      <w:bookmarkEnd w:id="97"/>
    </w:p>
    <w:p w14:paraId="7BE69219">
      <w:pPr>
        <w:ind w:firstLine="640"/>
        <w:rPr>
          <w:color w:val="000000" w:themeColor="text1"/>
          <w14:textFill>
            <w14:solidFill>
              <w14:schemeClr w14:val="tx1"/>
            </w14:solidFill>
          </w14:textFill>
        </w:rPr>
      </w:pPr>
      <w:bookmarkStart w:id="98" w:name="_Toc26870"/>
      <w:r>
        <w:rPr>
          <w:color w:val="000000" w:themeColor="text1"/>
          <w14:textFill>
            <w14:solidFill>
              <w14:schemeClr w14:val="tx1"/>
            </w14:solidFill>
          </w14:textFill>
        </w:rPr>
        <w:t>坚持预防为主、防治结合，强化河流源头和水源涵养区生态保护，实施重要河流源头区、重要水源地、石漠化地区和山洪灾害易发区等水土流失重点防治项目。在水土流失严重区域开展以小流域为单元的山水田林路综合治理，鼓励和引导有条件的地区实施生态清洁小流域建设，加强坡耕地综合整治。将水土保持生态建设与乡村振兴结合，重点推进水土流失相对严重地区和坡耕地相对集中区域的水土流失综合治理。</w:t>
      </w:r>
    </w:p>
    <w:p w14:paraId="4767E1D9">
      <w:pPr>
        <w:ind w:firstLine="640"/>
        <w:rPr>
          <w:color w:val="000000" w:themeColor="text1"/>
          <w14:textFill>
            <w14:solidFill>
              <w14:schemeClr w14:val="tx1"/>
            </w14:solidFill>
          </w14:textFill>
        </w:rPr>
      </w:pPr>
      <w:r>
        <w:rPr>
          <w:color w:val="000000" w:themeColor="text1"/>
          <w14:textFill>
            <w14:solidFill>
              <w14:schemeClr w14:val="tx1"/>
            </w14:solidFill>
          </w14:textFill>
        </w:rPr>
        <w:t>水土保持项目共有12件，预防治理水土流失面积45.6 k㎡，总投资是15000万元。分别是罗尹河小流域坡耕地水土流失综合治理、龙泉小流域水土流失综合治理、金田小流域坡耕地水土流失综合治理、普厂小流域坡耕地水土流失综合治理、白邑小流域坡耕地水土流失综合治理、米茂小流域坡耕地治理、浦贝河小流域坡耕地水土流失综合治理、占马田小流域坡耕地水土流失综合治理、绿汁小流域坡耕地水土流失综合治理、浦贝小流域坡耕地水土流失综合治理、六街小流域坡耕地水土流失综合治理、小街小流域坡耕地水土流失综合治理工程。</w:t>
      </w:r>
    </w:p>
    <w:p w14:paraId="1B973695">
      <w:pPr>
        <w:pStyle w:val="7"/>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0" distR="0">
            <wp:extent cx="5466715" cy="4023995"/>
            <wp:effectExtent l="0" t="0" r="1968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7285C2E">
      <w:pPr>
        <w:ind w:firstLine="640"/>
        <w:rPr>
          <w:color w:val="000000" w:themeColor="text1"/>
          <w14:textFill>
            <w14:solidFill>
              <w14:schemeClr w14:val="tx1"/>
            </w14:solidFill>
          </w14:textFill>
        </w:rPr>
      </w:pPr>
      <w:r>
        <w:rPr>
          <w:color w:val="000000" w:themeColor="text1"/>
          <w14:textFill>
            <w14:solidFill>
              <w14:schemeClr w14:val="tx1"/>
            </w14:solidFill>
          </w14:textFill>
        </w:rPr>
        <w:t>罗尹河小流域坡耕地水土流失综合治理工程:水土流失面积3.8 km²，预防治理水土流失面积2.38 km²，总投资1250万元；</w:t>
      </w:r>
    </w:p>
    <w:p w14:paraId="494DB578">
      <w:pPr>
        <w:ind w:firstLine="640"/>
        <w:rPr>
          <w:color w:val="000000" w:themeColor="text1"/>
          <w14:textFill>
            <w14:solidFill>
              <w14:schemeClr w14:val="tx1"/>
            </w14:solidFill>
          </w14:textFill>
        </w:rPr>
      </w:pPr>
      <w:r>
        <w:rPr>
          <w:color w:val="000000" w:themeColor="text1"/>
          <w14:textFill>
            <w14:solidFill>
              <w14:schemeClr w14:val="tx1"/>
            </w14:solidFill>
          </w14:textFill>
        </w:rPr>
        <w:t>龙泉小流域坡耕地水土流失综合治理工程:水土流失面积3.8 km²，预防治理水土流失面积2.38 km²，总投资1250万元；</w:t>
      </w:r>
    </w:p>
    <w:p w14:paraId="3D9EF124">
      <w:pPr>
        <w:ind w:firstLine="640"/>
        <w:rPr>
          <w:color w:val="000000" w:themeColor="text1"/>
          <w14:textFill>
            <w14:solidFill>
              <w14:schemeClr w14:val="tx1"/>
            </w14:solidFill>
          </w14:textFill>
        </w:rPr>
      </w:pPr>
      <w:r>
        <w:rPr>
          <w:color w:val="000000" w:themeColor="text1"/>
          <w14:textFill>
            <w14:solidFill>
              <w14:schemeClr w14:val="tx1"/>
            </w14:solidFill>
          </w14:textFill>
        </w:rPr>
        <w:t>金田小流域坡耕地水土流失综合治理工程:水土流失面积3.8 km²，预防治理水土流失面积2.38 km²，总投资1250万元；</w:t>
      </w:r>
    </w:p>
    <w:p w14:paraId="0D337447">
      <w:pPr>
        <w:ind w:firstLine="640"/>
        <w:rPr>
          <w:color w:val="000000" w:themeColor="text1"/>
          <w14:textFill>
            <w14:solidFill>
              <w14:schemeClr w14:val="tx1"/>
            </w14:solidFill>
          </w14:textFill>
        </w:rPr>
      </w:pPr>
      <w:r>
        <w:rPr>
          <w:color w:val="000000" w:themeColor="text1"/>
          <w14:textFill>
            <w14:solidFill>
              <w14:schemeClr w14:val="tx1"/>
            </w14:solidFill>
          </w14:textFill>
        </w:rPr>
        <w:t>普厂小流域坡耕地水土流失综合治理工程:水土流失面积3.8 km²，预防治理水土流失面积2.38 km²，总投资1250万元；</w:t>
      </w:r>
    </w:p>
    <w:p w14:paraId="6C8F667E">
      <w:pPr>
        <w:ind w:firstLine="640"/>
        <w:rPr>
          <w:color w:val="000000" w:themeColor="text1"/>
          <w14:textFill>
            <w14:solidFill>
              <w14:schemeClr w14:val="tx1"/>
            </w14:solidFill>
          </w14:textFill>
        </w:rPr>
      </w:pPr>
      <w:r>
        <w:rPr>
          <w:color w:val="000000" w:themeColor="text1"/>
          <w14:textFill>
            <w14:solidFill>
              <w14:schemeClr w14:val="tx1"/>
            </w14:solidFill>
          </w14:textFill>
        </w:rPr>
        <w:t>白邑小流域坡耕地水土流失综合治理工程:水土流失面积3.8 km²，预防治理水土流失面积2.38 km²，总投资1250万元；</w:t>
      </w:r>
    </w:p>
    <w:p w14:paraId="625B8F96">
      <w:pPr>
        <w:ind w:firstLine="640"/>
        <w:rPr>
          <w:color w:val="000000" w:themeColor="text1"/>
          <w14:textFill>
            <w14:solidFill>
              <w14:schemeClr w14:val="tx1"/>
            </w14:solidFill>
          </w14:textFill>
        </w:rPr>
      </w:pPr>
      <w:r>
        <w:rPr>
          <w:color w:val="000000" w:themeColor="text1"/>
          <w14:textFill>
            <w14:solidFill>
              <w14:schemeClr w14:val="tx1"/>
            </w14:solidFill>
          </w14:textFill>
        </w:rPr>
        <w:t>米茂小流域坡耕地治理:水土流失面积3.8 km²，预防治理水土流失面积2.38 km²，总投资1250万元；</w:t>
      </w:r>
    </w:p>
    <w:p w14:paraId="6F0705A0">
      <w:pPr>
        <w:ind w:firstLine="640"/>
        <w:rPr>
          <w:color w:val="000000" w:themeColor="text1"/>
          <w14:textFill>
            <w14:solidFill>
              <w14:schemeClr w14:val="tx1"/>
            </w14:solidFill>
          </w14:textFill>
        </w:rPr>
      </w:pPr>
      <w:r>
        <w:rPr>
          <w:color w:val="000000" w:themeColor="text1"/>
          <w14:textFill>
            <w14:solidFill>
              <w14:schemeClr w14:val="tx1"/>
            </w14:solidFill>
          </w14:textFill>
        </w:rPr>
        <w:t>浦贝河小流域坡耕地水土流失综合治理工程:水土流失面积3.8 km²，预防治理水土流失面积2.38 km²，总投资1250万元；</w:t>
      </w:r>
    </w:p>
    <w:p w14:paraId="1DA2F35A">
      <w:pPr>
        <w:ind w:firstLine="640"/>
        <w:rPr>
          <w:color w:val="000000" w:themeColor="text1"/>
          <w14:textFill>
            <w14:solidFill>
              <w14:schemeClr w14:val="tx1"/>
            </w14:solidFill>
          </w14:textFill>
        </w:rPr>
      </w:pPr>
      <w:r>
        <w:rPr>
          <w:color w:val="000000" w:themeColor="text1"/>
          <w14:textFill>
            <w14:solidFill>
              <w14:schemeClr w14:val="tx1"/>
            </w14:solidFill>
          </w14:textFill>
        </w:rPr>
        <w:t>占马田小流域坡耕地水土流失综合治理工程:水土流失面积3.8 km²，预防治理水土流失面积2.38 km²，总投资1250万元；</w:t>
      </w:r>
    </w:p>
    <w:p w14:paraId="4950A5CD">
      <w:pPr>
        <w:ind w:firstLine="640"/>
        <w:rPr>
          <w:color w:val="000000" w:themeColor="text1"/>
          <w14:textFill>
            <w14:solidFill>
              <w14:schemeClr w14:val="tx1"/>
            </w14:solidFill>
          </w14:textFill>
        </w:rPr>
      </w:pPr>
      <w:r>
        <w:rPr>
          <w:color w:val="000000" w:themeColor="text1"/>
          <w14:textFill>
            <w14:solidFill>
              <w14:schemeClr w14:val="tx1"/>
            </w14:solidFill>
          </w14:textFill>
        </w:rPr>
        <w:t>绿汁小流域坡耕地水土流失综合治理工程:水土流失面积3.8 km²，预防治理水土流失面积2.38 km²，总投资1250万元；</w:t>
      </w:r>
    </w:p>
    <w:p w14:paraId="15D5289A">
      <w:pPr>
        <w:ind w:firstLine="640"/>
        <w:rPr>
          <w:color w:val="000000" w:themeColor="text1"/>
          <w14:textFill>
            <w14:solidFill>
              <w14:schemeClr w14:val="tx1"/>
            </w14:solidFill>
          </w14:textFill>
        </w:rPr>
      </w:pPr>
      <w:r>
        <w:rPr>
          <w:color w:val="000000" w:themeColor="text1"/>
          <w14:textFill>
            <w14:solidFill>
              <w14:schemeClr w14:val="tx1"/>
            </w14:solidFill>
          </w14:textFill>
        </w:rPr>
        <w:t>浦贝小流域坡耕地水土流失综合治理工程:水土流失面积3.8 km²，预防治理水土流失面积2.38 km²，总投资1250万元；</w:t>
      </w:r>
    </w:p>
    <w:p w14:paraId="55A4E88B">
      <w:pPr>
        <w:ind w:firstLine="640"/>
        <w:rPr>
          <w:color w:val="000000" w:themeColor="text1"/>
          <w14:textFill>
            <w14:solidFill>
              <w14:schemeClr w14:val="tx1"/>
            </w14:solidFill>
          </w14:textFill>
        </w:rPr>
      </w:pPr>
      <w:r>
        <w:rPr>
          <w:color w:val="000000" w:themeColor="text1"/>
          <w14:textFill>
            <w14:solidFill>
              <w14:schemeClr w14:val="tx1"/>
            </w14:solidFill>
          </w14:textFill>
        </w:rPr>
        <w:t>六街小流域坡耕地水土流失综合治理工程:水土流失面积3.8 km²，预防治理水土流失面积2.38 km²，总投资1250万元；</w:t>
      </w:r>
    </w:p>
    <w:p w14:paraId="1FA8844E">
      <w:pPr>
        <w:ind w:firstLine="640"/>
        <w:rPr>
          <w:color w:val="000000" w:themeColor="text1"/>
          <w14:textFill>
            <w14:solidFill>
              <w14:schemeClr w14:val="tx1"/>
            </w14:solidFill>
          </w14:textFill>
        </w:rPr>
      </w:pPr>
      <w:r>
        <w:rPr>
          <w:color w:val="000000" w:themeColor="text1"/>
          <w14:textFill>
            <w14:solidFill>
              <w14:schemeClr w14:val="tx1"/>
            </w14:solidFill>
          </w14:textFill>
        </w:rPr>
        <w:t>小街小流域坡耕地土流失综合治理工程:水土流失面积3.8 km²，预防治理水土流失面积2.38 km²，总投资1250万元；</w:t>
      </w:r>
    </w:p>
    <w:p w14:paraId="3E05BDD7">
      <w:pPr>
        <w:pStyle w:val="45"/>
        <w:rPr>
          <w:color w:val="000000" w:themeColor="text1"/>
          <w14:textFill>
            <w14:solidFill>
              <w14:schemeClr w14:val="tx1"/>
            </w14:solidFill>
          </w14:textFill>
        </w:rPr>
      </w:pPr>
      <w:bookmarkStart w:id="99" w:name="_Toc23281"/>
      <w:bookmarkStart w:id="100" w:name="_Toc15142"/>
      <w:r>
        <w:rPr>
          <w:color w:val="000000" w:themeColor="text1"/>
          <w14:textFill>
            <w14:solidFill>
              <w14:schemeClr w14:val="tx1"/>
            </w14:solidFill>
          </w14:textFill>
        </w:rPr>
        <w:t>大力开展农村水利综合整治</w:t>
      </w:r>
      <w:bookmarkEnd w:id="98"/>
      <w:bookmarkEnd w:id="99"/>
      <w:bookmarkEnd w:id="100"/>
    </w:p>
    <w:p w14:paraId="0F46A7FC">
      <w:pPr>
        <w:ind w:firstLine="640"/>
        <w:rPr>
          <w:color w:val="000000" w:themeColor="text1"/>
          <w14:textFill>
            <w14:solidFill>
              <w14:schemeClr w14:val="tx1"/>
            </w14:solidFill>
          </w14:textFill>
        </w:rPr>
      </w:pPr>
      <w:bookmarkStart w:id="101" w:name="_Toc1543"/>
      <w:r>
        <w:rPr>
          <w:color w:val="000000" w:themeColor="text1"/>
          <w14:textFill>
            <w14:solidFill>
              <w14:schemeClr w14:val="tx1"/>
            </w14:solidFill>
          </w14:textFill>
        </w:rPr>
        <w:t>按照实施乡村振兴战略的要求，易门县针对农村水系存在的淤塞萎缩、水污染严重、水生态恶化等突出问题，立足乡村河流特点和保护发展需要，以县域为单元、河流为脉络、村庄为节点，通过清淤疏浚、岸坡整治、河道清障等措施，还含有防污控污、生态护岸修建等多种措施，集中连片推进，水域岸线并治，结合村庄建设和产业发展，开展农村水系综合整治，建设“水美乡村”，不断增强农村群众的获得感、幸福感、安全感，促进乡村全面振兴。</w:t>
      </w:r>
    </w:p>
    <w:p w14:paraId="6F5D1FF1">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172075" cy="4004945"/>
            <wp:effectExtent l="0" t="0" r="9525" b="1460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AFEE84E">
      <w:pPr>
        <w:ind w:firstLine="640"/>
        <w:rPr>
          <w:color w:val="000000" w:themeColor="text1"/>
          <w14:textFill>
            <w14:solidFill>
              <w14:schemeClr w14:val="tx1"/>
            </w14:solidFill>
          </w14:textFill>
        </w:rPr>
      </w:pPr>
      <w:r>
        <w:rPr>
          <w:color w:val="000000" w:themeColor="text1"/>
          <w14:textFill>
            <w14:solidFill>
              <w14:schemeClr w14:val="tx1"/>
            </w14:solidFill>
          </w14:textFill>
        </w:rPr>
        <w:t>水系连通及农村水系综合整治项目以乡镇为单位打包申报，共有7件，综合治理河长152 km，7个乡镇都涉及河道清障、清淤疏浚、岸坡整治、水源涵养与水土保持的建设内容，总投资26900万元。</w:t>
      </w:r>
    </w:p>
    <w:p w14:paraId="6DB48634">
      <w:pPr>
        <w:ind w:firstLine="640"/>
        <w:rPr>
          <w:color w:val="000000" w:themeColor="text1"/>
          <w14:textFill>
            <w14:solidFill>
              <w14:schemeClr w14:val="tx1"/>
            </w14:solidFill>
          </w14:textFill>
        </w:rPr>
      </w:pPr>
      <w:r>
        <w:rPr>
          <w:color w:val="000000" w:themeColor="text1"/>
          <w14:textFill>
            <w14:solidFill>
              <w14:schemeClr w14:val="tx1"/>
            </w14:solidFill>
          </w14:textFill>
        </w:rPr>
        <w:t>小街乡狮子山河、小街河治理，投资5935万元，综合治理河长16 km。包含小街乡14座小坝塘清淤整治，清障面积32 k㎡，清理垃圾方量3200 m³，河道清淤10 km，清淤量1万m³，新建生态护岸长度30 km，新建堤防长度15 km，加固堤防长度17 km，综合治理面积24 k㎡。防洪保护村庄7个（狮子山、龙潭箐、老杨村、下龙潭、小街中村、下村、赵家村）防洪保护人口2120人，防洪除涝受益面积0.8万亩；</w:t>
      </w:r>
    </w:p>
    <w:p w14:paraId="4616E5F0">
      <w:pPr>
        <w:ind w:firstLine="640"/>
        <w:rPr>
          <w:color w:val="000000" w:themeColor="text1"/>
          <w14:textFill>
            <w14:solidFill>
              <w14:schemeClr w14:val="tx1"/>
            </w14:solidFill>
          </w14:textFill>
        </w:rPr>
      </w:pPr>
      <w:r>
        <w:rPr>
          <w:color w:val="000000" w:themeColor="text1"/>
          <w14:textFill>
            <w14:solidFill>
              <w14:schemeClr w14:val="tx1"/>
            </w14:solidFill>
          </w14:textFill>
        </w:rPr>
        <w:t>六街街道二街河、王家滩河治理，投资4375万元，综合治理河长35 km。包含六街街道10座小坝塘清淤整治，清障面积70 k㎡，清理垃圾方量7000 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，河道清淤15 km，清淤量1.5万m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，新建堤防长度30 km，加固堤防长度28 km，防洪保护村庄5个（茶树、二街、大六庄、西冲、白泥田），防洪保护人口1452人，防洪除涝受益面积0.6万亩；</w:t>
      </w:r>
    </w:p>
    <w:p w14:paraId="485C5CFA">
      <w:pPr>
        <w:ind w:firstLine="640"/>
        <w:rPr>
          <w:color w:val="000000" w:themeColor="text1"/>
          <w14:textFill>
            <w14:solidFill>
              <w14:schemeClr w14:val="tx1"/>
            </w14:solidFill>
          </w14:textFill>
        </w:rPr>
      </w:pPr>
      <w:r>
        <w:rPr>
          <w:color w:val="000000" w:themeColor="text1"/>
          <w14:textFill>
            <w14:solidFill>
              <w14:schemeClr w14:val="tx1"/>
            </w14:solidFill>
          </w14:textFill>
        </w:rPr>
        <w:t>龙泉街道打矿箐河治理，投资3075万元，综合治理河长5 km。包含龙泉街道6座小坝塘清淤整治，清障面积10 k㎡，清理垃圾方量1000 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，河道清淤3 km，清淤量0.32万m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，新建生态护岸长度10 km，综合治理面积30 k㎡。防洪保护村庄4个（大谷厂、三元村、江口、田心），防洪保护人口1230人，防洪除涝受益面积0.4万亩；</w:t>
      </w:r>
    </w:p>
    <w:p w14:paraId="4DC91207">
      <w:pPr>
        <w:ind w:firstLine="640"/>
        <w:rPr>
          <w:color w:val="000000" w:themeColor="text1"/>
          <w14:textFill>
            <w14:solidFill>
              <w14:schemeClr w14:val="tx1"/>
            </w14:solidFill>
          </w14:textFill>
        </w:rPr>
      </w:pPr>
      <w:r>
        <w:rPr>
          <w:color w:val="000000" w:themeColor="text1"/>
          <w14:textFill>
            <w14:solidFill>
              <w14:schemeClr w14:val="tx1"/>
            </w14:solidFill>
          </w14:textFill>
        </w:rPr>
        <w:t>浦贝乡苗茂小河治理，投资3035万元，综合治理河长9 km。包含浦贝乡6座小坝塘清淤整治，清障面积18 k㎡，清理垃圾方量1800 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，河道清淤9 km，清淤量0.9万m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，新建堤防长度18 km，综合治理面积30 k㎡。防洪保护村庄4个（法家村、罗台旧、寨子村、苗茂），防洪保护人口1237人，防洪除涝受益面积0.5万亩；</w:t>
      </w:r>
    </w:p>
    <w:p w14:paraId="015A661D">
      <w:pPr>
        <w:ind w:firstLine="640"/>
        <w:rPr>
          <w:color w:val="000000" w:themeColor="text1"/>
          <w14:textFill>
            <w14:solidFill>
              <w14:schemeClr w14:val="tx1"/>
            </w14:solidFill>
          </w14:textFill>
        </w:rPr>
      </w:pPr>
      <w:r>
        <w:rPr>
          <w:color w:val="000000" w:themeColor="text1"/>
          <w14:textFill>
            <w14:solidFill>
              <w14:schemeClr w14:val="tx1"/>
            </w14:solidFill>
          </w14:textFill>
        </w:rPr>
        <w:t>十街乡老吾河治理，投资1675万元，综合治理河长9 km。包含十街乡3座小坝塘清淤整治，清障面积18 k㎡，清理垃圾方量1800 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，河道清淤5 km，清淤量0.5万m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，新建堤防长度10 km，综合治理面积10 k㎡。防洪保护村庄3个（老吾、大村、占马田），防洪保护人口960人，防洪除涝受益面积0.4万亩；</w:t>
      </w:r>
    </w:p>
    <w:p w14:paraId="60A4884B">
      <w:pPr>
        <w:ind w:firstLine="640"/>
        <w:rPr>
          <w:color w:val="000000" w:themeColor="text1"/>
          <w14:textFill>
            <w14:solidFill>
              <w14:schemeClr w14:val="tx1"/>
            </w14:solidFill>
          </w14:textFill>
        </w:rPr>
      </w:pPr>
      <w:r>
        <w:rPr>
          <w:color w:val="000000" w:themeColor="text1"/>
          <w14:textFill>
            <w14:solidFill>
              <w14:schemeClr w14:val="tx1"/>
            </w14:solidFill>
          </w14:textFill>
        </w:rPr>
        <w:t>绿汁镇蚂蟥箐河、一都河、发味河治理，投资5095万元，综合治理河长38 km。包含绿汁镇19座小坝塘清淤整治，清障面积76 k㎡，清理垃圾方量7600 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，河道清淤15 km，清淤量1.5万m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，新建堤防长度32 km。防洪保护村庄9个（李家厂、许家村、河尾、三层楼、一都厂、大岭岗、半坡、上发味、下发味），防洪保护人口2725人，防洪除涝受益面积0.7万亩；</w:t>
      </w:r>
    </w:p>
    <w:p w14:paraId="4F1905B8">
      <w:pPr>
        <w:ind w:firstLine="640"/>
        <w:rPr>
          <w:color w:val="000000" w:themeColor="text1"/>
          <w14:textFill>
            <w14:solidFill>
              <w14:schemeClr w14:val="tx1"/>
            </w14:solidFill>
          </w14:textFill>
        </w:rPr>
      </w:pPr>
      <w:r>
        <w:rPr>
          <w:color w:val="000000" w:themeColor="text1"/>
          <w14:textFill>
            <w14:solidFill>
              <w14:schemeClr w14:val="tx1"/>
            </w14:solidFill>
          </w14:textFill>
        </w:rPr>
        <w:t>铜厂乡米茂河、里士河、铜厂河治理，投资3710万元，综合治理河长40 km。包含铜厂乡11座小坝塘清淤整治，清障面积80 k㎡，清理垃圾方量8000 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，河道清淤20 km，清淤量2万m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，新建堤防长度40 km。防洪保护村庄7个（米茂、上村、里士、桃园、芭蕉箐、啊三郎、五路碑），防洪保护人口1876人，防洪除涝受益面积0.6万亩。</w:t>
      </w:r>
    </w:p>
    <w:p w14:paraId="778D448C">
      <w:pPr>
        <w:pStyle w:val="45"/>
        <w:rPr>
          <w:color w:val="000000" w:themeColor="text1"/>
          <w14:textFill>
            <w14:solidFill>
              <w14:schemeClr w14:val="tx1"/>
            </w14:solidFill>
          </w14:textFill>
        </w:rPr>
      </w:pPr>
      <w:r>
        <w:rPr>
          <w:color w:val="000000" w:themeColor="text1"/>
          <w14:textFill>
            <w14:solidFill>
              <w14:schemeClr w14:val="tx1"/>
            </w14:solidFill>
          </w14:textFill>
        </w:rPr>
        <w:t>完善水生态空间规划</w:t>
      </w:r>
    </w:p>
    <w:p w14:paraId="1DDE5F41">
      <w:pPr>
        <w:ind w:firstLine="640"/>
        <w:rPr>
          <w:color w:val="000000" w:themeColor="text1"/>
          <w14:textFill>
            <w14:solidFill>
              <w14:schemeClr w14:val="tx1"/>
            </w14:solidFill>
          </w14:textFill>
        </w:rPr>
      </w:pPr>
      <w:r>
        <w:rPr>
          <w:color w:val="000000" w:themeColor="text1"/>
          <w14:textFill>
            <w14:solidFill>
              <w14:schemeClr w14:val="tx1"/>
            </w14:solidFill>
          </w14:textFill>
        </w:rPr>
        <w:t>水生态空间规划是空间规划体糸的组成部分，水生态空间管控制度建设是生态文明体制改革的重要任务之一，确定水生态空间管控指标是资源环境保护指标体系的核心内容，是水利部门落实《生态文明建设目标考核办法》的重要抓手；基于国土空间管控和生态功能区划的水生态空间布局是水利部门开展空间规划和融入“多规合一”的重要支撑。在统一数据和土地分类平台下，开展水生态空间管控规划的编制工作，明确水生态空间功能、确定水生态空间管控布局，确定水生态空间管控指标，与城乡规划、国土规划、区域空间生态环境影响评价有机衔接，对实现“全域一盘棋、一张蓝图千到底"具有重要作用。</w:t>
      </w:r>
    </w:p>
    <w:p w14:paraId="43E87729">
      <w:pPr>
        <w:pStyle w:val="45"/>
        <w:rPr>
          <w:color w:val="000000" w:themeColor="text1"/>
          <w14:textFill>
            <w14:solidFill>
              <w14:schemeClr w14:val="tx1"/>
            </w14:solidFill>
          </w14:textFill>
        </w:rPr>
      </w:pPr>
      <w:r>
        <w:rPr>
          <w:color w:val="000000" w:themeColor="text1"/>
          <w14:textFill>
            <w14:solidFill>
              <w14:schemeClr w14:val="tx1"/>
            </w14:solidFill>
          </w14:textFill>
        </w:rPr>
        <w:t>健全河流生态流量保障体系</w:t>
      </w:r>
    </w:p>
    <w:p w14:paraId="7BDEDB5B">
      <w:pPr>
        <w:ind w:firstLine="640"/>
        <w:rPr>
          <w:color w:val="000000" w:themeColor="text1"/>
          <w14:textFill>
            <w14:solidFill>
              <w14:schemeClr w14:val="tx1"/>
            </w14:solidFill>
          </w14:textFill>
        </w:rPr>
      </w:pPr>
      <w:r>
        <w:rPr>
          <w:color w:val="000000" w:themeColor="text1"/>
          <w14:textFill>
            <w14:solidFill>
              <w14:schemeClr w14:val="tx1"/>
            </w14:solidFill>
          </w14:textFill>
        </w:rPr>
        <w:t>河湖生态流量是指为了维系河流、湖泊等水生态系统的结构和功能，需要保留在河湖内符合水质要求的流量（水量、水位）及其过程。保障河湖生态流量，事关江河湖泊健康，事关生态文明建设，事关高质量发展。近年来，我国河湖生态流量保障工作不断加强，水生态状况得到初步改善。但也要看到，受自然禀赋条件限制、不合理开发利用以及全球气候变化等影响，部分流域区域生活、生产和生态用水矛盾仍然突出，河湖生态流量难以保障，河流断流、湖泊萎缩、生物多样性受损、生态服务功能下降等问题依然严峻。</w:t>
      </w:r>
    </w:p>
    <w:p w14:paraId="3DD06753">
      <w:pPr>
        <w:ind w:firstLine="64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明确生态流量目标确定事权。依据水资源管理权限，分级组织开展河湖生态流量确定工作。根据河湖生态保护对象，选择跨行政区断面、把口断面（入海、入干流、入尾闾）、重要生态敏感区控制断面、主要控制性水工程断面等作为河湖生态流量控制断面。控制断面的确定，应与相关水利规划、相关生态环境规划、水量分配方案确定的断面相衔接，宜选择有水文监测资料的断面。按照河湖水资源条件和生态保护需求，选择合适的方法计算并进行水量平衡和可达性分析，综合确定河湖生态流量目标。。新建、改建和扩建水工程，应按照水利等相关部门审批文件规定，落实生态流量泄放条件。已建水工程不满足生态流量泄放要求的，应根据条件，经科学论证，改进调度或增设必要的泄放设施。深入开展生态流量确定方法、监管措施、监测预警、风险防控、效果评价等方面的科学研究，健全河湖生态流量确定和保障的技术体系。推动河湖生态流量保障制度建设，推广河湖生态流量保障典型经验做法。</w:t>
      </w:r>
    </w:p>
    <w:p w14:paraId="0D226D97">
      <w:pPr>
        <w:pStyle w:val="43"/>
        <w:rPr>
          <w:color w:val="000000" w:themeColor="text1"/>
          <w14:textFill>
            <w14:solidFill>
              <w14:schemeClr w14:val="tx1"/>
            </w14:solidFill>
          </w14:textFill>
        </w:rPr>
      </w:pPr>
      <w:bookmarkStart w:id="102" w:name="_Toc15545"/>
      <w:bookmarkStart w:id="103" w:name="_Toc8611"/>
      <w:r>
        <w:rPr>
          <w:color w:val="000000" w:themeColor="text1"/>
          <w14:textFill>
            <w14:solidFill>
              <w14:schemeClr w14:val="tx1"/>
            </w14:solidFill>
          </w14:textFill>
        </w:rPr>
        <w:br w:type="page"/>
      </w:r>
      <w:r>
        <w:rPr>
          <w:color w:val="000000" w:themeColor="text1"/>
          <w14:textFill>
            <w14:solidFill>
              <w14:schemeClr w14:val="tx1"/>
            </w14:solidFill>
          </w14:textFill>
        </w:rPr>
        <w:t>多措并举，加强城乡一体的供水灌溉体系</w:t>
      </w:r>
      <w:bookmarkEnd w:id="101"/>
      <w:bookmarkEnd w:id="102"/>
      <w:bookmarkEnd w:id="103"/>
    </w:p>
    <w:p w14:paraId="4B12444D">
      <w:pPr>
        <w:pStyle w:val="45"/>
        <w:rPr>
          <w:color w:val="000000" w:themeColor="text1"/>
          <w14:textFill>
            <w14:solidFill>
              <w14:schemeClr w14:val="tx1"/>
            </w14:solidFill>
          </w14:textFill>
        </w:rPr>
      </w:pPr>
      <w:bookmarkStart w:id="104" w:name="_Toc25768"/>
      <w:bookmarkStart w:id="105" w:name="_Toc6270"/>
      <w:bookmarkStart w:id="106" w:name="_Toc2888"/>
      <w:r>
        <w:rPr>
          <w:color w:val="000000" w:themeColor="text1"/>
          <w14:textFill>
            <w14:solidFill>
              <w14:schemeClr w14:val="tx1"/>
            </w14:solidFill>
          </w14:textFill>
        </w:rPr>
        <w:t>完善城乡一体化供水灌溉系统</w:t>
      </w:r>
      <w:bookmarkEnd w:id="104"/>
      <w:bookmarkEnd w:id="105"/>
      <w:bookmarkEnd w:id="106"/>
    </w:p>
    <w:p w14:paraId="4095E5BD">
      <w:pPr>
        <w:ind w:firstLine="640"/>
        <w:rPr>
          <w:color w:val="000000" w:themeColor="text1"/>
          <w14:textFill>
            <w14:solidFill>
              <w14:schemeClr w14:val="tx1"/>
            </w14:solidFill>
          </w14:textFill>
        </w:rPr>
      </w:pPr>
      <w:bookmarkStart w:id="107" w:name="_Toc26549"/>
      <w:r>
        <w:rPr>
          <w:color w:val="000000" w:themeColor="text1"/>
          <w14:textFill>
            <w14:solidFill>
              <w14:schemeClr w14:val="tx1"/>
            </w14:solidFill>
          </w14:textFill>
        </w:rPr>
        <w:t>根据易门县现状供水格局、城镇分布、农业发展情况，通过乡镇抗旱水源工程、城市备用水源工程、中型灌区续建配套与现代化改革工程和农村饮水安全巩固提升工程来加强城乡一体化供水灌溉体系，以提升供水效率，构建城乡一体化的供水灌溉体系，为易门县经济社会、城乡发展提供水资源支撑。</w:t>
      </w:r>
    </w:p>
    <w:p w14:paraId="1217C97D">
      <w:pPr>
        <w:ind w:firstLine="640"/>
        <w:rPr>
          <w:color w:val="000000" w:themeColor="text1"/>
          <w14:textFill>
            <w14:solidFill>
              <w14:schemeClr w14:val="tx1"/>
            </w14:solidFill>
          </w14:textFill>
        </w:rPr>
      </w:pPr>
      <w:r>
        <w:rPr>
          <w:color w:val="000000" w:themeColor="text1"/>
          <w14:textFill>
            <w14:solidFill>
              <w14:schemeClr w14:val="tx1"/>
            </w14:solidFill>
          </w14:textFill>
        </w:rPr>
        <w:t>建设抗旱减灾治本工程。易门县乡镇抗旱水源工程建设内容主要是小型水库工程、引调提水工程（连通工程、其他配套工程），实现干旱期转换供水对象，有效应对特殊干旱年供需水矛盾，以保证干旱期重点对象的基本用水需求。</w:t>
      </w:r>
    </w:p>
    <w:p w14:paraId="1BAD8199">
      <w:pPr>
        <w:ind w:firstLine="640"/>
        <w:rPr>
          <w:color w:val="000000" w:themeColor="text1"/>
          <w14:textFill>
            <w14:solidFill>
              <w14:schemeClr w14:val="tx1"/>
            </w14:solidFill>
          </w14:textFill>
        </w:rPr>
      </w:pPr>
      <w:r>
        <w:rPr>
          <w:color w:val="000000" w:themeColor="text1"/>
          <w14:textFill>
            <w14:solidFill>
              <w14:schemeClr w14:val="tx1"/>
            </w14:solidFill>
          </w14:textFill>
        </w:rPr>
        <w:t>建设城市备用水源工程。按照“先挖掘、再新建”，易门县因地制宜的建设城市备用水源，构建多类型、多水源供水保障体系。</w:t>
      </w:r>
    </w:p>
    <w:p w14:paraId="661C1D38">
      <w:pPr>
        <w:ind w:firstLine="640"/>
        <w:rPr>
          <w:color w:val="000000" w:themeColor="text1"/>
          <w14:textFill>
            <w14:solidFill>
              <w14:schemeClr w14:val="tx1"/>
            </w14:solidFill>
          </w14:textFill>
        </w:rPr>
      </w:pPr>
      <w:r>
        <w:rPr>
          <w:color w:val="000000" w:themeColor="text1"/>
          <w14:textFill>
            <w14:solidFill>
              <w14:schemeClr w14:val="tx1"/>
            </w14:solidFill>
          </w14:textFill>
        </w:rPr>
        <w:t>推进灌区现代化建设与改造。在易门县选择光热条件较好、耕地集中连片的农业发展核心区，谋划中型灌区续建配套与现代化改造，有效发挥已建水源工程的灌溉供水效益，提高水土资源利用率。</w:t>
      </w:r>
    </w:p>
    <w:p w14:paraId="3303CE67">
      <w:pPr>
        <w:ind w:firstLine="640"/>
        <w:rPr>
          <w:color w:val="000000" w:themeColor="text1"/>
          <w14:textFill>
            <w14:solidFill>
              <w14:schemeClr w14:val="tx1"/>
            </w14:solidFill>
          </w14:textFill>
        </w:rPr>
      </w:pPr>
      <w:r>
        <w:rPr>
          <w:color w:val="000000" w:themeColor="text1"/>
          <w14:textFill>
            <w14:solidFill>
              <w14:schemeClr w14:val="tx1"/>
            </w14:solidFill>
          </w14:textFill>
        </w:rPr>
        <w:t>加快农村人饮供水保障规划。农村人饮供水保障规划事关易门县农村居民的基本生存，是一项以社会效益为主的公益性事业。根据国家实施乡村振兴战略的要求，按照城乡融合发展和乡村振兴梯度推进的总体部署，建立完善的农村人饮供水工程体系和管理体系，进一步提高农村洪水保障水平为目标，以进一步优化农村供水格局、提高农村地区集中供水率、自来水普及率、供水保证率。易门县综合考虑水源条件、地形地貌、用水需求、技术经济条件等因素，与乡村振兴规划、村镇发展规划、新农村建设规划和水资源规划紧密衔接，对“十四五”期间易门县农村人饮供水工程进行了科学、合理的规划，编制农村人饮供水保障专项规划。</w:t>
      </w:r>
    </w:p>
    <w:p w14:paraId="04A53123">
      <w:pPr>
        <w:pStyle w:val="45"/>
        <w:rPr>
          <w:color w:val="000000" w:themeColor="text1"/>
          <w14:textFill>
            <w14:solidFill>
              <w14:schemeClr w14:val="tx1"/>
            </w14:solidFill>
          </w14:textFill>
        </w:rPr>
      </w:pPr>
      <w:bookmarkStart w:id="108" w:name="_Toc16855"/>
      <w:bookmarkStart w:id="109" w:name="_Toc16559"/>
      <w:r>
        <w:rPr>
          <w:color w:val="000000" w:themeColor="text1"/>
          <w14:textFill>
            <w14:solidFill>
              <w14:schemeClr w14:val="tx1"/>
            </w14:solidFill>
          </w14:textFill>
        </w:rPr>
        <w:t>提升城乡一体化供水灌溉水平</w:t>
      </w:r>
      <w:bookmarkEnd w:id="107"/>
      <w:bookmarkEnd w:id="108"/>
      <w:bookmarkEnd w:id="109"/>
    </w:p>
    <w:p w14:paraId="75A10C30">
      <w:pPr>
        <w:pStyle w:val="65"/>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187315" cy="3341370"/>
            <wp:effectExtent l="0" t="0" r="13335"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color w:val="000000" w:themeColor="text1"/>
          <w14:textFill>
            <w14:solidFill>
              <w14:schemeClr w14:val="tx1"/>
            </w14:solidFill>
          </w14:textFill>
        </w:rPr>
        <w:t xml:space="preserve"> </w:t>
      </w:r>
      <w:r>
        <w:rPr>
          <w:color w:val="000000" w:themeColor="text1"/>
          <w14:textFill>
            <w14:solidFill>
              <w14:schemeClr w14:val="tx1"/>
            </w14:solidFill>
          </w14:textFill>
        </w:rPr>
        <w:br w:type="page"/>
      </w:r>
    </w:p>
    <w:p w14:paraId="76D4FDAA">
      <w:pPr>
        <w:pStyle w:val="47"/>
        <w:rPr>
          <w:color w:val="000000" w:themeColor="text1"/>
          <w14:textFill>
            <w14:solidFill>
              <w14:schemeClr w14:val="tx1"/>
            </w14:solidFill>
          </w14:textFill>
        </w:rPr>
      </w:pPr>
      <w:bookmarkStart w:id="110" w:name="_Toc112"/>
      <w:r>
        <w:rPr>
          <w:color w:val="000000" w:themeColor="text1"/>
          <w14:textFill>
            <w14:solidFill>
              <w14:schemeClr w14:val="tx1"/>
            </w14:solidFill>
          </w14:textFill>
        </w:rPr>
        <w:t>镇抗旱水源工程</w:t>
      </w:r>
    </w:p>
    <w:p w14:paraId="2E315F58">
      <w:pPr>
        <w:ind w:firstLine="640"/>
        <w:rPr>
          <w:color w:val="000000" w:themeColor="text1"/>
          <w14:textFill>
            <w14:solidFill>
              <w14:schemeClr w14:val="tx1"/>
            </w14:solidFill>
          </w14:textFill>
        </w:rPr>
      </w:pPr>
      <w:r>
        <w:rPr>
          <w:color w:val="000000" w:themeColor="text1"/>
          <w14:textFill>
            <w14:solidFill>
              <w14:schemeClr w14:val="tx1"/>
            </w14:solidFill>
          </w14:textFill>
        </w:rPr>
        <w:t>乡镇抗旱水源工程：共计33件，总投资34853万元。其中小型水库工程中的小（1）型水库6件，总投资4800万元；小型水库工程中的小（2）型水库12件，总投资12000万元；引调提水工程中的连通工程10件，总投资12900万元；引调提水工程中的其他配套工程5件，总投资5153万元。</w:t>
      </w:r>
    </w:p>
    <w:p w14:paraId="717608A2">
      <w:pPr>
        <w:ind w:firstLine="64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039995" cy="2936240"/>
            <wp:effectExtent l="0" t="0" r="8255" b="1651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CC73E88">
      <w:pPr>
        <w:ind w:firstLine="640"/>
        <w:rPr>
          <w:color w:val="000000" w:themeColor="text1"/>
          <w14:textFill>
            <w14:solidFill>
              <w14:schemeClr w14:val="tx1"/>
            </w14:solidFill>
          </w14:textFill>
        </w:rPr>
      </w:pPr>
      <w:r>
        <w:rPr>
          <w:color w:val="000000" w:themeColor="text1"/>
          <w14:textFill>
            <w14:solidFill>
              <w14:schemeClr w14:val="tx1"/>
            </w14:solidFill>
          </w14:textFill>
        </w:rPr>
        <w:t>小型水库工程工程：17件，总投资16800万元；其中小（1）型水库6件，总投资4800万元；小（2）型水库12件，总投资12000万元。</w:t>
      </w:r>
    </w:p>
    <w:p w14:paraId="191BEAE9">
      <w:pPr>
        <w:ind w:firstLine="643"/>
        <w:rPr>
          <w:b/>
          <w:color w:val="000000" w:themeColor="text1"/>
          <w14:textFill>
            <w14:solidFill>
              <w14:schemeClr w14:val="tx1"/>
            </w14:solidFill>
          </w14:textFill>
        </w:rPr>
      </w:pPr>
      <w:r>
        <w:rPr>
          <w:b/>
          <w:color w:val="000000" w:themeColor="text1"/>
          <w14:textFill>
            <w14:solidFill>
              <w14:schemeClr w14:val="tx1"/>
            </w14:solidFill>
          </w14:textFill>
        </w:rPr>
        <w:t>小（1）型水库：6件，总投资4800万元。</w:t>
      </w:r>
    </w:p>
    <w:p w14:paraId="1846787A">
      <w:pPr>
        <w:ind w:firstLine="640"/>
        <w:rPr>
          <w:color w:val="000000" w:themeColor="text1"/>
          <w14:textFill>
            <w14:solidFill>
              <w14:schemeClr w14:val="tx1"/>
            </w14:solidFill>
          </w14:textFill>
        </w:rPr>
      </w:pPr>
      <w:r>
        <w:rPr>
          <w:color w:val="000000" w:themeColor="text1"/>
          <w14:textFill>
            <w14:solidFill>
              <w14:schemeClr w14:val="tx1"/>
            </w14:solidFill>
          </w14:textFill>
        </w:rPr>
        <w:t>南屯水库除险加固，涉及供水人口4万人，抗旱人饮供水量32万m³，保护粮田面积0.4万亩，抗旱灌溉供水量12万m³，总投资800万元；</w:t>
      </w:r>
    </w:p>
    <w:p w14:paraId="50E744FC">
      <w:pPr>
        <w:ind w:firstLine="640"/>
        <w:rPr>
          <w:color w:val="000000" w:themeColor="text1"/>
          <w14:textFill>
            <w14:solidFill>
              <w14:schemeClr w14:val="tx1"/>
            </w14:solidFill>
          </w14:textFill>
        </w:rPr>
      </w:pPr>
      <w:r>
        <w:rPr>
          <w:color w:val="000000" w:themeColor="text1"/>
          <w14:textFill>
            <w14:solidFill>
              <w14:schemeClr w14:val="tx1"/>
            </w14:solidFill>
          </w14:textFill>
        </w:rPr>
        <w:t>合作水库除险加固，保护粮田面积0.75万亩，抗旱灌溉供水量22.5万m³，总投资800万元；</w:t>
      </w:r>
    </w:p>
    <w:p w14:paraId="4D62D1CF">
      <w:pPr>
        <w:ind w:firstLine="640"/>
        <w:rPr>
          <w:color w:val="000000" w:themeColor="text1"/>
          <w14:textFill>
            <w14:solidFill>
              <w14:schemeClr w14:val="tx1"/>
            </w14:solidFill>
          </w14:textFill>
        </w:rPr>
      </w:pPr>
      <w:r>
        <w:rPr>
          <w:color w:val="000000" w:themeColor="text1"/>
          <w14:textFill>
            <w14:solidFill>
              <w14:schemeClr w14:val="tx1"/>
            </w14:solidFill>
          </w14:textFill>
        </w:rPr>
        <w:t>小河水库除险加固，涉及供水人口1万人，抗旱人饮供水量8万m³，保护粮田面积0.75万亩，抗旱灌溉供水量22.5万m³，总投资800万元；</w:t>
      </w:r>
    </w:p>
    <w:p w14:paraId="27E50862">
      <w:pPr>
        <w:ind w:firstLine="640"/>
        <w:rPr>
          <w:color w:val="000000" w:themeColor="text1"/>
          <w14:textFill>
            <w14:solidFill>
              <w14:schemeClr w14:val="tx1"/>
            </w14:solidFill>
          </w14:textFill>
        </w:rPr>
      </w:pPr>
      <w:r>
        <w:rPr>
          <w:color w:val="000000" w:themeColor="text1"/>
          <w14:textFill>
            <w14:solidFill>
              <w14:schemeClr w14:val="tx1"/>
            </w14:solidFill>
          </w14:textFill>
        </w:rPr>
        <w:t>东山水库除险加固，涉及供水人口0.3万人，抗旱人饮供水量2.4万m³，保护粮田面积0.6万亩，抗旱灌溉供水量18万m³，总投资800万元；</w:t>
      </w:r>
    </w:p>
    <w:p w14:paraId="2E9EA97B">
      <w:pPr>
        <w:ind w:firstLine="640"/>
        <w:rPr>
          <w:color w:val="000000" w:themeColor="text1"/>
          <w14:textFill>
            <w14:solidFill>
              <w14:schemeClr w14:val="tx1"/>
            </w14:solidFill>
          </w14:textFill>
        </w:rPr>
      </w:pPr>
      <w:r>
        <w:rPr>
          <w:color w:val="000000" w:themeColor="text1"/>
          <w14:textFill>
            <w14:solidFill>
              <w14:schemeClr w14:val="tx1"/>
            </w14:solidFill>
          </w14:textFill>
        </w:rPr>
        <w:t>沙衣水库除险加固，涉及供水人口0.18万人，抗旱人饮供水量1.44万m³，保护粮田面积0.8万亩，抗旱灌溉供水量24万m³，总投资800万元；</w:t>
      </w:r>
    </w:p>
    <w:p w14:paraId="123593E5">
      <w:pPr>
        <w:ind w:firstLine="640"/>
        <w:rPr>
          <w:color w:val="000000" w:themeColor="text1"/>
          <w14:textFill>
            <w14:solidFill>
              <w14:schemeClr w14:val="tx1"/>
            </w14:solidFill>
          </w14:textFill>
        </w:rPr>
      </w:pPr>
      <w:r>
        <w:rPr>
          <w:color w:val="000000" w:themeColor="text1"/>
          <w14:textFill>
            <w14:solidFill>
              <w14:schemeClr w14:val="tx1"/>
            </w14:solidFill>
          </w14:textFill>
        </w:rPr>
        <w:t>米茂水库除险加固，涉及供水人口0.1万人，抗旱人饮供水量0.8万m³，保护粮田面积0.16万亩，抗旱灌溉供水量5万m³，总投资800万元。</w:t>
      </w:r>
    </w:p>
    <w:p w14:paraId="0B1B7374">
      <w:pPr>
        <w:ind w:firstLine="643"/>
        <w:rPr>
          <w:b/>
          <w:color w:val="000000" w:themeColor="text1"/>
          <w14:textFill>
            <w14:solidFill>
              <w14:schemeClr w14:val="tx1"/>
            </w14:solidFill>
          </w14:textFill>
        </w:rPr>
      </w:pPr>
      <w:r>
        <w:rPr>
          <w:b/>
          <w:color w:val="000000" w:themeColor="text1"/>
          <w14:textFill>
            <w14:solidFill>
              <w14:schemeClr w14:val="tx1"/>
            </w14:solidFill>
          </w14:textFill>
        </w:rPr>
        <w:t>小（2）型水库：12件，总投资12000万元。</w:t>
      </w:r>
    </w:p>
    <w:p w14:paraId="1E129C7E">
      <w:pPr>
        <w:ind w:firstLine="640"/>
        <w:rPr>
          <w:color w:val="000000" w:themeColor="text1"/>
          <w14:textFill>
            <w14:solidFill>
              <w14:schemeClr w14:val="tx1"/>
            </w14:solidFill>
          </w14:textFill>
        </w:rPr>
      </w:pPr>
      <w:r>
        <w:rPr>
          <w:color w:val="000000" w:themeColor="text1"/>
          <w14:textFill>
            <w14:solidFill>
              <w14:schemeClr w14:val="tx1"/>
            </w14:solidFill>
          </w14:textFill>
        </w:rPr>
        <w:t>其中7件改扩建工程，5件新建工程：</w:t>
      </w:r>
    </w:p>
    <w:p w14:paraId="61C4A471">
      <w:pPr>
        <w:ind w:firstLine="640"/>
        <w:rPr>
          <w:color w:val="000000" w:themeColor="text1"/>
          <w14:textFill>
            <w14:solidFill>
              <w14:schemeClr w14:val="tx1"/>
            </w14:solidFill>
          </w14:textFill>
        </w:rPr>
      </w:pPr>
      <w:r>
        <w:rPr>
          <w:color w:val="000000" w:themeColor="text1"/>
          <w14:textFill>
            <w14:solidFill>
              <w14:schemeClr w14:val="tx1"/>
            </w14:solidFill>
          </w14:textFill>
        </w:rPr>
        <w:t>梅营小箐坝扩建工程，总库容10.5万m³，保护粮田面积0.05万亩，抗旱灌溉供水量4万m³，总投资450万元；</w:t>
      </w:r>
    </w:p>
    <w:p w14:paraId="5ED1B757">
      <w:pPr>
        <w:ind w:firstLine="640"/>
        <w:rPr>
          <w:color w:val="000000" w:themeColor="text1"/>
          <w14:textFill>
            <w14:solidFill>
              <w14:schemeClr w14:val="tx1"/>
            </w14:solidFill>
          </w14:textFill>
        </w:rPr>
      </w:pPr>
      <w:r>
        <w:rPr>
          <w:color w:val="000000" w:themeColor="text1"/>
          <w14:textFill>
            <w14:solidFill>
              <w14:schemeClr w14:val="tx1"/>
            </w14:solidFill>
          </w14:textFill>
        </w:rPr>
        <w:t>塘子箐水库扩建工程，总库容10.3万m³，保护粮田面积0.07万亩，抗旱灌溉供水量6万m³，总投资800万元；</w:t>
      </w:r>
    </w:p>
    <w:p w14:paraId="250221AB">
      <w:pPr>
        <w:ind w:firstLine="640"/>
        <w:rPr>
          <w:color w:val="000000" w:themeColor="text1"/>
          <w14:textFill>
            <w14:solidFill>
              <w14:schemeClr w14:val="tx1"/>
            </w14:solidFill>
          </w14:textFill>
        </w:rPr>
      </w:pPr>
      <w:r>
        <w:rPr>
          <w:color w:val="000000" w:themeColor="text1"/>
          <w14:textFill>
            <w14:solidFill>
              <w14:schemeClr w14:val="tx1"/>
            </w14:solidFill>
          </w14:textFill>
        </w:rPr>
        <w:t>老黑箐水库扩建工程，总库容12万m³，保护粮田面积0.08万亩，抗旱灌溉供水量5万m³，总投资800万元；</w:t>
      </w:r>
    </w:p>
    <w:p w14:paraId="0403CD1B">
      <w:pPr>
        <w:ind w:firstLine="640"/>
        <w:rPr>
          <w:color w:val="000000" w:themeColor="text1"/>
          <w14:textFill>
            <w14:solidFill>
              <w14:schemeClr w14:val="tx1"/>
            </w14:solidFill>
          </w14:textFill>
        </w:rPr>
      </w:pPr>
      <w:r>
        <w:rPr>
          <w:color w:val="000000" w:themeColor="text1"/>
          <w14:textFill>
            <w14:solidFill>
              <w14:schemeClr w14:val="tx1"/>
            </w14:solidFill>
          </w14:textFill>
        </w:rPr>
        <w:t>大新村大箐坝扩建工程，总库容10.8万m³，保护粮田面积0.08万亩，抗旱灌溉供水量3.5万m³，总投资500万元；</w:t>
      </w:r>
    </w:p>
    <w:p w14:paraId="56B5175C">
      <w:pPr>
        <w:ind w:firstLine="640"/>
        <w:rPr>
          <w:color w:val="000000" w:themeColor="text1"/>
          <w14:textFill>
            <w14:solidFill>
              <w14:schemeClr w14:val="tx1"/>
            </w14:solidFill>
          </w14:textFill>
        </w:rPr>
      </w:pPr>
      <w:r>
        <w:rPr>
          <w:color w:val="000000" w:themeColor="text1"/>
          <w14:textFill>
            <w14:solidFill>
              <w14:schemeClr w14:val="tx1"/>
            </w14:solidFill>
          </w14:textFill>
        </w:rPr>
        <w:t>里士沙河水库扩建工程，总库容12万m³，保护粮田面积0.08万亩，抗旱灌溉供水量4万m³，总投资600万元；</w:t>
      </w:r>
    </w:p>
    <w:p w14:paraId="157A0461">
      <w:pPr>
        <w:ind w:firstLine="640"/>
        <w:rPr>
          <w:color w:val="000000" w:themeColor="text1"/>
          <w14:textFill>
            <w14:solidFill>
              <w14:schemeClr w14:val="tx1"/>
            </w14:solidFill>
          </w14:textFill>
        </w:rPr>
      </w:pPr>
      <w:r>
        <w:rPr>
          <w:color w:val="000000" w:themeColor="text1"/>
          <w14:textFill>
            <w14:solidFill>
              <w14:schemeClr w14:val="tx1"/>
            </w14:solidFill>
          </w14:textFill>
        </w:rPr>
        <w:t>大坡脚水库扩建工程，总库容15.6万m³，保护粮田面积0.15万亩，抗旱灌溉供水量5.8万m³，总投资800万元；</w:t>
      </w:r>
    </w:p>
    <w:p w14:paraId="3FF5A52B">
      <w:pPr>
        <w:ind w:firstLine="640"/>
        <w:rPr>
          <w:color w:val="000000" w:themeColor="text1"/>
          <w14:textFill>
            <w14:solidFill>
              <w14:schemeClr w14:val="tx1"/>
            </w14:solidFill>
          </w14:textFill>
        </w:rPr>
      </w:pPr>
      <w:r>
        <w:rPr>
          <w:color w:val="000000" w:themeColor="text1"/>
          <w14:textFill>
            <w14:solidFill>
              <w14:schemeClr w14:val="tx1"/>
            </w14:solidFill>
          </w14:textFill>
        </w:rPr>
        <w:t>木止箐小坝改扩建工程，总库容12.5万m³，涉及供水人口0.046万人，抗旱人饮供水量0.5万m³，保护粮田面积0.16万亩，抗旱灌溉供水量6万m³，总投资925万元；</w:t>
      </w:r>
    </w:p>
    <w:p w14:paraId="042E9512">
      <w:pPr>
        <w:ind w:firstLine="640"/>
        <w:rPr>
          <w:color w:val="000000" w:themeColor="text1"/>
          <w14:textFill>
            <w14:solidFill>
              <w14:schemeClr w14:val="tx1"/>
            </w14:solidFill>
          </w14:textFill>
        </w:rPr>
      </w:pPr>
      <w:r>
        <w:rPr>
          <w:color w:val="000000" w:themeColor="text1"/>
          <w14:textFill>
            <w14:solidFill>
              <w14:schemeClr w14:val="tx1"/>
            </w14:solidFill>
          </w14:textFill>
        </w:rPr>
        <w:t>新建蔡营水库工程，总库容15万m³，保护粮田面积0.21万亩，抗旱灌溉供水量10万m³，总投资1125万元；</w:t>
      </w:r>
    </w:p>
    <w:p w14:paraId="71E406DC">
      <w:pPr>
        <w:ind w:firstLine="640"/>
        <w:rPr>
          <w:color w:val="000000" w:themeColor="text1"/>
          <w14:textFill>
            <w14:solidFill>
              <w14:schemeClr w14:val="tx1"/>
            </w14:solidFill>
          </w14:textFill>
        </w:rPr>
      </w:pPr>
      <w:r>
        <w:rPr>
          <w:color w:val="000000" w:themeColor="text1"/>
          <w14:textFill>
            <w14:solidFill>
              <w14:schemeClr w14:val="tx1"/>
            </w14:solidFill>
          </w14:textFill>
        </w:rPr>
        <w:t>新建柞树水库工程，总库容18万m³，保护粮田面积0.2万亩，抗旱灌溉供水量6万m³，总投资800万元；</w:t>
      </w:r>
    </w:p>
    <w:p w14:paraId="7B8ECD0B">
      <w:pPr>
        <w:ind w:firstLine="640"/>
        <w:rPr>
          <w:color w:val="000000" w:themeColor="text1"/>
          <w14:textFill>
            <w14:solidFill>
              <w14:schemeClr w14:val="tx1"/>
            </w14:solidFill>
          </w14:textFill>
        </w:rPr>
      </w:pPr>
      <w:r>
        <w:rPr>
          <w:color w:val="000000" w:themeColor="text1"/>
          <w14:textFill>
            <w14:solidFill>
              <w14:schemeClr w14:val="tx1"/>
            </w14:solidFill>
          </w14:textFill>
        </w:rPr>
        <w:t>新建夹马槽水库，总库容28万m³，保护粮田面积0.5万亩，抗旱灌溉供水量8万m³，总投资900万元；</w:t>
      </w:r>
    </w:p>
    <w:p w14:paraId="4E752B69">
      <w:pPr>
        <w:ind w:firstLine="640"/>
        <w:rPr>
          <w:color w:val="000000" w:themeColor="text1"/>
          <w14:textFill>
            <w14:solidFill>
              <w14:schemeClr w14:val="tx1"/>
            </w14:solidFill>
          </w14:textFill>
        </w:rPr>
      </w:pPr>
      <w:r>
        <w:rPr>
          <w:color w:val="000000" w:themeColor="text1"/>
          <w14:textFill>
            <w14:solidFill>
              <w14:schemeClr w14:val="tx1"/>
            </w14:solidFill>
          </w14:textFill>
        </w:rPr>
        <w:t>新建三岔河水库，总库容30万m³，涉及供水人口0.15万人，抗旱人饮供水量1.2万m³，保护粮田面积0.2万亩，抗旱灌溉供水量10万m³，总投资1500万元；</w:t>
      </w:r>
    </w:p>
    <w:p w14:paraId="6C1295F2">
      <w:pPr>
        <w:ind w:firstLine="640"/>
        <w:rPr>
          <w:color w:val="000000" w:themeColor="text1"/>
          <w14:textFill>
            <w14:solidFill>
              <w14:schemeClr w14:val="tx1"/>
            </w14:solidFill>
          </w14:textFill>
        </w:rPr>
      </w:pPr>
      <w:r>
        <w:rPr>
          <w:color w:val="000000" w:themeColor="text1"/>
          <w14:textFill>
            <w14:solidFill>
              <w14:schemeClr w14:val="tx1"/>
            </w14:solidFill>
          </w14:textFill>
        </w:rPr>
        <w:t>新建沙坝田水库:涉及供水人口1.7万人，抗旱人饮供水量16万m³，保护粮田面积0.4万亩，抗旱灌溉供水量12万m³，总投资2800万元。</w:t>
      </w:r>
    </w:p>
    <w:p w14:paraId="0920A029">
      <w:pPr>
        <w:ind w:firstLine="643"/>
        <w:rPr>
          <w:b/>
          <w:color w:val="000000" w:themeColor="text1"/>
          <w14:textFill>
            <w14:solidFill>
              <w14:schemeClr w14:val="tx1"/>
            </w14:solidFill>
          </w14:textFill>
        </w:rPr>
      </w:pPr>
      <w:r>
        <w:rPr>
          <w:b/>
          <w:color w:val="000000" w:themeColor="text1"/>
          <w14:textFill>
            <w14:solidFill>
              <w14:schemeClr w14:val="tx1"/>
            </w14:solidFill>
          </w14:textFill>
        </w:rPr>
        <w:t>引调提水工程：15件，总投资 18053万元。其中连通工程10件，总投资12900万元；其他配套工程5件，总投资18053万元。</w:t>
      </w:r>
    </w:p>
    <w:p w14:paraId="1D4F0A81">
      <w:pPr>
        <w:ind w:firstLine="643"/>
        <w:rPr>
          <w:b/>
          <w:color w:val="000000" w:themeColor="text1"/>
          <w14:textFill>
            <w14:solidFill>
              <w14:schemeClr w14:val="tx1"/>
            </w14:solidFill>
          </w14:textFill>
        </w:rPr>
      </w:pPr>
      <w:r>
        <w:rPr>
          <w:b/>
          <w:color w:val="000000" w:themeColor="text1"/>
          <w14:textFill>
            <w14:solidFill>
              <w14:schemeClr w14:val="tx1"/>
            </w14:solidFill>
          </w14:textFill>
        </w:rPr>
        <w:t>连通工程：10件，总投资12900万元。</w:t>
      </w:r>
    </w:p>
    <w:p w14:paraId="200FF0AC">
      <w:pPr>
        <w:ind w:firstLine="640"/>
        <w:rPr>
          <w:color w:val="000000" w:themeColor="text1"/>
          <w14:textFill>
            <w14:solidFill>
              <w14:schemeClr w14:val="tx1"/>
            </w14:solidFill>
          </w14:textFill>
        </w:rPr>
      </w:pPr>
      <w:r>
        <w:rPr>
          <w:color w:val="000000" w:themeColor="text1"/>
          <w14:textFill>
            <w14:solidFill>
              <w14:schemeClr w14:val="tx1"/>
            </w14:solidFill>
          </w14:textFill>
        </w:rPr>
        <w:t>沙衣水库连通工程，连通长度20 km，投资2000万元；保护人口0.4万人，抗旱人饮供水量3.8万m³，保护粮田面积0.6万亩，抗旱灌溉供水量22万m³，总投资2000万元；</w:t>
      </w:r>
    </w:p>
    <w:p w14:paraId="4C6889DC">
      <w:pPr>
        <w:ind w:firstLine="640"/>
        <w:rPr>
          <w:color w:val="000000" w:themeColor="text1"/>
          <w14:textFill>
            <w14:solidFill>
              <w14:schemeClr w14:val="tx1"/>
            </w14:solidFill>
          </w14:textFill>
        </w:rPr>
      </w:pPr>
      <w:r>
        <w:rPr>
          <w:color w:val="000000" w:themeColor="text1"/>
          <w14:textFill>
            <w14:solidFill>
              <w14:schemeClr w14:val="tx1"/>
            </w14:solidFill>
          </w14:textFill>
        </w:rPr>
        <w:t>米茂水库连通工程，连通长度18 km，投资1800万元；保护人口0.6万人，抗旱人饮供水量4.4万m³，保护粮田面积0.5万亩，抗旱灌溉供水量15万m³，总投资1800万元；</w:t>
      </w:r>
    </w:p>
    <w:p w14:paraId="2CBC2434">
      <w:pPr>
        <w:ind w:firstLine="640"/>
        <w:rPr>
          <w:color w:val="000000" w:themeColor="text1"/>
          <w14:textFill>
            <w14:solidFill>
              <w14:schemeClr w14:val="tx1"/>
            </w14:solidFill>
          </w14:textFill>
        </w:rPr>
      </w:pPr>
      <w:r>
        <w:rPr>
          <w:color w:val="000000" w:themeColor="text1"/>
          <w14:textFill>
            <w14:solidFill>
              <w14:schemeClr w14:val="tx1"/>
            </w14:solidFill>
          </w14:textFill>
        </w:rPr>
        <w:t>东山水库连通工程，连通长度6.2 km，投资620万元；保护人口0.4万人，抗旱人饮供水量4.7万m³，保护粮田面积0.6万亩，抗旱灌溉供水量18万m³，总投资620万元；</w:t>
      </w:r>
    </w:p>
    <w:p w14:paraId="3E1B6274">
      <w:pPr>
        <w:ind w:firstLine="640"/>
        <w:rPr>
          <w:color w:val="000000" w:themeColor="text1"/>
          <w14:textFill>
            <w14:solidFill>
              <w14:schemeClr w14:val="tx1"/>
            </w14:solidFill>
          </w14:textFill>
        </w:rPr>
      </w:pPr>
      <w:r>
        <w:rPr>
          <w:color w:val="000000" w:themeColor="text1"/>
          <w14:textFill>
            <w14:solidFill>
              <w14:schemeClr w14:val="tx1"/>
            </w14:solidFill>
          </w14:textFill>
        </w:rPr>
        <w:t>丰收水库连通工程，连通长度7 km，投资700万元；涉及供水人口0.8万人，抗旱人饮供水量6.3万m³，保护粮田面积0.46万亩，抗旱灌溉供水量13.8万m³，总投资700万元；</w:t>
      </w:r>
    </w:p>
    <w:p w14:paraId="5CEBDD38">
      <w:pPr>
        <w:ind w:firstLine="640"/>
        <w:rPr>
          <w:color w:val="000000" w:themeColor="text1"/>
          <w14:textFill>
            <w14:solidFill>
              <w14:schemeClr w14:val="tx1"/>
            </w14:solidFill>
          </w14:textFill>
        </w:rPr>
      </w:pPr>
      <w:r>
        <w:rPr>
          <w:color w:val="000000" w:themeColor="text1"/>
          <w14:textFill>
            <w14:solidFill>
              <w14:schemeClr w14:val="tx1"/>
            </w14:solidFill>
          </w14:textFill>
        </w:rPr>
        <w:t>合作水库连通工程，连通长度6 km，投资600万元；涉及供水人口0.3万人，抗旱人饮供水量3.15万m³，保护粮田面积0.54万亩，抗旱灌溉供水量16.2万m³，总投资600万元；</w:t>
      </w:r>
    </w:p>
    <w:p w14:paraId="322EC72C">
      <w:pPr>
        <w:ind w:firstLine="640"/>
        <w:rPr>
          <w:color w:val="000000" w:themeColor="text1"/>
          <w14:textFill>
            <w14:solidFill>
              <w14:schemeClr w14:val="tx1"/>
            </w14:solidFill>
          </w14:textFill>
        </w:rPr>
      </w:pPr>
      <w:r>
        <w:rPr>
          <w:color w:val="000000" w:themeColor="text1"/>
          <w14:textFill>
            <w14:solidFill>
              <w14:schemeClr w14:val="tx1"/>
            </w14:solidFill>
          </w14:textFill>
        </w:rPr>
        <w:t>小河水库连通工程，连通长度20 km，投资2000万元；涉及供水人口1.5万人，抗旱人饮供水量12万m³，保护粮田面积0.7万亩，抗旱灌溉供水量21万m³，总投资2000万元；</w:t>
      </w:r>
    </w:p>
    <w:p w14:paraId="79619E66">
      <w:pPr>
        <w:ind w:firstLine="640"/>
        <w:rPr>
          <w:color w:val="000000" w:themeColor="text1"/>
          <w14:textFill>
            <w14:solidFill>
              <w14:schemeClr w14:val="tx1"/>
            </w14:solidFill>
          </w14:textFill>
        </w:rPr>
      </w:pPr>
      <w:r>
        <w:rPr>
          <w:color w:val="000000" w:themeColor="text1"/>
          <w14:textFill>
            <w14:solidFill>
              <w14:schemeClr w14:val="tx1"/>
            </w14:solidFill>
          </w14:textFill>
        </w:rPr>
        <w:t>芦柴冲水库连通工程，连通长度9 km，投资900万元；涉及供水人口1.2万人，抗旱人饮供水量9.6万m³，保护粮田面积0.5万亩，抗旱灌溉供水量15万m³，总投资900万元；</w:t>
      </w:r>
    </w:p>
    <w:p w14:paraId="1C32750E">
      <w:pPr>
        <w:ind w:firstLine="640"/>
        <w:rPr>
          <w:color w:val="000000" w:themeColor="text1"/>
          <w14:textFill>
            <w14:solidFill>
              <w14:schemeClr w14:val="tx1"/>
            </w14:solidFill>
          </w14:textFill>
        </w:rPr>
      </w:pPr>
      <w:r>
        <w:rPr>
          <w:color w:val="000000" w:themeColor="text1"/>
          <w14:textFill>
            <w14:solidFill>
              <w14:schemeClr w14:val="tx1"/>
            </w14:solidFill>
          </w14:textFill>
        </w:rPr>
        <w:t>铜厂龙潭坝水库连通工程，连通长度9.2 km，投资920万元；涉及供水人口1.9万人，抗旱人饮供水量15.2万m³，保护粮田面积0.3万亩，抗旱灌溉供水量9万m³，总投资920万元；</w:t>
      </w:r>
    </w:p>
    <w:p w14:paraId="61FCE1A8">
      <w:pPr>
        <w:ind w:firstLine="640"/>
        <w:rPr>
          <w:color w:val="000000" w:themeColor="text1"/>
          <w14:textFill>
            <w14:solidFill>
              <w14:schemeClr w14:val="tx1"/>
            </w14:solidFill>
          </w14:textFill>
        </w:rPr>
      </w:pPr>
      <w:r>
        <w:rPr>
          <w:color w:val="000000" w:themeColor="text1"/>
          <w14:textFill>
            <w14:solidFill>
              <w14:schemeClr w14:val="tx1"/>
            </w14:solidFill>
          </w14:textFill>
        </w:rPr>
        <w:t>团结水库生活用水供管道（DN150）工程，连通长度9.5 km，投资910万元；涉及供水人口0.5万人，抗旱人饮供水量4万m³，保护粮田面积0.4万亩，抗旱灌溉供水量10万m³，总投资910万元；</w:t>
      </w:r>
    </w:p>
    <w:p w14:paraId="73E0DA66">
      <w:pPr>
        <w:ind w:firstLine="640"/>
        <w:rPr>
          <w:color w:val="000000" w:themeColor="text1"/>
          <w14:textFill>
            <w14:solidFill>
              <w14:schemeClr w14:val="tx1"/>
            </w14:solidFill>
          </w14:textFill>
        </w:rPr>
      </w:pPr>
      <w:r>
        <w:rPr>
          <w:color w:val="000000" w:themeColor="text1"/>
          <w14:textFill>
            <w14:solidFill>
              <w14:schemeClr w14:val="tx1"/>
            </w14:solidFill>
          </w14:textFill>
        </w:rPr>
        <w:t>胜利水库管道引水工程，连通长度29 km，投资2450万元；涉及供水人口1.2万人，抗旱人饮供水量11万m³，保护粮田面积0.7万亩，抗旱灌溉供水量17万m³，总投资2450万元。</w:t>
      </w:r>
    </w:p>
    <w:p w14:paraId="525FD6C3">
      <w:pPr>
        <w:ind w:firstLine="643"/>
        <w:rPr>
          <w:b/>
          <w:color w:val="000000" w:themeColor="text1"/>
          <w14:textFill>
            <w14:solidFill>
              <w14:schemeClr w14:val="tx1"/>
            </w14:solidFill>
          </w14:textFill>
        </w:rPr>
      </w:pPr>
      <w:r>
        <w:rPr>
          <w:b/>
          <w:color w:val="000000" w:themeColor="text1"/>
          <w14:textFill>
            <w14:solidFill>
              <w14:schemeClr w14:val="tx1"/>
            </w14:solidFill>
          </w14:textFill>
        </w:rPr>
        <w:t>其他配套工程：5件，总投资5153万元。</w:t>
      </w:r>
    </w:p>
    <w:p w14:paraId="6BB88561">
      <w:pPr>
        <w:ind w:firstLine="640"/>
        <w:rPr>
          <w:color w:val="000000" w:themeColor="text1"/>
          <w14:textFill>
            <w14:solidFill>
              <w14:schemeClr w14:val="tx1"/>
            </w14:solidFill>
          </w14:textFill>
        </w:rPr>
      </w:pPr>
      <w:r>
        <w:rPr>
          <w:color w:val="000000" w:themeColor="text1"/>
          <w14:textFill>
            <w14:solidFill>
              <w14:schemeClr w14:val="tx1"/>
            </w14:solidFill>
          </w14:textFill>
        </w:rPr>
        <w:t>浦贝乡扒河沿线村组抗旱引提水工程，输水线路长度19.6 km，投资1600万元；涉及供水人口0.26万人，抗旱人饮供水量6万m³，保护粮田面积0.2万亩，抗旱灌溉供水量11万m³，总投资1600万元；</w:t>
      </w:r>
    </w:p>
    <w:p w14:paraId="39785ADD">
      <w:pPr>
        <w:ind w:firstLine="640"/>
        <w:rPr>
          <w:color w:val="000000" w:themeColor="text1"/>
          <w14:textFill>
            <w14:solidFill>
              <w14:schemeClr w14:val="tx1"/>
            </w14:solidFill>
          </w14:textFill>
        </w:rPr>
      </w:pPr>
      <w:r>
        <w:rPr>
          <w:color w:val="000000" w:themeColor="text1"/>
          <w14:textFill>
            <w14:solidFill>
              <w14:schemeClr w14:val="tx1"/>
            </w14:solidFill>
          </w14:textFill>
        </w:rPr>
        <w:t>河尾集中供水工程，输水线路长度15 km，投资1500万元；涉及供水人口0.3万人，抗旱人饮供水量2.4万m³，保护粮田面积0.3万亩，抗旱灌溉供水量9万m³，总投资1500万元；</w:t>
      </w:r>
    </w:p>
    <w:p w14:paraId="661884C0">
      <w:pPr>
        <w:ind w:firstLine="640"/>
        <w:rPr>
          <w:color w:val="000000" w:themeColor="text1"/>
          <w14:textFill>
            <w14:solidFill>
              <w14:schemeClr w14:val="tx1"/>
            </w14:solidFill>
          </w14:textFill>
        </w:rPr>
      </w:pPr>
      <w:r>
        <w:rPr>
          <w:color w:val="000000" w:themeColor="text1"/>
          <w14:textFill>
            <w14:solidFill>
              <w14:schemeClr w14:val="tx1"/>
            </w14:solidFill>
          </w14:textFill>
        </w:rPr>
        <w:t>十街乡贾姑摆衣村光伏提水工程，输水线路长度5 km，投资500万元；保护粮田面积0.15万亩，抗旱灌溉供水量4.5万m³，总投资500万元；</w:t>
      </w:r>
    </w:p>
    <w:p w14:paraId="0F012F1C">
      <w:pPr>
        <w:ind w:firstLine="640"/>
        <w:rPr>
          <w:color w:val="000000" w:themeColor="text1"/>
          <w14:textFill>
            <w14:solidFill>
              <w14:schemeClr w14:val="tx1"/>
            </w14:solidFill>
          </w14:textFill>
        </w:rPr>
      </w:pPr>
      <w:r>
        <w:rPr>
          <w:color w:val="000000" w:themeColor="text1"/>
          <w14:textFill>
            <w14:solidFill>
              <w14:schemeClr w14:val="tx1"/>
            </w14:solidFill>
          </w14:textFill>
        </w:rPr>
        <w:t>绿汁镇龙格利大鹿箐提水工程，输水线路长度12 km，投资550万元；涉及供水人口0.32万人，抗旱人饮供水量4.5万m³，总投资550万元。</w:t>
      </w:r>
    </w:p>
    <w:p w14:paraId="211F7257">
      <w:pPr>
        <w:ind w:firstLine="640"/>
        <w:rPr>
          <w:color w:val="000000" w:themeColor="text1"/>
          <w14:textFill>
            <w14:solidFill>
              <w14:schemeClr w14:val="tx1"/>
            </w14:solidFill>
          </w14:textFill>
        </w:rPr>
      </w:pPr>
      <w:r>
        <w:rPr>
          <w:color w:val="000000" w:themeColor="text1"/>
          <w14:textFill>
            <w14:solidFill>
              <w14:schemeClr w14:val="tx1"/>
            </w14:solidFill>
          </w14:textFill>
        </w:rPr>
        <w:t>小街乡绿汁江提水工程:输水线路长度36.6km、投资1003万元；涉及供水人口0.31万人，抗旱人饮供水量3.2万m³，保护粮田面积0.11万亩，抗旱灌溉供水量8万m³，总投资1003万元；</w:t>
      </w:r>
    </w:p>
    <w:p w14:paraId="0A2F5225">
      <w:pPr>
        <w:pStyle w:val="47"/>
        <w:rPr>
          <w:color w:val="000000" w:themeColor="text1"/>
          <w14:textFill>
            <w14:solidFill>
              <w14:schemeClr w14:val="tx1"/>
            </w14:solidFill>
          </w14:textFill>
        </w:rPr>
      </w:pPr>
      <w:r>
        <w:rPr>
          <w:color w:val="000000" w:themeColor="text1"/>
          <w14:textFill>
            <w14:solidFill>
              <w14:schemeClr w14:val="tx1"/>
            </w14:solidFill>
          </w14:textFill>
        </w:rPr>
        <w:t>市备用水源工程建设</w:t>
      </w:r>
    </w:p>
    <w:p w14:paraId="7A58FB2B">
      <w:pPr>
        <w:ind w:firstLine="643"/>
        <w:rPr>
          <w:b/>
          <w:color w:val="000000" w:themeColor="text1"/>
          <w14:textFill>
            <w14:solidFill>
              <w14:schemeClr w14:val="tx1"/>
            </w14:solidFill>
          </w14:textFill>
        </w:rPr>
      </w:pPr>
      <w:r>
        <w:rPr>
          <w:b/>
          <w:color w:val="000000" w:themeColor="text1"/>
          <w14:textFill>
            <w14:solidFill>
              <w14:schemeClr w14:val="tx1"/>
            </w14:solidFill>
          </w14:textFill>
        </w:rPr>
        <w:t>城市备用水源建设工程2件，总投资5882.4万元。</w:t>
      </w:r>
    </w:p>
    <w:p w14:paraId="5D6162D4">
      <w:pPr>
        <w:ind w:firstLine="640"/>
        <w:rPr>
          <w:color w:val="000000" w:themeColor="text1"/>
          <w14:textFill>
            <w14:solidFill>
              <w14:schemeClr w14:val="tx1"/>
            </w14:solidFill>
          </w14:textFill>
        </w:rPr>
      </w:pPr>
      <w:r>
        <w:rPr>
          <w:color w:val="000000" w:themeColor="text1"/>
          <w14:textFill>
            <w14:solidFill>
              <w14:schemeClr w14:val="tx1"/>
            </w14:solidFill>
          </w14:textFill>
        </w:rPr>
        <w:t>新建龙口坝水库工程，工程规模为小（2）型，水源为龙口坝水库，水源水质满足要求，工程建成后可实现150天连续供水，供水能力6400m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/d，保障人口达2万人，投资4500万元；</w:t>
      </w:r>
    </w:p>
    <w:p w14:paraId="7E94A554">
      <w:pPr>
        <w:ind w:firstLine="640"/>
        <w:rPr>
          <w:color w:val="000000" w:themeColor="text1"/>
          <w14:textFill>
            <w14:solidFill>
              <w14:schemeClr w14:val="tx1"/>
            </w14:solidFill>
          </w14:textFill>
        </w:rPr>
      </w:pPr>
      <w:r>
        <w:rPr>
          <w:color w:val="000000" w:themeColor="text1"/>
          <w14:textFill>
            <w14:solidFill>
              <w14:schemeClr w14:val="tx1"/>
            </w14:solidFill>
          </w14:textFill>
        </w:rPr>
        <w:t>大谷厂水库应急提水工程，工程规模为小（2）型，水源为大谷厂水库，水源水质满足要求，工程建成后可实现180天连续供水，供水能力3840m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/d，保障人口达1.2万人，投资1382.4万元。</w:t>
      </w:r>
    </w:p>
    <w:p w14:paraId="1E047DD4">
      <w:pPr>
        <w:pStyle w:val="47"/>
        <w:rPr>
          <w:color w:val="000000" w:themeColor="text1"/>
          <w14:textFill>
            <w14:solidFill>
              <w14:schemeClr w14:val="tx1"/>
            </w14:solidFill>
          </w14:textFill>
        </w:rPr>
      </w:pPr>
      <w:r>
        <w:rPr>
          <w:color w:val="000000" w:themeColor="text1"/>
          <w14:textFill>
            <w14:solidFill>
              <w14:schemeClr w14:val="tx1"/>
            </w14:solidFill>
          </w14:textFill>
        </w:rPr>
        <w:t>中型灌区续建配套与现代化改造工程</w:t>
      </w:r>
    </w:p>
    <w:p w14:paraId="514518D0">
      <w:pPr>
        <w:ind w:firstLine="640"/>
        <w:rPr>
          <w:color w:val="000000" w:themeColor="text1"/>
          <w14:textFill>
            <w14:solidFill>
              <w14:schemeClr w14:val="tx1"/>
            </w14:solidFill>
          </w14:textFill>
        </w:rPr>
      </w:pPr>
      <w:r>
        <w:rPr>
          <w:color w:val="000000" w:themeColor="text1"/>
          <w14:textFill>
            <w14:solidFill>
              <w14:schemeClr w14:val="tx1"/>
            </w14:solidFill>
          </w14:textFill>
        </w:rPr>
        <w:t>新建扒河中型灌区1件，利用岔河水库、大谷厂水库作为灌区水源点，改造渠首工程6处，改造渠道304 km，新建管道226 km，改造管道6.8 km，新建排水沟6 km，改造排水沟21 km，新增灌溉面积0.45万亩，改善灌溉面积4.98万亩，改善排涝面积0.40万亩，新增供水能力1026万m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，年新增节水能力864万m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，年新增粮食生产能力615万kg，工程投资49478万元。</w:t>
      </w:r>
    </w:p>
    <w:p w14:paraId="0E0CFCAD">
      <w:pPr>
        <w:pStyle w:val="47"/>
        <w:rPr>
          <w:color w:val="000000" w:themeColor="text1"/>
          <w14:textFill>
            <w14:solidFill>
              <w14:schemeClr w14:val="tx1"/>
            </w14:solidFill>
          </w14:textFill>
        </w:rPr>
      </w:pPr>
      <w:r>
        <w:rPr>
          <w:color w:val="000000" w:themeColor="text1"/>
          <w14:textFill>
            <w14:solidFill>
              <w14:schemeClr w14:val="tx1"/>
            </w14:solidFill>
          </w14:textFill>
        </w:rPr>
        <w:t>农村人饮供水保障专项规划</w:t>
      </w:r>
    </w:p>
    <w:p w14:paraId="04EA486F">
      <w:pPr>
        <w:ind w:firstLine="640"/>
        <w:rPr>
          <w:color w:val="000000" w:themeColor="text1"/>
          <w14:textFill>
            <w14:solidFill>
              <w14:schemeClr w14:val="tx1"/>
            </w14:solidFill>
          </w14:textFill>
        </w:rPr>
      </w:pPr>
      <w:r>
        <w:rPr>
          <w:color w:val="000000" w:themeColor="text1"/>
          <w14:textFill>
            <w14:solidFill>
              <w14:schemeClr w14:val="tx1"/>
            </w14:solidFill>
          </w14:textFill>
        </w:rPr>
        <w:t>根据上级要求，编制了农村供水保障专项规划，本次“十四五”期间易门县共计新建、管网延伸和改造配套各类农村供水工程169处，解决易门县因水源变迁、水质污染、自然灾害等造成饮水安全反复的农村人口饮水问题，工程覆盖人口10.4525万人，其中新增覆盖人口1.4231万人，设计供水规模9860.06 m³/d；其中新增供水规模1423.1m³/d。划定水源保护区或保护范围169处，安装水质净化和消毒设备各98台，新增及更换配套管网746.586 km，安装进、出水厂水计量装置182块，入户水表14348块，建设规模化水厂水质化验室1处，建设规模化水厂自动化监控系统5处。</w:t>
      </w:r>
    </w:p>
    <w:p w14:paraId="4C5B4520">
      <w:pPr>
        <w:ind w:firstLine="640"/>
        <w:rPr>
          <w:color w:val="000000" w:themeColor="text1"/>
          <w14:textFill>
            <w14:solidFill>
              <w14:schemeClr w14:val="tx1"/>
            </w14:solidFill>
          </w14:textFill>
        </w:rPr>
      </w:pPr>
      <w:r>
        <w:rPr>
          <w:color w:val="000000" w:themeColor="text1"/>
          <w14:textFill>
            <w14:solidFill>
              <w14:schemeClr w14:val="tx1"/>
            </w14:solidFill>
          </w14:textFill>
        </w:rPr>
        <w:t>规划总投资13098.75万元。其中水源工程建设投资5980万元，水源工程划、立、治投资1048万元，水厂投资1744.7万元（含净化设备投资1325.9万元及消毒设备投资239.1万元），输配水管网投资4111.91万元，计量装置投资119.14万元，规模化水厂水质化验室建设投资5.0万元，规模化水厂自动化监控系统建设投资90.0万元。资金来源主要为中央投资，其次通过省、市、县政府投资、贷款、社会融资、群众投入等。</w:t>
      </w:r>
      <w:r>
        <w:rPr>
          <w:color w:val="000000" w:themeColor="text1"/>
          <w14:textFill>
            <w14:solidFill>
              <w14:schemeClr w14:val="tx1"/>
            </w14:solidFill>
          </w14:textFill>
        </w:rPr>
        <w:br w:type="page"/>
      </w:r>
    </w:p>
    <w:p w14:paraId="73BF70BE">
      <w:pPr>
        <w:pStyle w:val="45"/>
        <w:rPr>
          <w:color w:val="000000" w:themeColor="text1"/>
          <w14:textFill>
            <w14:solidFill>
              <w14:schemeClr w14:val="tx1"/>
            </w14:solidFill>
          </w14:textFill>
        </w:rPr>
      </w:pPr>
      <w:bookmarkStart w:id="111" w:name="_Toc16067"/>
      <w:bookmarkStart w:id="112" w:name="_Toc32166"/>
      <w:r>
        <w:rPr>
          <w:color w:val="000000" w:themeColor="text1"/>
          <w14:textFill>
            <w14:solidFill>
              <w14:schemeClr w14:val="tx1"/>
            </w14:solidFill>
          </w14:textFill>
        </w:rPr>
        <w:t>增强抗旱应急能力</w:t>
      </w:r>
      <w:bookmarkEnd w:id="110"/>
      <w:bookmarkEnd w:id="111"/>
      <w:bookmarkEnd w:id="112"/>
    </w:p>
    <w:p w14:paraId="3219E4BC">
      <w:pPr>
        <w:ind w:firstLine="640"/>
        <w:rPr>
          <w:color w:val="000000" w:themeColor="text1"/>
          <w14:textFill>
            <w14:solidFill>
              <w14:schemeClr w14:val="tx1"/>
            </w14:solidFill>
          </w14:textFill>
        </w:rPr>
      </w:pPr>
      <w:bookmarkStart w:id="113" w:name="_Toc5260"/>
      <w:r>
        <w:rPr>
          <w:color w:val="000000" w:themeColor="text1"/>
          <w14:textFill>
            <w14:solidFill>
              <w14:schemeClr w14:val="tx1"/>
            </w14:solidFill>
          </w14:textFill>
        </w:rPr>
        <w:t>抗旱工作事关易门县经济社会发展大局、事关人民群众生命财产安全、事关社会稳定，责任艰巨。近年来，易门县受全球性气候变化的影响，高温干旱少雨让易门县抗旱形势更加严峻，增强抗旱应急能力不能容缓，可通过下列措施来增强易门县抗旱应急能力：</w:t>
      </w:r>
    </w:p>
    <w:p w14:paraId="242FE1E2">
      <w:pPr>
        <w:ind w:firstLine="640"/>
        <w:rPr>
          <w:color w:val="000000" w:themeColor="text1"/>
          <w14:textFill>
            <w14:solidFill>
              <w14:schemeClr w14:val="tx1"/>
            </w14:solidFill>
          </w14:textFill>
        </w:rPr>
      </w:pPr>
      <w:r>
        <w:rPr>
          <w:color w:val="000000" w:themeColor="text1"/>
          <w14:textFill>
            <w14:solidFill>
              <w14:schemeClr w14:val="tx1"/>
            </w14:solidFill>
          </w14:textFill>
        </w:rPr>
        <w:t>（1）提高现有工程的抗旱效益，在原有基础上有规划地进行抗旱工程建设。</w:t>
      </w:r>
      <w:r>
        <w:rPr>
          <w:rFonts w:hint="eastAsia"/>
          <w:color w:val="000000" w:themeColor="text1"/>
          <w:lang w:eastAsia="zh-CN"/>
          <w14:textFill>
            <w14:solidFill>
              <w14:schemeClr w14:val="tx1"/>
            </w14:solidFill>
          </w14:textFill>
        </w:rPr>
        <w:t>截至</w:t>
      </w:r>
      <w:r>
        <w:rPr>
          <w:color w:val="000000" w:themeColor="text1"/>
          <w14:textFill>
            <w14:solidFill>
              <w14:schemeClr w14:val="tx1"/>
            </w14:solidFill>
          </w14:textFill>
        </w:rPr>
        <w:t>2018年，全县已建成中型水库2座、小（1）型水库10座、小（2）型水库62座、小塘坝133座、水池水窖6.3万个，引水工程617件，提水工程62件，年蓄水能力10545.92万m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，年可供水能力达1.2亿m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。要充分发挥上述水利工程的抗旱效益，“十四五”水安全保障规划易门县从乡镇抗旱水源工程、城市备用水源工程、中型灌区续建配套与现代化改革工程和农村饮水安全巩固提升工程进行抗旱工程建设；</w:t>
      </w:r>
    </w:p>
    <w:p w14:paraId="68628769">
      <w:pPr>
        <w:ind w:firstLine="640"/>
        <w:rPr>
          <w:color w:val="000000" w:themeColor="text1"/>
          <w14:textFill>
            <w14:solidFill>
              <w14:schemeClr w14:val="tx1"/>
            </w14:solidFill>
          </w14:textFill>
        </w:rPr>
      </w:pPr>
      <w:r>
        <w:rPr>
          <w:color w:val="000000" w:themeColor="text1"/>
          <w14:textFill>
            <w14:solidFill>
              <w14:schemeClr w14:val="tx1"/>
            </w14:solidFill>
          </w14:textFill>
        </w:rPr>
        <w:t>（2）大力发展节水型社会，加大节水新技术、新工艺的研究和应用，建设和推广节水设施。研究人工降雨技术和一些节水措施，例如人工降雨，喷滴灌、地膜覆盖等，同时也可以暂时利用一下那些质量较差的水源，如劣质地下水等。</w:t>
      </w:r>
    </w:p>
    <w:p w14:paraId="312672F5">
      <w:pPr>
        <w:ind w:firstLine="640"/>
        <w:rPr>
          <w:color w:val="000000" w:themeColor="text1"/>
          <w14:textFill>
            <w14:solidFill>
              <w14:schemeClr w14:val="tx1"/>
            </w14:solidFill>
          </w14:textFill>
        </w:rPr>
      </w:pPr>
      <w:r>
        <w:rPr>
          <w:color w:val="000000" w:themeColor="text1"/>
          <w14:textFill>
            <w14:solidFill>
              <w14:schemeClr w14:val="tx1"/>
            </w14:solidFill>
          </w14:textFill>
        </w:rPr>
        <w:t>（3）发展旱地农业技术，建立农业抗旱耕作、抗旱栽培新体系。改进耕作制度，改便作物构成，选育耐旱品种，充分利用有限的降雨；</w:t>
      </w:r>
    </w:p>
    <w:p w14:paraId="348F3D78">
      <w:pPr>
        <w:ind w:firstLine="640"/>
        <w:rPr>
          <w:color w:val="000000" w:themeColor="text1"/>
          <w14:textFill>
            <w14:solidFill>
              <w14:schemeClr w14:val="tx1"/>
            </w14:solidFill>
          </w14:textFill>
        </w:rPr>
      </w:pPr>
      <w:r>
        <w:rPr>
          <w:color w:val="000000" w:themeColor="text1"/>
          <w14:textFill>
            <w14:solidFill>
              <w14:schemeClr w14:val="tx1"/>
            </w14:solidFill>
          </w14:textFill>
        </w:rPr>
        <w:t>（4）搞好水资源调配，优化配置水资源，提高水资源的利用率；</w:t>
      </w:r>
    </w:p>
    <w:p w14:paraId="032D31B1">
      <w:pPr>
        <w:ind w:firstLine="640"/>
        <w:rPr>
          <w:color w:val="000000" w:themeColor="text1"/>
          <w14:textFill>
            <w14:solidFill>
              <w14:schemeClr w14:val="tx1"/>
            </w14:solidFill>
          </w14:textFill>
        </w:rPr>
      </w:pPr>
      <w:r>
        <w:rPr>
          <w:color w:val="000000" w:themeColor="text1"/>
          <w14:textFill>
            <w14:solidFill>
              <w14:schemeClr w14:val="tx1"/>
            </w14:solidFill>
          </w14:textFill>
        </w:rPr>
        <w:t>（5）植树造林，改善区域气候，减少蒸发，降低干旱风的危害。</w:t>
      </w:r>
    </w:p>
    <w:p w14:paraId="5430DF00">
      <w:pPr>
        <w:ind w:firstLine="640"/>
        <w:rPr>
          <w:color w:val="000000" w:themeColor="text1"/>
          <w14:textFill>
            <w14:solidFill>
              <w14:schemeClr w14:val="tx1"/>
            </w14:solidFill>
          </w14:textFill>
        </w:rPr>
      </w:pPr>
      <w:r>
        <w:rPr>
          <w:color w:val="000000" w:themeColor="text1"/>
          <w14:textFill>
            <w14:solidFill>
              <w14:schemeClr w14:val="tx1"/>
            </w14:solidFill>
          </w14:textFill>
        </w:rPr>
        <w:t>防治干旱就要防止水土流失，其具体的措施为：尽可能多地植树种草；沙地用来种草和树防止土地沙化；还要防止土壤板结会更不利于种植农作物的生长；多用农家肥尽量少用那些无机肥；应该以年为单位隔年种植这有利于保持土壤肥力；含磷的一类化肥尽量不要用，因为当它们随雨水进入河流时会使水富营养化，从而使一些河水中的藻类大量繁殖，进而会破坏生态平衡。</w:t>
      </w:r>
    </w:p>
    <w:p w14:paraId="268FC036">
      <w:pPr>
        <w:ind w:firstLine="720"/>
        <w:rPr>
          <w:rFonts w:eastAsia="黑体" w:cs="黑体"/>
          <w:color w:val="000000" w:themeColor="text1"/>
          <w:sz w:val="36"/>
          <w:szCs w:val="36"/>
          <w14:textFill>
            <w14:solidFill>
              <w14:schemeClr w14:val="tx1"/>
            </w14:solidFill>
          </w14:textFill>
        </w:rPr>
      </w:pPr>
      <w:r>
        <w:rPr>
          <w:rFonts w:eastAsia="黑体" w:cs="黑体"/>
          <w:color w:val="000000" w:themeColor="text1"/>
          <w:sz w:val="36"/>
          <w:szCs w:val="36"/>
          <w14:textFill>
            <w14:solidFill>
              <w14:schemeClr w14:val="tx1"/>
            </w14:solidFill>
          </w14:textFill>
        </w:rPr>
        <w:br w:type="page"/>
      </w:r>
    </w:p>
    <w:p w14:paraId="0523B40B">
      <w:pPr>
        <w:pStyle w:val="43"/>
        <w:rPr>
          <w:color w:val="000000" w:themeColor="text1"/>
          <w14:textFill>
            <w14:solidFill>
              <w14:schemeClr w14:val="tx1"/>
            </w14:solidFill>
          </w14:textFill>
        </w:rPr>
      </w:pPr>
      <w:bookmarkStart w:id="114" w:name="_Toc6451"/>
      <w:bookmarkStart w:id="115" w:name="_Toc18878"/>
      <w:r>
        <w:rPr>
          <w:color w:val="000000" w:themeColor="text1"/>
          <w14:textFill>
            <w14:solidFill>
              <w14:schemeClr w14:val="tx1"/>
            </w14:solidFill>
          </w14:textFill>
        </w:rPr>
        <w:t>着眼未来，建立重大战略的保障体系</w:t>
      </w:r>
      <w:bookmarkEnd w:id="113"/>
      <w:bookmarkEnd w:id="114"/>
      <w:bookmarkEnd w:id="115"/>
    </w:p>
    <w:p w14:paraId="3A5B7CEB">
      <w:pPr>
        <w:pStyle w:val="45"/>
        <w:rPr>
          <w:color w:val="000000" w:themeColor="text1"/>
          <w14:textFill>
            <w14:solidFill>
              <w14:schemeClr w14:val="tx1"/>
            </w14:solidFill>
          </w14:textFill>
        </w:rPr>
      </w:pPr>
      <w:bookmarkStart w:id="116" w:name="_Toc7578"/>
      <w:bookmarkStart w:id="117" w:name="_Toc20815"/>
      <w:bookmarkStart w:id="118" w:name="_Toc12667"/>
      <w:r>
        <w:rPr>
          <w:color w:val="000000" w:themeColor="text1"/>
          <w14:textFill>
            <w14:solidFill>
              <w14:schemeClr w14:val="tx1"/>
            </w14:solidFill>
          </w14:textFill>
        </w:rPr>
        <w:t>重大战略保障体系的建立</w:t>
      </w:r>
      <w:bookmarkEnd w:id="116"/>
      <w:bookmarkEnd w:id="117"/>
      <w:bookmarkEnd w:id="118"/>
    </w:p>
    <w:p w14:paraId="21FA232C">
      <w:pPr>
        <w:ind w:firstLine="640"/>
        <w:rPr>
          <w:color w:val="000000" w:themeColor="text1"/>
          <w14:textFill>
            <w14:solidFill>
              <w14:schemeClr w14:val="tx1"/>
            </w14:solidFill>
          </w14:textFill>
        </w:rPr>
      </w:pPr>
      <w:bookmarkStart w:id="119" w:name="_Toc12889"/>
      <w:r>
        <w:rPr>
          <w:color w:val="000000" w:themeColor="text1"/>
          <w14:textFill>
            <w14:solidFill>
              <w14:schemeClr w14:val="tx1"/>
            </w14:solidFill>
          </w14:textFill>
        </w:rPr>
        <w:t>结合区域经济发展，针对区域水安全保障关键问题，统筹地方需求，坚持以水定需，因地制宜、分类施策，以滇中城市群供水安全保障为核心，谋划一批以滇中引水为骨干，以易门干线为支撑的重点工程，多方面、多渠道探索利用途径和通道，系统谋划用水方案，为区域经济社会高质量跨越式发展奠定坚实基础，为国家、省级重大战略实施提供支撑和保障。</w:t>
      </w:r>
    </w:p>
    <w:p w14:paraId="215CEDA0">
      <w:pPr>
        <w:pStyle w:val="45"/>
        <w:rPr>
          <w:color w:val="000000" w:themeColor="text1"/>
          <w14:textFill>
            <w14:solidFill>
              <w14:schemeClr w14:val="tx1"/>
            </w14:solidFill>
          </w14:textFill>
        </w:rPr>
      </w:pPr>
      <w:bookmarkStart w:id="120" w:name="_Toc24998"/>
      <w:bookmarkStart w:id="121" w:name="_Toc30288"/>
      <w:r>
        <w:rPr>
          <w:color w:val="000000" w:themeColor="text1"/>
          <w14:textFill>
            <w14:solidFill>
              <w14:schemeClr w14:val="tx1"/>
            </w14:solidFill>
          </w14:textFill>
        </w:rPr>
        <w:t>加强水资源战略储备项目建设</w:t>
      </w:r>
      <w:bookmarkEnd w:id="119"/>
      <w:bookmarkEnd w:id="120"/>
      <w:bookmarkEnd w:id="121"/>
    </w:p>
    <w:p w14:paraId="04E4C8EC">
      <w:pPr>
        <w:ind w:firstLine="640"/>
        <w:rPr>
          <w:color w:val="000000" w:themeColor="text1"/>
          <w14:textFill>
            <w14:solidFill>
              <w14:schemeClr w14:val="tx1"/>
            </w14:solidFill>
          </w14:textFill>
        </w:rPr>
      </w:pPr>
      <w:bookmarkStart w:id="122" w:name="_Toc15986"/>
      <w:r>
        <w:rPr>
          <w:color w:val="000000" w:themeColor="text1"/>
          <w14:textFill>
            <w14:solidFill>
              <w14:schemeClr w14:val="tx1"/>
            </w14:solidFill>
          </w14:textFill>
        </w:rPr>
        <w:t>易门干线（易门段）从白邑村分水口取水(取水流量2.60 m³/s)后布置干线全程自流供水至白龙水库，调蓄后自流供六街水厂,再由白龙水库隧洞出口引水至岔河水库进行调节，从岔河水库布置下级分干线，供水麦子田水厂、公鸡山水厂和易门二水厂。共架设管道21.8公里。</w:t>
      </w:r>
    </w:p>
    <w:p w14:paraId="0125C67E">
      <w:pPr>
        <w:ind w:firstLine="640"/>
        <w:rPr>
          <w:color w:val="000000" w:themeColor="text1"/>
          <w14:textFill>
            <w14:solidFill>
              <w14:schemeClr w14:val="tx1"/>
            </w14:solidFill>
          </w14:textFill>
        </w:rPr>
      </w:pPr>
      <w:r>
        <w:rPr>
          <w:color w:val="000000" w:themeColor="text1"/>
          <w14:textFill>
            <w14:solidFill>
              <w14:schemeClr w14:val="tx1"/>
            </w14:solidFill>
          </w14:textFill>
        </w:rPr>
        <w:t>白龙水库扩建后，滇中引水充蓄水量入库，可解决项目区（六街、龙泉、浦贝、十街及老吾）设计水平年48473人农村人口生活用水和4.68万亩耕地灌溉用水困难，供给易门工业园区生产用水693.5万m</w:t>
      </w:r>
      <w:r>
        <w:rPr>
          <w:rFonts w:cs="Cambria"/>
          <w:color w:val="000000" w:themeColor="text1"/>
          <w14:textFill>
            <w14:solidFill>
              <w14:schemeClr w14:val="tx1"/>
            </w14:solidFill>
          </w14:textFill>
        </w:rPr>
        <w:t>³</w:t>
      </w:r>
      <w:r>
        <w:rPr>
          <w:color w:val="000000" w:themeColor="text1"/>
          <w14:textFill>
            <w14:solidFill>
              <w14:schemeClr w14:val="tx1"/>
            </w14:solidFill>
          </w14:textFill>
        </w:rPr>
        <w:t>。</w:t>
      </w:r>
    </w:p>
    <w:p w14:paraId="4FF21178">
      <w:pPr>
        <w:ind w:firstLine="640"/>
        <w:rPr>
          <w:color w:val="000000" w:themeColor="text1"/>
          <w14:textFill>
            <w14:solidFill>
              <w14:schemeClr w14:val="tx1"/>
            </w14:solidFill>
          </w14:textFill>
        </w:rPr>
      </w:pPr>
      <w:r>
        <w:rPr>
          <w:color w:val="000000" w:themeColor="text1"/>
          <w14:textFill>
            <w14:solidFill>
              <w14:schemeClr w14:val="tx1"/>
            </w14:solidFill>
          </w14:textFill>
        </w:rPr>
        <w:t>供水管道布置为：白龙水库→二街→六街→丰收水库→韩所→西冲→浦贝→阿姑→十街→老吾上百个村寨的4.68万亩农田灌溉和4.8473万人生活用水实现供水。</w:t>
      </w:r>
    </w:p>
    <w:p w14:paraId="213292E0">
      <w:pPr>
        <w:ind w:firstLine="640"/>
        <w:rPr>
          <w:color w:val="000000" w:themeColor="text1"/>
          <w14:textFill>
            <w14:solidFill>
              <w14:schemeClr w14:val="tx1"/>
            </w14:solidFill>
          </w14:textFill>
        </w:rPr>
      </w:pPr>
      <w:r>
        <w:rPr>
          <w:color w:val="000000" w:themeColor="text1"/>
          <w14:textFill>
            <w14:solidFill>
              <w14:schemeClr w14:val="tx1"/>
            </w14:solidFill>
          </w14:textFill>
        </w:rPr>
        <w:t>滇中引水工程易门县受水区总供水量5011万立方米，其中:城镇生活供水888万立方米，农业供水1780万立方米，工业供水2343万立方米，总投资40000万元。</w:t>
      </w:r>
    </w:p>
    <w:p w14:paraId="6FC403F6">
      <w:pPr>
        <w:ind w:firstLine="720"/>
        <w:rPr>
          <w:rFonts w:eastAsia="黑体" w:cs="黑体"/>
          <w:color w:val="000000" w:themeColor="text1"/>
          <w:sz w:val="36"/>
          <w:szCs w:val="36"/>
          <w14:textFill>
            <w14:solidFill>
              <w14:schemeClr w14:val="tx1"/>
            </w14:solidFill>
          </w14:textFill>
        </w:rPr>
      </w:pPr>
      <w:r>
        <w:rPr>
          <w:rFonts w:eastAsia="黑体" w:cs="黑体"/>
          <w:color w:val="000000" w:themeColor="text1"/>
          <w:sz w:val="36"/>
          <w:szCs w:val="36"/>
          <w14:textFill>
            <w14:solidFill>
              <w14:schemeClr w14:val="tx1"/>
            </w14:solidFill>
          </w14:textFill>
        </w:rPr>
        <w:br w:type="page"/>
      </w:r>
    </w:p>
    <w:p w14:paraId="634D36D1">
      <w:pPr>
        <w:pStyle w:val="43"/>
        <w:rPr>
          <w:color w:val="000000" w:themeColor="text1"/>
          <w14:textFill>
            <w14:solidFill>
              <w14:schemeClr w14:val="tx1"/>
            </w14:solidFill>
          </w14:textFill>
        </w:rPr>
      </w:pPr>
      <w:bookmarkStart w:id="123" w:name="_Toc5953"/>
      <w:bookmarkStart w:id="124" w:name="_Toc15311"/>
      <w:r>
        <w:rPr>
          <w:color w:val="000000" w:themeColor="text1"/>
          <w14:textFill>
            <w14:solidFill>
              <w14:schemeClr w14:val="tx1"/>
            </w14:solidFill>
          </w14:textFill>
        </w:rPr>
        <w:t>稳步推进，健全调控精准的智慧水利体系</w:t>
      </w:r>
      <w:bookmarkEnd w:id="122"/>
      <w:bookmarkEnd w:id="123"/>
      <w:bookmarkEnd w:id="124"/>
    </w:p>
    <w:p w14:paraId="2FB5BC65">
      <w:pPr>
        <w:pStyle w:val="45"/>
        <w:rPr>
          <w:color w:val="000000" w:themeColor="text1"/>
          <w14:textFill>
            <w14:solidFill>
              <w14:schemeClr w14:val="tx1"/>
            </w14:solidFill>
          </w14:textFill>
        </w:rPr>
      </w:pPr>
      <w:bookmarkStart w:id="125" w:name="_Toc31584"/>
      <w:bookmarkStart w:id="126" w:name="_Toc11324"/>
      <w:bookmarkStart w:id="127" w:name="_Toc27900"/>
      <w:r>
        <w:rPr>
          <w:color w:val="000000" w:themeColor="text1"/>
          <w14:textFill>
            <w14:solidFill>
              <w14:schemeClr w14:val="tx1"/>
            </w14:solidFill>
          </w14:textFill>
        </w:rPr>
        <w:t>智慧水利体系规划</w:t>
      </w:r>
      <w:bookmarkEnd w:id="125"/>
      <w:bookmarkEnd w:id="126"/>
      <w:bookmarkEnd w:id="127"/>
    </w:p>
    <w:p w14:paraId="49F0B8ED">
      <w:pPr>
        <w:ind w:firstLine="640"/>
        <w:rPr>
          <w:color w:val="000000" w:themeColor="text1"/>
          <w14:textFill>
            <w14:solidFill>
              <w14:schemeClr w14:val="tx1"/>
            </w14:solidFill>
          </w14:textFill>
        </w:rPr>
      </w:pPr>
      <w:bookmarkStart w:id="128" w:name="_Toc11274"/>
      <w:r>
        <w:rPr>
          <w:color w:val="000000" w:themeColor="text1"/>
          <w14:textFill>
            <w14:solidFill>
              <w14:schemeClr w14:val="tx1"/>
            </w14:solidFill>
          </w14:textFill>
        </w:rPr>
        <w:t>“十四五”期间，拟以数据中心的建设、工程管理监测系统建设、防汛抗旱指挥系统的完善、水文、水土保持现代化体系建设、河长制管理信息系统建设等方面为重点，以建立数据云平台、工程安全监测预警设施建设、防汛防旱指挥系统向基层延伸、中小河流水文监测设施建设、中小型水库水文监测预警设施、行政区界水资源监测水文站网建设、水土保持监测、河长制管理信息系统建设为主要措施，提升易门县水利信息化水平。</w:t>
      </w:r>
    </w:p>
    <w:p w14:paraId="609944B4">
      <w:pPr>
        <w:pStyle w:val="45"/>
        <w:rPr>
          <w:color w:val="000000" w:themeColor="text1"/>
          <w14:textFill>
            <w14:solidFill>
              <w14:schemeClr w14:val="tx1"/>
            </w14:solidFill>
          </w14:textFill>
        </w:rPr>
      </w:pPr>
      <w:bookmarkStart w:id="129" w:name="_Toc15596"/>
      <w:bookmarkStart w:id="130" w:name="_Toc24987"/>
      <w:r>
        <w:rPr>
          <w:color w:val="000000" w:themeColor="text1"/>
          <w14:textFill>
            <w14:solidFill>
              <w14:schemeClr w14:val="tx1"/>
            </w14:solidFill>
          </w14:textFill>
        </w:rPr>
        <w:t>加快数据中心建设</w:t>
      </w:r>
      <w:bookmarkEnd w:id="128"/>
      <w:bookmarkEnd w:id="129"/>
      <w:bookmarkEnd w:id="130"/>
    </w:p>
    <w:p w14:paraId="41FEFC43">
      <w:pPr>
        <w:ind w:firstLine="640"/>
        <w:rPr>
          <w:color w:val="000000" w:themeColor="text1"/>
          <w14:textFill>
            <w14:solidFill>
              <w14:schemeClr w14:val="tx1"/>
            </w14:solidFill>
          </w14:textFill>
        </w:rPr>
      </w:pPr>
      <w:bookmarkStart w:id="131" w:name="_Toc1359"/>
      <w:r>
        <w:rPr>
          <w:color w:val="000000" w:themeColor="text1"/>
          <w14:textFill>
            <w14:solidFill>
              <w14:schemeClr w14:val="tx1"/>
            </w14:solidFill>
          </w14:textFill>
        </w:rPr>
        <w:t>根据建设“数字云南”的战略部署及要求，易门县按照“强感知、增智慧”的思路，充分运用物联网、大数据、人工智能、5G、区块链等新一代信息技术，加快“数字水利”建设，增强水利信息感知、分析、处理、和智慧应用的能力和水平。重点是构建天空地一体化水利感知网，以“一部手机水利通”为载体构建易门县“数字水利”，在“智慧水利”一期完成的基础上，易门县继续完善云资源平台、大数据基础平台建设，建设智慧防汛抗旱、智慧水资源管理、智慧水工程、智慧水土保持、智慧河湖管理等5个智慧应用和数据交换共享平台，全面加强江河湖泊、地下水、水利工程、水利管理活动和水文、水资源、水环境、水生态、工程安全、洪涝干旱灾害、水土保持监测等涉水信息的监测感知，完善全面互联高速可靠的水利信息网，加快水利大数据中心和综合监管平台建设，推进涵盖水利核心业务的智能应用，完善网络安全体系。加强水文基础设施建设，提升水文测报和信息服务自动化和智能化水平，推动建立和完善与时代发展同步的现代化水文站网体系、水文监测体系、水文信息服务体系及水文管理体系，为水利强监管和经济社会发展提供更全、更快、更准的水文监测信息和内容丰富、形象直观的服务产品。</w:t>
      </w:r>
    </w:p>
    <w:p w14:paraId="0D24CE7A">
      <w:pPr>
        <w:pStyle w:val="45"/>
        <w:rPr>
          <w:color w:val="000000" w:themeColor="text1"/>
          <w14:textFill>
            <w14:solidFill>
              <w14:schemeClr w14:val="tx1"/>
            </w14:solidFill>
          </w14:textFill>
        </w:rPr>
      </w:pPr>
      <w:bookmarkStart w:id="132" w:name="_Toc2274"/>
      <w:bookmarkStart w:id="133" w:name="_Toc31099"/>
      <w:bookmarkStart w:id="134" w:name="_Toc213"/>
      <w:r>
        <w:rPr>
          <w:color w:val="000000" w:themeColor="text1"/>
          <w14:textFill>
            <w14:solidFill>
              <w14:schemeClr w14:val="tx1"/>
            </w14:solidFill>
          </w14:textFill>
        </w:rPr>
        <w:t>加快工程管理监测系统建设</w:t>
      </w:r>
      <w:bookmarkEnd w:id="132"/>
      <w:bookmarkEnd w:id="133"/>
      <w:bookmarkEnd w:id="134"/>
    </w:p>
    <w:p w14:paraId="4D73610C">
      <w:pPr>
        <w:ind w:firstLine="640"/>
        <w:rPr>
          <w:color w:val="000000" w:themeColor="text1"/>
          <w14:textFill>
            <w14:solidFill>
              <w14:schemeClr w14:val="tx1"/>
            </w14:solidFill>
          </w14:textFill>
        </w:rPr>
      </w:pPr>
      <w:bookmarkStart w:id="135" w:name="_Toc7489"/>
      <w:r>
        <w:rPr>
          <w:color w:val="000000" w:themeColor="text1"/>
          <w14:textFill>
            <w14:solidFill>
              <w14:schemeClr w14:val="tx1"/>
            </w14:solidFill>
          </w14:textFill>
        </w:rPr>
        <w:t>建设工程安全监测预警设施，构建水利普查信息展示与维护管理系统、加强水利工程建设与管理系统等业务应用，来加快易门县工程管理监测系统建设。</w:t>
      </w:r>
    </w:p>
    <w:p w14:paraId="6B3773BF">
      <w:pPr>
        <w:pStyle w:val="45"/>
        <w:rPr>
          <w:color w:val="000000" w:themeColor="text1"/>
          <w14:textFill>
            <w14:solidFill>
              <w14:schemeClr w14:val="tx1"/>
            </w14:solidFill>
          </w14:textFill>
        </w:rPr>
      </w:pPr>
      <w:bookmarkStart w:id="136" w:name="_Toc32538"/>
      <w:bookmarkStart w:id="137" w:name="_Toc20562"/>
      <w:r>
        <w:rPr>
          <w:color w:val="000000" w:themeColor="text1"/>
          <w14:textFill>
            <w14:solidFill>
              <w14:schemeClr w14:val="tx1"/>
            </w14:solidFill>
          </w14:textFill>
        </w:rPr>
        <w:t>完善防汛抗旱指挥系统</w:t>
      </w:r>
      <w:bookmarkEnd w:id="135"/>
      <w:bookmarkEnd w:id="136"/>
      <w:bookmarkEnd w:id="137"/>
    </w:p>
    <w:p w14:paraId="4B2B6878">
      <w:pPr>
        <w:ind w:firstLine="640"/>
        <w:rPr>
          <w:color w:val="000000" w:themeColor="text1"/>
          <w14:textFill>
            <w14:solidFill>
              <w14:schemeClr w14:val="tx1"/>
            </w14:solidFill>
          </w14:textFill>
        </w:rPr>
      </w:pPr>
      <w:r>
        <w:rPr>
          <w:color w:val="000000" w:themeColor="text1"/>
          <w14:textFill>
            <w14:solidFill>
              <w14:schemeClr w14:val="tx1"/>
            </w14:solidFill>
          </w14:textFill>
        </w:rPr>
        <w:t>防汛抗旱指挥系统向基层延伸，构建汛情在线监测预警系统、防汛综合业务管理系统、防汛预案智能化管理系统、水库洪水预报调度系统、流域洪水风险在线分析管理系统、小流域山洪灾害预警系统、公众信息发布共享系统、三维可视化仿真系统、值班管理系统等业务应用，完善易门县防汛抗旱指挥系统。</w:t>
      </w:r>
    </w:p>
    <w:bookmarkEnd w:id="131"/>
    <w:p w14:paraId="483C077E">
      <w:pPr>
        <w:pStyle w:val="45"/>
        <w:rPr>
          <w:color w:val="000000" w:themeColor="text1"/>
          <w14:textFill>
            <w14:solidFill>
              <w14:schemeClr w14:val="tx1"/>
            </w14:solidFill>
          </w14:textFill>
        </w:rPr>
      </w:pPr>
      <w:bookmarkStart w:id="138" w:name="_Toc12680"/>
      <w:bookmarkStart w:id="139" w:name="_Toc30490"/>
      <w:bookmarkStart w:id="140" w:name="_Toc20885"/>
      <w:bookmarkStart w:id="141" w:name="_Toc4834"/>
      <w:r>
        <w:rPr>
          <w:color w:val="000000" w:themeColor="text1"/>
          <w14:textFill>
            <w14:solidFill>
              <w14:schemeClr w14:val="tx1"/>
            </w14:solidFill>
          </w14:textFill>
        </w:rPr>
        <w:t>加快水文、水土保持现代化体系建设</w:t>
      </w:r>
      <w:bookmarkEnd w:id="138"/>
      <w:bookmarkEnd w:id="139"/>
      <w:bookmarkEnd w:id="140"/>
    </w:p>
    <w:p w14:paraId="6AC0F155">
      <w:pPr>
        <w:ind w:firstLine="640"/>
        <w:rPr>
          <w:color w:val="000000" w:themeColor="text1"/>
          <w14:textFill>
            <w14:solidFill>
              <w14:schemeClr w14:val="tx1"/>
            </w14:solidFill>
          </w14:textFill>
        </w:rPr>
      </w:pPr>
      <w:r>
        <w:rPr>
          <w:color w:val="000000" w:themeColor="text1"/>
          <w14:textFill>
            <w14:solidFill>
              <w14:schemeClr w14:val="tx1"/>
            </w14:solidFill>
          </w14:textFill>
        </w:rPr>
        <w:t>构建实时在线监测系统、水质监测与管理系统、地下水综合监管系统、水土保持监测与管理系统、区域水资源配置决策等业务应用，以加快易门县水文、水土保持现代化体系建设。</w:t>
      </w:r>
    </w:p>
    <w:bookmarkEnd w:id="141"/>
    <w:p w14:paraId="3D4B53EB">
      <w:pPr>
        <w:pStyle w:val="45"/>
        <w:rPr>
          <w:color w:val="000000" w:themeColor="text1"/>
          <w14:textFill>
            <w14:solidFill>
              <w14:schemeClr w14:val="tx1"/>
            </w14:solidFill>
          </w14:textFill>
        </w:rPr>
      </w:pPr>
      <w:bookmarkStart w:id="142" w:name="_Toc12400"/>
      <w:bookmarkStart w:id="143" w:name="_Toc4224"/>
      <w:bookmarkStart w:id="144" w:name="_Toc22868"/>
      <w:bookmarkStart w:id="145" w:name="_Toc18421"/>
      <w:r>
        <w:rPr>
          <w:color w:val="000000" w:themeColor="text1"/>
          <w14:textFill>
            <w14:solidFill>
              <w14:schemeClr w14:val="tx1"/>
            </w14:solidFill>
          </w14:textFill>
        </w:rPr>
        <w:t>充分利用河长制管理信息系统建设</w:t>
      </w:r>
      <w:bookmarkEnd w:id="142"/>
      <w:bookmarkEnd w:id="143"/>
      <w:bookmarkEnd w:id="144"/>
    </w:p>
    <w:p w14:paraId="6C7CC466">
      <w:pPr>
        <w:ind w:firstLine="640"/>
        <w:rPr>
          <w:color w:val="000000" w:themeColor="text1"/>
          <w14:textFill>
            <w14:solidFill>
              <w14:schemeClr w14:val="tx1"/>
            </w14:solidFill>
          </w14:textFill>
        </w:rPr>
      </w:pPr>
      <w:r>
        <w:rPr>
          <w:color w:val="000000" w:themeColor="text1"/>
          <w14:textFill>
            <w14:solidFill>
              <w14:schemeClr w14:val="tx1"/>
            </w14:solidFill>
          </w14:textFill>
        </w:rPr>
        <w:t>通过公众诉求、事件管理、巡查管理、统计分析等模块，方便各级河长进行事件处理、督办事件、待办管理；方便河长办实时掌握河道巡查记录、治理记录、违规记录、水质记录，及时进行督查督导；方便公众通过APP进行快捷的投诉举报，完成共同参与治水管水，提升河道管理水平，建设美丽河道。</w:t>
      </w:r>
    </w:p>
    <w:bookmarkEnd w:id="145"/>
    <w:p w14:paraId="01FDF5AC">
      <w:pPr>
        <w:pStyle w:val="45"/>
        <w:rPr>
          <w:color w:val="000000" w:themeColor="text1"/>
          <w14:textFill>
            <w14:solidFill>
              <w14:schemeClr w14:val="tx1"/>
            </w14:solidFill>
          </w14:textFill>
        </w:rPr>
      </w:pPr>
      <w:bookmarkStart w:id="146" w:name="_Toc4185"/>
      <w:bookmarkStart w:id="147" w:name="_Toc28654"/>
      <w:bookmarkStart w:id="148" w:name="_Toc11310"/>
      <w:bookmarkStart w:id="149" w:name="_Toc20875"/>
      <w:r>
        <w:rPr>
          <w:color w:val="000000" w:themeColor="text1"/>
          <w14:textFill>
            <w14:solidFill>
              <w14:schemeClr w14:val="tx1"/>
            </w14:solidFill>
          </w14:textFill>
        </w:rPr>
        <w:t>加快水利信息化建设</w:t>
      </w:r>
      <w:bookmarkEnd w:id="146"/>
      <w:bookmarkEnd w:id="147"/>
      <w:bookmarkEnd w:id="148"/>
    </w:p>
    <w:p w14:paraId="3E1541A2">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811395" cy="3657600"/>
            <wp:effectExtent l="0" t="0" r="27305" b="190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C1778DF">
      <w:pPr>
        <w:ind w:firstLine="643"/>
        <w:rPr>
          <w:b/>
          <w:color w:val="000000" w:themeColor="text1"/>
          <w14:textFill>
            <w14:solidFill>
              <w14:schemeClr w14:val="tx1"/>
            </w14:solidFill>
          </w14:textFill>
        </w:rPr>
      </w:pPr>
      <w:r>
        <w:rPr>
          <w:b/>
          <w:color w:val="000000" w:themeColor="text1"/>
          <w14:textFill>
            <w14:solidFill>
              <w14:schemeClr w14:val="tx1"/>
            </w14:solidFill>
          </w14:textFill>
        </w:rPr>
        <w:t>易门县水利信息化建设项目：共有7件，6件是新建工程，1件是改建工程，总投资83568万元。</w:t>
      </w:r>
    </w:p>
    <w:p w14:paraId="7BAFA444">
      <w:pPr>
        <w:ind w:firstLine="640"/>
        <w:rPr>
          <w:color w:val="000000" w:themeColor="text1"/>
          <w14:textFill>
            <w14:solidFill>
              <w14:schemeClr w14:val="tx1"/>
            </w14:solidFill>
          </w14:textFill>
        </w:rPr>
      </w:pPr>
      <w:r>
        <w:rPr>
          <w:color w:val="000000" w:themeColor="text1"/>
          <w14:textFill>
            <w14:solidFill>
              <w14:schemeClr w14:val="tx1"/>
            </w14:solidFill>
          </w14:textFill>
        </w:rPr>
        <w:t>国家基本水文站提档升级改造，建设地点除易门县还涉及到澄江、华宁、峨山，建设内容为改建4个国家基本水文站，总投资为668万元。</w:t>
      </w:r>
    </w:p>
    <w:p w14:paraId="5A2CFE26">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易门县农村饮水安全智慧供用水系统，对413件农村饮水安全工程巩固提升（配套净化、消毒设施、管网更新改造等），新建供水站（厂）12个，配套能水表，建设智能供水管理系统，投资13000万元；</w:t>
      </w:r>
    </w:p>
    <w:p w14:paraId="520C23DF">
      <w:pPr>
        <w:ind w:firstLine="640"/>
        <w:rPr>
          <w:color w:val="000000" w:themeColor="text1"/>
          <w14:textFill>
            <w14:solidFill>
              <w14:schemeClr w14:val="tx1"/>
            </w14:solidFill>
          </w14:textFill>
        </w:rPr>
      </w:pPr>
      <w:r>
        <w:rPr>
          <w:color w:val="000000" w:themeColor="text1"/>
          <w14:textFill>
            <w14:solidFill>
              <w14:schemeClr w14:val="tx1"/>
            </w14:solidFill>
          </w14:textFill>
        </w:rPr>
        <w:t>水库水情测报、远程控制系统，完成易门县3座中型水库，10座小（1）型、63座小（2）型水库水利信息监测预警、预测预报、综合分析、预测控制自动化体系，投资26300万元；</w:t>
      </w:r>
    </w:p>
    <w:p w14:paraId="7A4E9A1A">
      <w:pPr>
        <w:ind w:firstLine="640"/>
        <w:rPr>
          <w:color w:val="000000" w:themeColor="text1"/>
          <w14:textFill>
            <w14:solidFill>
              <w14:schemeClr w14:val="tx1"/>
            </w14:solidFill>
          </w14:textFill>
        </w:rPr>
      </w:pPr>
      <w:r>
        <w:rPr>
          <w:color w:val="000000" w:themeColor="text1"/>
          <w14:textFill>
            <w14:solidFill>
              <w14:schemeClr w14:val="tx1"/>
            </w14:solidFill>
          </w14:textFill>
        </w:rPr>
        <w:t>农业灌溉智慧用水系统，完成易门县16万亩农业灌溉智慧用水信息监测、调度控制自动化体系，投资16000万元；</w:t>
      </w:r>
    </w:p>
    <w:p w14:paraId="3F55F898">
      <w:pPr>
        <w:ind w:firstLine="640"/>
        <w:rPr>
          <w:color w:val="000000" w:themeColor="text1"/>
          <w14:textFill>
            <w14:solidFill>
              <w14:schemeClr w14:val="tx1"/>
            </w14:solidFill>
          </w14:textFill>
        </w:rPr>
      </w:pPr>
      <w:r>
        <w:rPr>
          <w:color w:val="000000" w:themeColor="text1"/>
          <w14:textFill>
            <w14:solidFill>
              <w14:schemeClr w14:val="tx1"/>
            </w14:solidFill>
          </w14:textFill>
        </w:rPr>
        <w:t>工业智慧用水系统，完成易门县500户企业生产用水智慧用水信息监测、调度控制自动化体系，投资8000万元；</w:t>
      </w:r>
    </w:p>
    <w:p w14:paraId="375734A5">
      <w:pPr>
        <w:ind w:firstLine="640"/>
        <w:rPr>
          <w:color w:val="000000" w:themeColor="text1"/>
          <w14:textFill>
            <w14:solidFill>
              <w14:schemeClr w14:val="tx1"/>
            </w14:solidFill>
          </w14:textFill>
        </w:rPr>
      </w:pPr>
      <w:r>
        <w:rPr>
          <w:color w:val="000000" w:themeColor="text1"/>
          <w14:textFill>
            <w14:solidFill>
              <w14:schemeClr w14:val="tx1"/>
            </w14:solidFill>
          </w14:textFill>
        </w:rPr>
        <w:t>中小河流水情信息动态监测系统和智能感知网络，易门县区域内30条中小漂流水情信息动态监测系统和智能感知网络建设，投资12600万元；</w:t>
      </w:r>
    </w:p>
    <w:p w14:paraId="6BDEF74D">
      <w:pPr>
        <w:ind w:firstLine="640"/>
        <w:rPr>
          <w:rFonts w:eastAsia="黑体" w:cs="黑体"/>
          <w:color w:val="000000" w:themeColor="text1"/>
          <w:sz w:val="36"/>
          <w:szCs w:val="36"/>
          <w14:textFill>
            <w14:solidFill>
              <w14:schemeClr w14:val="tx1"/>
            </w14:solidFill>
          </w14:textFill>
        </w:rPr>
      </w:pPr>
      <w:r>
        <w:rPr>
          <w:color w:val="000000" w:themeColor="text1"/>
          <w14:textFill>
            <w14:solidFill>
              <w14:schemeClr w14:val="tx1"/>
            </w14:solidFill>
          </w14:textFill>
        </w:rPr>
        <w:t>山洪灾害水情信息动态监测系统和智能感知网络，易门县区域内7个乡镇（街道）山洪灾害信息监测预警、预测预报综合分析系统建设，投资7000万元。</w:t>
      </w:r>
      <w:bookmarkEnd w:id="149"/>
      <w:bookmarkStart w:id="150" w:name="_Toc25526"/>
      <w:r>
        <w:rPr>
          <w:rFonts w:eastAsia="黑体" w:cs="黑体"/>
          <w:color w:val="000000" w:themeColor="text1"/>
          <w:sz w:val="36"/>
          <w:szCs w:val="36"/>
          <w14:textFill>
            <w14:solidFill>
              <w14:schemeClr w14:val="tx1"/>
            </w14:solidFill>
          </w14:textFill>
        </w:rPr>
        <w:br w:type="page"/>
      </w:r>
    </w:p>
    <w:p w14:paraId="3ABE2356">
      <w:pPr>
        <w:pStyle w:val="43"/>
        <w:rPr>
          <w:color w:val="000000" w:themeColor="text1"/>
          <w14:textFill>
            <w14:solidFill>
              <w14:schemeClr w14:val="tx1"/>
            </w14:solidFill>
          </w14:textFill>
        </w:rPr>
      </w:pPr>
      <w:bookmarkStart w:id="151" w:name="_Toc16501"/>
      <w:bookmarkStart w:id="152" w:name="_Toc28155"/>
      <w:r>
        <w:rPr>
          <w:color w:val="000000" w:themeColor="text1"/>
          <w14:textFill>
            <w14:solidFill>
              <w14:schemeClr w14:val="tx1"/>
            </w14:solidFill>
          </w14:textFill>
        </w:rPr>
        <w:t>提质增效，</w:t>
      </w:r>
      <w:bookmarkEnd w:id="150"/>
      <w:bookmarkEnd w:id="151"/>
      <w:bookmarkEnd w:id="152"/>
      <w:r>
        <w:rPr>
          <w:color w:val="000000" w:themeColor="text1"/>
          <w14:textFill>
            <w14:solidFill>
              <w14:schemeClr w14:val="tx1"/>
            </w14:solidFill>
          </w14:textFill>
        </w:rPr>
        <w:t>完善水工程安全保障体系</w:t>
      </w:r>
    </w:p>
    <w:p w14:paraId="48A13F7C">
      <w:pPr>
        <w:pStyle w:val="45"/>
        <w:rPr>
          <w:color w:val="000000" w:themeColor="text1"/>
          <w14:textFill>
            <w14:solidFill>
              <w14:schemeClr w14:val="tx1"/>
            </w14:solidFill>
          </w14:textFill>
        </w:rPr>
      </w:pPr>
      <w:bookmarkStart w:id="153" w:name="_Toc25396"/>
      <w:bookmarkStart w:id="154" w:name="_Toc5343"/>
      <w:bookmarkStart w:id="155" w:name="_Toc30793"/>
      <w:r>
        <w:rPr>
          <w:color w:val="000000" w:themeColor="text1"/>
          <w14:textFill>
            <w14:solidFill>
              <w14:schemeClr w14:val="tx1"/>
            </w14:solidFill>
          </w14:textFill>
        </w:rPr>
        <w:t>高质量建设水利基础设施网络</w:t>
      </w:r>
      <w:bookmarkEnd w:id="153"/>
      <w:bookmarkEnd w:id="154"/>
      <w:bookmarkEnd w:id="155"/>
    </w:p>
    <w:p w14:paraId="48131CE3">
      <w:pPr>
        <w:ind w:firstLine="640"/>
        <w:rPr>
          <w:color w:val="000000" w:themeColor="text1"/>
          <w14:textFill>
            <w14:solidFill>
              <w14:schemeClr w14:val="tx1"/>
            </w14:solidFill>
          </w14:textFill>
        </w:rPr>
      </w:pPr>
      <w:bookmarkStart w:id="156" w:name="_Toc12245"/>
      <w:r>
        <w:rPr>
          <w:color w:val="000000" w:themeColor="text1"/>
          <w14:textFill>
            <w14:solidFill>
              <w14:schemeClr w14:val="tx1"/>
            </w14:solidFill>
          </w14:textFill>
        </w:rPr>
        <w:t>为落实好党的十九大报告提出的水利基础设施网络建设，按照总量有满足、效率有速度、质量有保障、服务有品位、效益可持续的总体目标要求，易门县以问题为导向，以目标为引领，把握全县水利基础设施现状，通过坚持生态优先、绿色发展，坚持统筹协调、集约高效，坚持软硬结合、风险可控，坚持创兴模式、功能长效，来健全水利工程良性运行机制，合理划定工程管理与保护范围，落实水工程管护主体责任，健全工程维修养护机制，推动工程管理队伍专业化、规模化、规范化建设，最终构建支撑易门县社会经济发展和生态环境保护的水利基础设施网络，让供给更加可靠、生态更加友好、风险更加可控、管理更加智能、功能更加丰富。</w:t>
      </w:r>
    </w:p>
    <w:p w14:paraId="1C0512CE">
      <w:pPr>
        <w:pStyle w:val="45"/>
        <w:rPr>
          <w:color w:val="000000" w:themeColor="text1"/>
          <w14:textFill>
            <w14:solidFill>
              <w14:schemeClr w14:val="tx1"/>
            </w14:solidFill>
          </w14:textFill>
        </w:rPr>
      </w:pPr>
      <w:bookmarkStart w:id="157" w:name="_Toc22167"/>
      <w:bookmarkStart w:id="158" w:name="_Toc4423"/>
      <w:r>
        <w:rPr>
          <w:color w:val="000000" w:themeColor="text1"/>
          <w14:textFill>
            <w14:solidFill>
              <w14:schemeClr w14:val="tx1"/>
            </w14:solidFill>
          </w14:textFill>
        </w:rPr>
        <w:t>推进工程调度运行管理现代化</w:t>
      </w:r>
      <w:bookmarkEnd w:id="156"/>
      <w:bookmarkEnd w:id="157"/>
      <w:bookmarkEnd w:id="158"/>
    </w:p>
    <w:p w14:paraId="7A799B20">
      <w:pPr>
        <w:ind w:firstLine="640"/>
        <w:rPr>
          <w:color w:val="000000" w:themeColor="text1"/>
          <w14:textFill>
            <w14:solidFill>
              <w14:schemeClr w14:val="tx1"/>
            </w14:solidFill>
          </w14:textFill>
        </w:rPr>
      </w:pPr>
      <w:bookmarkStart w:id="159" w:name="_Toc16402"/>
      <w:r>
        <w:rPr>
          <w:color w:val="000000" w:themeColor="text1"/>
          <w14:textFill>
            <w14:solidFill>
              <w14:schemeClr w14:val="tx1"/>
            </w14:solidFill>
          </w14:textFill>
        </w:rPr>
        <w:t>随着经济社会发展，水资源短缺、水生态损害、水环境污染成为常态问题，治水主要矛盾发生深刻变化，已经从同水旱灾害</w:t>
      </w:r>
      <w:r>
        <w:rPr>
          <w:rFonts w:hint="eastAsia"/>
          <w:color w:val="000000" w:themeColor="text1"/>
          <w:lang w:eastAsia="zh-CN"/>
          <w14:textFill>
            <w14:solidFill>
              <w14:schemeClr w14:val="tx1"/>
            </w14:solidFill>
          </w14:textFill>
        </w:rPr>
        <w:t>作斗争</w:t>
      </w:r>
      <w:r>
        <w:rPr>
          <w:color w:val="000000" w:themeColor="text1"/>
          <w14:textFill>
            <w14:solidFill>
              <w14:schemeClr w14:val="tx1"/>
            </w14:solidFill>
          </w14:textFill>
        </w:rPr>
        <w:t>转变为水利工程补短板，水利行业强监管，信息化是水利工程补短板之一。随着新时期治水矛盾转变及持续推进水利改革发展的要求，易门县工程调度运行管理面临新的形式和要求，而目前在工程管理过程中，存在着工程设施点多、量大、面广、管理难，工程自动化监控协同水平不高，工程调度技术支撑薄弱，缺乏统一的智能化监管手段等问题。为实现易门县工程调度运行现代化管理，需要在现有云南省玉溪市水利信息化建设的基础上，将现代通信与信息、计算机网络、水利行业智能控制等技术汇集而成的智能化技术，融入到工程信息采集、调度决策、业务管理的应用中，推进工程管理现代化。</w:t>
      </w:r>
    </w:p>
    <w:p w14:paraId="09AECAB7">
      <w:pPr>
        <w:pStyle w:val="45"/>
        <w:rPr>
          <w:color w:val="000000" w:themeColor="text1"/>
          <w14:textFill>
            <w14:solidFill>
              <w14:schemeClr w14:val="tx1"/>
            </w14:solidFill>
          </w14:textFill>
        </w:rPr>
      </w:pPr>
      <w:bookmarkStart w:id="160" w:name="_Toc19189"/>
      <w:bookmarkStart w:id="161" w:name="_Toc3792"/>
      <w:r>
        <w:rPr>
          <w:color w:val="000000" w:themeColor="text1"/>
          <w14:textFill>
            <w14:solidFill>
              <w14:schemeClr w14:val="tx1"/>
            </w14:solidFill>
          </w14:textFill>
        </w:rPr>
        <w:t>提高工程安全风险防御能力</w:t>
      </w:r>
      <w:bookmarkEnd w:id="159"/>
      <w:bookmarkEnd w:id="160"/>
      <w:bookmarkEnd w:id="161"/>
    </w:p>
    <w:p w14:paraId="49978962">
      <w:pPr>
        <w:ind w:firstLine="640"/>
        <w:rPr>
          <w:color w:val="000000" w:themeColor="text1"/>
          <w14:textFill>
            <w14:solidFill>
              <w14:schemeClr w14:val="tx1"/>
            </w14:solidFill>
          </w14:textFill>
        </w:rPr>
      </w:pPr>
      <w:bookmarkStart w:id="162" w:name="_Toc26286"/>
      <w:r>
        <w:rPr>
          <w:color w:val="000000" w:themeColor="text1"/>
          <w14:textFill>
            <w14:solidFill>
              <w14:schemeClr w14:val="tx1"/>
            </w14:solidFill>
          </w14:textFill>
        </w:rPr>
        <w:t>加强工程安全风险监测监控，完善水库、水闸和区域工程安全监测监管等平台功能，健全工程安全鉴定常态化工作机制，通过安全监测数据的采集和数据的分析，及时发现异常情况，及时采取补救措施，防治事故发生，为指导施工和及时研究调整带病带险水库、水闸等工程调度运行方案，确保工程运行安全。</w:t>
      </w:r>
    </w:p>
    <w:p w14:paraId="33ACE40F">
      <w:pPr>
        <w:pStyle w:val="45"/>
        <w:rPr>
          <w:color w:val="000000" w:themeColor="text1"/>
          <w14:textFill>
            <w14:solidFill>
              <w14:schemeClr w14:val="tx1"/>
            </w14:solidFill>
          </w14:textFill>
        </w:rPr>
      </w:pPr>
      <w:r>
        <w:rPr>
          <w:color w:val="000000" w:themeColor="text1"/>
          <w14:textFill>
            <w14:solidFill>
              <w14:schemeClr w14:val="tx1"/>
            </w14:solidFill>
          </w14:textFill>
        </w:rPr>
        <w:t>强化监管，提升涉水事务监管水平</w:t>
      </w:r>
    </w:p>
    <w:p w14:paraId="563F12BC">
      <w:pPr>
        <w:ind w:firstLine="640"/>
        <w:rPr>
          <w:color w:val="000000" w:themeColor="text1"/>
          <w14:textFill>
            <w14:solidFill>
              <w14:schemeClr w14:val="tx1"/>
            </w14:solidFill>
          </w14:textFill>
        </w:rPr>
      </w:pPr>
      <w:r>
        <w:rPr>
          <w:color w:val="000000" w:themeColor="text1"/>
          <w14:textFill>
            <w14:solidFill>
              <w14:schemeClr w14:val="tx1"/>
            </w14:solidFill>
          </w14:textFill>
        </w:rPr>
        <w:t>围绕江河湖泊、水资源、水利工程、水土保持、水旱灾害防御等重点领域，按照“建机制、强能力”的思路，针对涉水事务监管薄弱环节，建立健全监管法制体制机制，强化重点领域全过程、全要素监管，全力提升涉水事务监管水平，实现制度治水、制度管水。</w:t>
      </w:r>
    </w:p>
    <w:p w14:paraId="1ACD6B61">
      <w:pPr>
        <w:pStyle w:val="76"/>
        <w:rPr>
          <w:color w:val="000000" w:themeColor="text1"/>
          <w14:textFill>
            <w14:solidFill>
              <w14:schemeClr w14:val="tx1"/>
            </w14:solidFill>
          </w14:textFill>
        </w:rPr>
      </w:pPr>
      <w:r>
        <w:rPr>
          <w:color w:val="000000" w:themeColor="text1"/>
          <w14:textFill>
            <w14:solidFill>
              <w14:schemeClr w14:val="tx1"/>
            </w14:solidFill>
          </w14:textFill>
        </w:rPr>
        <w:t>（一）完善监管法治体制机制，建立健全监管制度体系</w:t>
      </w:r>
    </w:p>
    <w:p w14:paraId="79112BC2">
      <w:pPr>
        <w:ind w:firstLine="640"/>
        <w:rPr>
          <w:color w:val="000000" w:themeColor="text1"/>
          <w14:textFill>
            <w14:solidFill>
              <w14:schemeClr w14:val="tx1"/>
            </w14:solidFill>
          </w14:textFill>
        </w:rPr>
      </w:pPr>
      <w:r>
        <w:rPr>
          <w:color w:val="000000" w:themeColor="text1"/>
          <w14:textFill>
            <w14:solidFill>
              <w14:schemeClr w14:val="tx1"/>
            </w14:solidFill>
          </w14:textFill>
        </w:rPr>
        <w:t>从法治入手，按照现行涉水法律法规，建立完善易门县水利监管制度体系。从体制入手，成立督查队伍，形成完整统一、上下联动的督查体系。从机制入手，建立内部运行的规章制度，确保监管队伍能够认真履职尽责，顺利开展工作。</w:t>
      </w:r>
    </w:p>
    <w:p w14:paraId="546C9C11">
      <w:pPr>
        <w:pStyle w:val="76"/>
        <w:rPr>
          <w:color w:val="000000" w:themeColor="text1"/>
          <w14:textFill>
            <w14:solidFill>
              <w14:schemeClr w14:val="tx1"/>
            </w14:solidFill>
          </w14:textFill>
        </w:rPr>
      </w:pPr>
      <w:r>
        <w:rPr>
          <w:color w:val="000000" w:themeColor="text1"/>
          <w14:textFill>
            <w14:solidFill>
              <w14:schemeClr w14:val="tx1"/>
            </w14:solidFill>
          </w14:textFill>
        </w:rPr>
        <w:t>（二）强化江河湖泊的监管，持续改善河湖面貌</w:t>
      </w:r>
    </w:p>
    <w:p w14:paraId="7245D1C5">
      <w:pPr>
        <w:ind w:firstLine="640"/>
        <w:rPr>
          <w:color w:val="000000" w:themeColor="text1"/>
          <w14:textFill>
            <w14:solidFill>
              <w14:schemeClr w14:val="tx1"/>
            </w14:solidFill>
          </w14:textFill>
        </w:rPr>
      </w:pPr>
      <w:r>
        <w:rPr>
          <w:color w:val="000000" w:themeColor="text1"/>
          <w14:textFill>
            <w14:solidFill>
              <w14:schemeClr w14:val="tx1"/>
            </w14:solidFill>
          </w14:textFill>
        </w:rPr>
        <w:t>以河长制湖长制为抓手，以推动河长制从“有名”到“有实”为目标，全面监管“盛水的盆”和“盆里的水”，通过划定河湖管理范围、严格河湖岸线管制、深入推进“清四乱”常态化规范化、加强河道采砂监管等措施，持续改善河湖面貌。</w:t>
      </w:r>
    </w:p>
    <w:p w14:paraId="253C27EC">
      <w:pPr>
        <w:pStyle w:val="76"/>
        <w:rPr>
          <w:color w:val="000000" w:themeColor="text1"/>
          <w14:textFill>
            <w14:solidFill>
              <w14:schemeClr w14:val="tx1"/>
            </w14:solidFill>
          </w14:textFill>
        </w:rPr>
      </w:pPr>
      <w:r>
        <w:rPr>
          <w:color w:val="000000" w:themeColor="text1"/>
          <w14:textFill>
            <w14:solidFill>
              <w14:schemeClr w14:val="tx1"/>
            </w14:solidFill>
          </w14:textFill>
        </w:rPr>
        <w:t>（三）强化水资源的监管，促进水资源节约集约利用</w:t>
      </w:r>
    </w:p>
    <w:p w14:paraId="45B2CCE5">
      <w:pPr>
        <w:ind w:firstLine="640"/>
        <w:rPr>
          <w:color w:val="000000" w:themeColor="text1"/>
          <w14:textFill>
            <w14:solidFill>
              <w14:schemeClr w14:val="tx1"/>
            </w14:solidFill>
          </w14:textFill>
        </w:rPr>
      </w:pPr>
      <w:r>
        <w:rPr>
          <w:color w:val="000000" w:themeColor="text1"/>
          <w14:textFill>
            <w14:solidFill>
              <w14:schemeClr w14:val="tx1"/>
            </w14:solidFill>
          </w14:textFill>
        </w:rPr>
        <w:t>坚持节水优先，落实国家节水行动方案，按照以水而定、量水而行，强化水资源刚性约束，全面加强水资源节约、开发、利用、保护、配置、调度等各环节监管。抓紧制定完善水资源监管标准，明确区域用水总量控制指标、江河流域水量分配指标、生态流量管控指标、水资源开发利用和地下水监管指标，建立节水标准定额管理体系，加强水文水资源监测，强化水资源开发利用监控。</w:t>
      </w:r>
    </w:p>
    <w:p w14:paraId="6FE7585F">
      <w:pPr>
        <w:pStyle w:val="76"/>
        <w:rPr>
          <w:color w:val="000000" w:themeColor="text1"/>
          <w14:textFill>
            <w14:solidFill>
              <w14:schemeClr w14:val="tx1"/>
            </w14:solidFill>
          </w14:textFill>
        </w:rPr>
      </w:pPr>
      <w:r>
        <w:rPr>
          <w:color w:val="000000" w:themeColor="text1"/>
          <w14:textFill>
            <w14:solidFill>
              <w14:schemeClr w14:val="tx1"/>
            </w14:solidFill>
          </w14:textFill>
        </w:rPr>
        <w:t>（四）强化水利工程的监管，充分发挥工程综合效益</w:t>
      </w:r>
    </w:p>
    <w:p w14:paraId="35D3CFBB">
      <w:pPr>
        <w:ind w:firstLine="640"/>
        <w:rPr>
          <w:color w:val="000000" w:themeColor="text1"/>
          <w14:textFill>
            <w14:solidFill>
              <w14:schemeClr w14:val="tx1"/>
            </w14:solidFill>
          </w14:textFill>
        </w:rPr>
      </w:pPr>
      <w:r>
        <w:rPr>
          <w:color w:val="000000" w:themeColor="text1"/>
          <w14:textFill>
            <w14:solidFill>
              <w14:schemeClr w14:val="tx1"/>
            </w14:solidFill>
          </w14:textFill>
        </w:rPr>
        <w:t>以守住水利工程特别是水库安全为底线，坚持建管并重，强化水利工程建设监管，健全水利市场监管机制，引导水利建设市场良性发展；强化水利工程运行管理监管，建立良性运行管理机制，落实安全管理制度，明确管理责任，确保工程安全运行，实现水利工程综合效益最大化。</w:t>
      </w:r>
    </w:p>
    <w:p w14:paraId="3A84D58A">
      <w:pPr>
        <w:pStyle w:val="76"/>
        <w:rPr>
          <w:color w:val="000000" w:themeColor="text1"/>
          <w14:textFill>
            <w14:solidFill>
              <w14:schemeClr w14:val="tx1"/>
            </w14:solidFill>
          </w14:textFill>
        </w:rPr>
      </w:pPr>
      <w:r>
        <w:rPr>
          <w:color w:val="000000" w:themeColor="text1"/>
          <w14:textFill>
            <w14:solidFill>
              <w14:schemeClr w14:val="tx1"/>
            </w14:solidFill>
          </w14:textFill>
        </w:rPr>
        <w:t>（五）强化水土保持的监管，提升水土保持社会管理和服务水平</w:t>
      </w:r>
    </w:p>
    <w:p w14:paraId="21205A1F">
      <w:pPr>
        <w:ind w:firstLine="640"/>
        <w:rPr>
          <w:color w:val="000000" w:themeColor="text1"/>
          <w14:textFill>
            <w14:solidFill>
              <w14:schemeClr w14:val="tx1"/>
            </w14:solidFill>
          </w14:textFill>
        </w:rPr>
      </w:pPr>
      <w:r>
        <w:rPr>
          <w:color w:val="000000" w:themeColor="text1"/>
          <w14:textFill>
            <w14:solidFill>
              <w14:schemeClr w14:val="tx1"/>
            </w14:solidFill>
          </w14:textFill>
        </w:rPr>
        <w:t>坚持预防为主，全面加强水土保持监测，强化水土保持监管，加强监测站网建设，提升监测能力，充分运用高新技术手段开展监测，及时发现并查处水土保持违法违规行为，有效遏制人为水土流失。</w:t>
      </w:r>
    </w:p>
    <w:p w14:paraId="1133CAB2">
      <w:pPr>
        <w:pStyle w:val="76"/>
        <w:rPr>
          <w:color w:val="000000" w:themeColor="text1"/>
          <w14:textFill>
            <w14:solidFill>
              <w14:schemeClr w14:val="tx1"/>
            </w14:solidFill>
          </w14:textFill>
        </w:rPr>
      </w:pPr>
      <w:r>
        <w:rPr>
          <w:color w:val="000000" w:themeColor="text1"/>
          <w14:textFill>
            <w14:solidFill>
              <w14:schemeClr w14:val="tx1"/>
            </w14:solidFill>
          </w14:textFill>
        </w:rPr>
        <w:t>（六）强化水安全风险管控，提高应急处置能力</w:t>
      </w:r>
    </w:p>
    <w:p w14:paraId="7302C356">
      <w:pPr>
        <w:ind w:firstLine="640"/>
        <w:rPr>
          <w:color w:val="000000" w:themeColor="text1"/>
          <w14:textFill>
            <w14:solidFill>
              <w14:schemeClr w14:val="tx1"/>
            </w14:solidFill>
          </w14:textFill>
        </w:rPr>
      </w:pPr>
      <w:r>
        <w:rPr>
          <w:color w:val="000000" w:themeColor="text1"/>
          <w14:textFill>
            <w14:solidFill>
              <w14:schemeClr w14:val="tx1"/>
            </w14:solidFill>
          </w14:textFill>
        </w:rPr>
        <w:t>牢固树立底线思维，强化风险意识，加强江河工程超标准洪水安全风险监测监控，妥善应对防洪、水资源、水生态环境、水利工程等领域及水库移民稳定风险，最大程度预防和减少突发水安全事件造成的损害。</w:t>
      </w:r>
    </w:p>
    <w:p w14:paraId="70D3005C">
      <w:pPr>
        <w:pStyle w:val="76"/>
        <w:rPr>
          <w:color w:val="000000" w:themeColor="text1"/>
          <w14:textFill>
            <w14:solidFill>
              <w14:schemeClr w14:val="tx1"/>
            </w14:solidFill>
          </w14:textFill>
        </w:rPr>
      </w:pPr>
      <w:r>
        <w:rPr>
          <w:color w:val="000000" w:themeColor="text1"/>
          <w14:textFill>
            <w14:solidFill>
              <w14:schemeClr w14:val="tx1"/>
            </w14:solidFill>
          </w14:textFill>
        </w:rPr>
        <w:t>（七）强化水行政执法，维护水法规权威</w:t>
      </w:r>
    </w:p>
    <w:p w14:paraId="72DD9A1E">
      <w:pPr>
        <w:ind w:firstLine="640"/>
        <w:rPr>
          <w:color w:val="000000" w:themeColor="text1"/>
          <w14:textFill>
            <w14:solidFill>
              <w14:schemeClr w14:val="tx1"/>
            </w14:solidFill>
          </w14:textFill>
        </w:rPr>
      </w:pPr>
      <w:r>
        <w:rPr>
          <w:color w:val="000000" w:themeColor="text1"/>
          <w14:textFill>
            <w14:solidFill>
              <w14:schemeClr w14:val="tx1"/>
            </w14:solidFill>
          </w14:textFill>
        </w:rPr>
        <w:t>聚焦水利行业强监管要求，加强执法队伍和能力建设，构建智能化水行政执法体系，提高执法效率与规范化水平，强化水法规执行及监督，提高水行政执法效能，维护水法规的权威性、严肃性。</w:t>
      </w:r>
    </w:p>
    <w:p w14:paraId="4F7C618D">
      <w:pPr>
        <w:ind w:firstLine="640"/>
        <w:rPr>
          <w:color w:val="000000" w:themeColor="text1"/>
          <w14:textFill>
            <w14:solidFill>
              <w14:schemeClr w14:val="tx1"/>
            </w14:solidFill>
          </w14:textFill>
        </w:rPr>
      </w:pPr>
    </w:p>
    <w:p w14:paraId="6D18176D">
      <w:pPr>
        <w:ind w:firstLine="720"/>
        <w:rPr>
          <w:rFonts w:eastAsia="黑体" w:cs="黑体"/>
          <w:color w:val="000000" w:themeColor="text1"/>
          <w:sz w:val="36"/>
          <w:szCs w:val="36"/>
          <w14:textFill>
            <w14:solidFill>
              <w14:schemeClr w14:val="tx1"/>
            </w14:solidFill>
          </w14:textFill>
        </w:rPr>
      </w:pPr>
      <w:r>
        <w:rPr>
          <w:rFonts w:eastAsia="黑体" w:cs="黑体"/>
          <w:color w:val="000000" w:themeColor="text1"/>
          <w:sz w:val="36"/>
          <w:szCs w:val="36"/>
          <w14:textFill>
            <w14:solidFill>
              <w14:schemeClr w14:val="tx1"/>
            </w14:solidFill>
          </w14:textFill>
        </w:rPr>
        <w:br w:type="page"/>
      </w:r>
    </w:p>
    <w:p w14:paraId="3D11ED90">
      <w:pPr>
        <w:pStyle w:val="43"/>
        <w:rPr>
          <w:color w:val="000000" w:themeColor="text1"/>
          <w14:textFill>
            <w14:solidFill>
              <w14:schemeClr w14:val="tx1"/>
            </w14:solidFill>
          </w14:textFill>
        </w:rPr>
      </w:pPr>
      <w:bookmarkStart w:id="163" w:name="_Toc24283"/>
      <w:bookmarkStart w:id="164" w:name="_Toc27451"/>
      <w:r>
        <w:rPr>
          <w:color w:val="000000" w:themeColor="text1"/>
          <w14:textFill>
            <w14:solidFill>
              <w14:schemeClr w14:val="tx1"/>
            </w14:solidFill>
          </w14:textFill>
        </w:rPr>
        <w:t>改革创新，推进水治理能力现代化</w:t>
      </w:r>
      <w:bookmarkEnd w:id="162"/>
      <w:bookmarkEnd w:id="163"/>
      <w:bookmarkEnd w:id="164"/>
    </w:p>
    <w:p w14:paraId="21490B50">
      <w:pPr>
        <w:ind w:firstLine="640"/>
        <w:rPr>
          <w:color w:val="000000" w:themeColor="text1"/>
          <w14:textFill>
            <w14:solidFill>
              <w14:schemeClr w14:val="tx1"/>
            </w14:solidFill>
          </w14:textFill>
        </w:rPr>
      </w:pPr>
      <w:r>
        <w:rPr>
          <w:color w:val="000000" w:themeColor="text1"/>
          <w14:textFill>
            <w14:solidFill>
              <w14:schemeClr w14:val="tx1"/>
            </w14:solidFill>
          </w14:textFill>
        </w:rPr>
        <w:t>按照改革创新，推进水治理能力现代化的总体要求，针对水治理体制机制不健全、不完善的主要制约因素，按照“破障碍、激活力”的思路，发挥政府作用和市场机制协同作用，全面深化水利重点领域和关键环节改革，破除水利改革发展瓶颈，构建充满活力、富有效率、创新引领的水治理体制。</w:t>
      </w:r>
    </w:p>
    <w:p w14:paraId="711B3D50">
      <w:pPr>
        <w:pStyle w:val="45"/>
        <w:rPr>
          <w:color w:val="000000" w:themeColor="text1"/>
          <w14:textFill>
            <w14:solidFill>
              <w14:schemeClr w14:val="tx1"/>
            </w14:solidFill>
          </w14:textFill>
        </w:rPr>
      </w:pPr>
      <w:bookmarkStart w:id="165" w:name="_Toc15567"/>
      <w:bookmarkStart w:id="166" w:name="_Toc10620"/>
      <w:bookmarkStart w:id="167" w:name="_Toc28211"/>
      <w:bookmarkStart w:id="168" w:name="_Toc6010"/>
      <w:bookmarkStart w:id="169" w:name="_Toc11450"/>
      <w:r>
        <w:rPr>
          <w:color w:val="000000" w:themeColor="text1"/>
          <w14:textFill>
            <w14:solidFill>
              <w14:schemeClr w14:val="tx1"/>
            </w14:solidFill>
          </w14:textFill>
        </w:rPr>
        <w:t>全面推进依法治水</w:t>
      </w:r>
      <w:bookmarkEnd w:id="165"/>
      <w:r>
        <w:rPr>
          <w:color w:val="000000" w:themeColor="text1"/>
          <w14:textFill>
            <w14:solidFill>
              <w14:schemeClr w14:val="tx1"/>
            </w14:solidFill>
          </w14:textFill>
        </w:rPr>
        <w:t>，提升水利法制化水平</w:t>
      </w:r>
      <w:bookmarkEnd w:id="166"/>
      <w:bookmarkEnd w:id="167"/>
      <w:bookmarkEnd w:id="168"/>
    </w:p>
    <w:p w14:paraId="16973535">
      <w:pPr>
        <w:ind w:firstLine="640"/>
        <w:rPr>
          <w:color w:val="000000" w:themeColor="text1"/>
          <w14:textFill>
            <w14:solidFill>
              <w14:schemeClr w14:val="tx1"/>
            </w14:solidFill>
          </w14:textFill>
        </w:rPr>
      </w:pPr>
      <w:r>
        <w:rPr>
          <w:color w:val="000000" w:themeColor="text1"/>
          <w14:textFill>
            <w14:solidFill>
              <w14:schemeClr w14:val="tx1"/>
            </w14:solidFill>
          </w14:textFill>
        </w:rPr>
        <w:t>强化水利依法行政能力建设，牢固树立依法行政理念，坚持大胆执法、违法必究、规范管水、依法治水、科学用水。一是抓学习强领导，增强</w:t>
      </w:r>
      <w:r>
        <w:rPr>
          <w:rFonts w:hint="eastAsia"/>
          <w:color w:val="000000" w:themeColor="text1"/>
          <w:lang w:eastAsia="zh-CN"/>
          <w14:textFill>
            <w14:solidFill>
              <w14:schemeClr w14:val="tx1"/>
            </w14:solidFill>
          </w14:textFill>
        </w:rPr>
        <w:t>法治</w:t>
      </w:r>
      <w:r>
        <w:rPr>
          <w:color w:val="000000" w:themeColor="text1"/>
          <w14:textFill>
            <w14:solidFill>
              <w14:schemeClr w14:val="tx1"/>
            </w14:solidFill>
          </w14:textFill>
        </w:rPr>
        <w:t>意识，牢固树立“合法行政、合理行政、和谐行政”的理念，充分运用法治手段管理水力资源、水利工程和涉水事务，为建设易门县平安水利、和谐水利打造有序的水事管理秩序；二是抓队伍强职能，推进规范管水，易门县从经费保障、机构设立和机制建设等方面入手，强化履职能力，推进水政水资源规范化管理；三是抓执法树权威，推进依法治水，坚持把水行政执法作为推进水资源管理工作的重要手段，不断加大执法力度，维护健康的水事环境；四是抓宣传正意识，推进保护意识，开展水利普查法宣传教育，营造依法治水的浓厚氛围。</w:t>
      </w:r>
    </w:p>
    <w:p w14:paraId="346F1F73">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易门县进一步运用法治思维和法治方式引领规范水利改革发展各项工作，不断健全完善水法治体系，为强化水治理、保障水安全，实现水利现代化建设提供法治保障。</w:t>
      </w:r>
    </w:p>
    <w:bookmarkEnd w:id="169"/>
    <w:p w14:paraId="7CBE3A5F">
      <w:pPr>
        <w:pStyle w:val="45"/>
        <w:rPr>
          <w:color w:val="000000" w:themeColor="text1"/>
          <w14:textFill>
            <w14:solidFill>
              <w14:schemeClr w14:val="tx1"/>
            </w14:solidFill>
          </w14:textFill>
        </w:rPr>
      </w:pPr>
      <w:bookmarkStart w:id="170" w:name="_Toc7160"/>
      <w:bookmarkStart w:id="171" w:name="_Toc23422"/>
      <w:bookmarkStart w:id="172" w:name="_Toc30065"/>
      <w:bookmarkStart w:id="173" w:name="_Toc21889"/>
      <w:r>
        <w:rPr>
          <w:color w:val="000000" w:themeColor="text1"/>
          <w14:textFill>
            <w14:solidFill>
              <w14:schemeClr w14:val="tx1"/>
            </w14:solidFill>
          </w14:textFill>
        </w:rPr>
        <w:t>落实政府水安全保障责任，健全河湖管理长效机制</w:t>
      </w:r>
      <w:bookmarkEnd w:id="170"/>
      <w:bookmarkEnd w:id="171"/>
      <w:bookmarkEnd w:id="172"/>
    </w:p>
    <w:p w14:paraId="123ECA25">
      <w:pPr>
        <w:ind w:firstLine="640"/>
        <w:rPr>
          <w:color w:val="000000" w:themeColor="text1"/>
          <w14:textFill>
            <w14:solidFill>
              <w14:schemeClr w14:val="tx1"/>
            </w14:solidFill>
          </w14:textFill>
        </w:rPr>
      </w:pPr>
      <w:r>
        <w:rPr>
          <w:color w:val="000000" w:themeColor="text1"/>
          <w14:textFill>
            <w14:solidFill>
              <w14:schemeClr w14:val="tx1"/>
            </w14:solidFill>
          </w14:textFill>
        </w:rPr>
        <w:t>加强河湖水域管理与保护，全面落实河长制湖长制，建立健全全社会监督机制，统筹河湖水资源管理、水域岸线管理、排污管理、水环境管理、采砂管理等监管任务，强化监督检查问责，健全河湖管理保护长效机制。</w:t>
      </w:r>
    </w:p>
    <w:bookmarkEnd w:id="173"/>
    <w:p w14:paraId="60B48851">
      <w:pPr>
        <w:pStyle w:val="45"/>
        <w:rPr>
          <w:color w:val="000000" w:themeColor="text1"/>
          <w14:textFill>
            <w14:solidFill>
              <w14:schemeClr w14:val="tx1"/>
            </w14:solidFill>
          </w14:textFill>
        </w:rPr>
      </w:pPr>
      <w:bookmarkStart w:id="174" w:name="_Toc31562"/>
      <w:bookmarkStart w:id="175" w:name="_Toc25815"/>
      <w:bookmarkStart w:id="176" w:name="_Toc8571"/>
      <w:bookmarkStart w:id="177" w:name="_Toc17219"/>
      <w:r>
        <w:rPr>
          <w:color w:val="000000" w:themeColor="text1"/>
          <w14:textFill>
            <w14:solidFill>
              <w14:schemeClr w14:val="tx1"/>
            </w14:solidFill>
          </w14:textFill>
        </w:rPr>
        <w:t>充分发挥市场机制作用，促进水利工程良性运行</w:t>
      </w:r>
      <w:bookmarkEnd w:id="174"/>
      <w:bookmarkEnd w:id="175"/>
      <w:bookmarkEnd w:id="176"/>
    </w:p>
    <w:p w14:paraId="49A164A8">
      <w:pPr>
        <w:ind w:firstLine="640"/>
        <w:rPr>
          <w:color w:val="000000" w:themeColor="text1"/>
          <w14:textFill>
            <w14:solidFill>
              <w14:schemeClr w14:val="tx1"/>
            </w14:solidFill>
          </w14:textFill>
        </w:rPr>
      </w:pPr>
      <w:r>
        <w:rPr>
          <w:color w:val="000000" w:themeColor="text1"/>
          <w14:textFill>
            <w14:solidFill>
              <w14:schemeClr w14:val="tx1"/>
            </w14:solidFill>
          </w14:textFill>
        </w:rPr>
        <w:t>在强化政府责任的前提下，发挥市场作用，合理划定工程管理与保护范围，按照产权归属落实水利工程管护责任，合理选择管护模式，有序推进管护体制改革，健全工程维修养护机制，推动工程管理队伍专业化、规模化、规范化建设，促进水利工程良性运行。</w:t>
      </w:r>
    </w:p>
    <w:bookmarkEnd w:id="177"/>
    <w:p w14:paraId="2B4DA2E7">
      <w:pPr>
        <w:pStyle w:val="45"/>
        <w:rPr>
          <w:color w:val="000000" w:themeColor="text1"/>
          <w14:textFill>
            <w14:solidFill>
              <w14:schemeClr w14:val="tx1"/>
            </w14:solidFill>
          </w14:textFill>
        </w:rPr>
      </w:pPr>
      <w:bookmarkStart w:id="178" w:name="_Toc22638"/>
      <w:bookmarkStart w:id="179" w:name="_Toc19037"/>
      <w:bookmarkStart w:id="180" w:name="_Toc3053"/>
      <w:r>
        <w:rPr>
          <w:color w:val="000000" w:themeColor="text1"/>
          <w14:textFill>
            <w14:solidFill>
              <w14:schemeClr w14:val="tx1"/>
            </w14:solidFill>
          </w14:textFill>
        </w:rPr>
        <w:t>加强人才教育，提升水利行业能力</w:t>
      </w:r>
      <w:bookmarkEnd w:id="178"/>
      <w:bookmarkEnd w:id="179"/>
      <w:bookmarkEnd w:id="180"/>
    </w:p>
    <w:p w14:paraId="3785B858">
      <w:pPr>
        <w:ind w:firstLine="640"/>
        <w:rPr>
          <w:color w:val="000000" w:themeColor="text1"/>
          <w14:textFill>
            <w14:solidFill>
              <w14:schemeClr w14:val="tx1"/>
            </w14:solidFill>
          </w14:textFill>
        </w:rPr>
      </w:pPr>
      <w:bookmarkStart w:id="181" w:name="_Toc3243"/>
      <w:r>
        <w:rPr>
          <w:color w:val="000000" w:themeColor="text1"/>
          <w14:textFill>
            <w14:solidFill>
              <w14:schemeClr w14:val="tx1"/>
            </w14:solidFill>
          </w14:textFill>
        </w:rPr>
        <w:t>“水利大业，人才为本”，从传统水利向现代水利和可持续水利的治水思路的转变过程中，抓好水利人才队伍建设，稳定人才队伍，调动各方面人才的积极性、创造性，充分发挥人才在水利经济建设和发展中的作用，是摆在水利事业面前的一大课题。可以从以下两个方面进行人才教育：</w:t>
      </w:r>
    </w:p>
    <w:p w14:paraId="5232BE8B">
      <w:pPr>
        <w:ind w:firstLine="640"/>
        <w:rPr>
          <w:color w:val="000000" w:themeColor="text1"/>
          <w14:textFill>
            <w14:solidFill>
              <w14:schemeClr w14:val="tx1"/>
            </w14:solidFill>
          </w14:textFill>
        </w:rPr>
      </w:pPr>
      <w:r>
        <w:rPr>
          <w:color w:val="000000" w:themeColor="text1"/>
          <w14:textFill>
            <w14:solidFill>
              <w14:schemeClr w14:val="tx1"/>
            </w14:solidFill>
          </w14:textFill>
        </w:rPr>
        <w:t>完善机制建设：一是建立科学的人才评价机制，树立科学的人才观，客服官本位意识，建立多元化的人才评价指标和参数体系；二是形成有效的激励机制，建立有效的政策和措施，实行有效激励，不断增强各类人才的成就感和责任感，激发他们的进取精神和竞争意识，逐步形成“尊重劳动、尊重知识、尊重创造、尊重人才”的良好人才成长环境；三是创新人才管理体制和机制，树立党管人才的观念，就是更好地统筹人才工作，最大限度地把各类优秀人才凝聚到水利事业中来。</w:t>
      </w:r>
    </w:p>
    <w:p w14:paraId="6EBB6FE7">
      <w:pPr>
        <w:ind w:firstLine="640"/>
        <w:rPr>
          <w:color w:val="000000" w:themeColor="text1"/>
          <w14:textFill>
            <w14:solidFill>
              <w14:schemeClr w14:val="tx1"/>
            </w14:solidFill>
          </w14:textFill>
        </w:rPr>
      </w:pPr>
      <w:r>
        <w:rPr>
          <w:color w:val="000000" w:themeColor="text1"/>
          <w14:textFill>
            <w14:solidFill>
              <w14:schemeClr w14:val="tx1"/>
            </w14:solidFill>
          </w14:textFill>
        </w:rPr>
        <w:t>加强水利人才队伍建设：一是党政人才队伍建设，坚持以人为本，通过脱产学习、外出进修、对外交流、岗位培训等继续教育和培养制度，不断提高水利工作人才的判断能力、依法行政能力和纵览全局能力；二是专业技术人才队伍建设，围绕水利重点工程建设、重要课题研究、重点发展领域，培养一批技术带头人，发挥水利专业技术人员为水利建设服务，实行政策倾斜，大力吸引人才，建立激励机制，全面用活人才，改善人才环境，切实留住人才；三是经营管理人才队伍建设，加快培养一批职业化，现代化的优秀经营管理人才，以创新精神、创业能力和经营管理水平为核心，有计划有重点的选派经营管理人员参加培训；四是水利技能人才队伍建设，树立全面的人才观，激励水利技能人才爱岗敬业，岗位成才。</w:t>
      </w:r>
    </w:p>
    <w:p w14:paraId="1D889FD0">
      <w:pPr>
        <w:ind w:firstLine="640"/>
        <w:rPr>
          <w:color w:val="000000" w:themeColor="text1"/>
          <w14:textFill>
            <w14:solidFill>
              <w14:schemeClr w14:val="tx1"/>
            </w14:solidFill>
          </w14:textFill>
        </w:rPr>
      </w:pPr>
      <w:r>
        <w:rPr>
          <w:color w:val="000000" w:themeColor="text1"/>
          <w14:textFill>
            <w14:solidFill>
              <w14:schemeClr w14:val="tx1"/>
            </w14:solidFill>
          </w14:textFill>
        </w:rPr>
        <w:t>时代呼唤人才，事业需要人才，加快培养和造就一支规模宏大、结构合理、适应现代水利和可持续发展水利需要的高素质的人才队伍，是振兴易门县水利事业的永恒主体。</w:t>
      </w:r>
    </w:p>
    <w:bookmarkEnd w:id="181"/>
    <w:p w14:paraId="78E3C06E">
      <w:pPr>
        <w:pStyle w:val="45"/>
        <w:rPr>
          <w:color w:val="000000" w:themeColor="text1"/>
          <w14:textFill>
            <w14:solidFill>
              <w14:schemeClr w14:val="tx1"/>
            </w14:solidFill>
          </w14:textFill>
        </w:rPr>
      </w:pPr>
      <w:bookmarkStart w:id="182" w:name="_Toc1216"/>
      <w:bookmarkStart w:id="183" w:name="_Toc8688"/>
      <w:bookmarkStart w:id="184" w:name="_Toc32725"/>
      <w:r>
        <w:rPr>
          <w:color w:val="000000" w:themeColor="text1"/>
          <w14:textFill>
            <w14:solidFill>
              <w14:schemeClr w14:val="tx1"/>
            </w14:solidFill>
          </w14:textFill>
        </w:rPr>
        <w:t>深化水资源税和水价改革，提高水资源利用效率和效益</w:t>
      </w:r>
      <w:bookmarkEnd w:id="182"/>
      <w:bookmarkEnd w:id="183"/>
      <w:bookmarkEnd w:id="184"/>
    </w:p>
    <w:p w14:paraId="45060C7B">
      <w:pPr>
        <w:ind w:firstLine="640"/>
        <w:rPr>
          <w:color w:val="000000" w:themeColor="text1"/>
          <w14:textFill>
            <w14:solidFill>
              <w14:schemeClr w14:val="tx1"/>
            </w14:solidFill>
          </w14:textFill>
        </w:rPr>
      </w:pPr>
      <w:bookmarkStart w:id="185" w:name="_Toc22424"/>
      <w:r>
        <w:rPr>
          <w:color w:val="000000" w:themeColor="text1"/>
          <w14:textFill>
            <w14:solidFill>
              <w14:schemeClr w14:val="tx1"/>
            </w14:solidFill>
          </w14:textFill>
        </w:rPr>
        <w:t>充分发挥价格调节作用，推动完善水价形成机制和动态调整机制。深化水资源税改革，探索建立市场化、多元化水生态补偿机制。全面实行城镇居民用水阶梯价格制度、非居民用水超定额累进加价制度，拉大特种行业用水与非居民用水的价差，合理确定再生水价格，促进节约高效用水。探索水权改革，提高水资源利用效率和效益。</w:t>
      </w:r>
    </w:p>
    <w:bookmarkEnd w:id="185"/>
    <w:p w14:paraId="302605BE">
      <w:pPr>
        <w:pStyle w:val="45"/>
        <w:rPr>
          <w:color w:val="000000" w:themeColor="text1"/>
          <w14:textFill>
            <w14:solidFill>
              <w14:schemeClr w14:val="tx1"/>
            </w14:solidFill>
          </w14:textFill>
        </w:rPr>
      </w:pPr>
      <w:bookmarkStart w:id="186" w:name="_Toc24019"/>
      <w:bookmarkStart w:id="187" w:name="_Toc7231"/>
      <w:bookmarkStart w:id="188" w:name="_Toc17719"/>
      <w:r>
        <w:rPr>
          <w:color w:val="000000" w:themeColor="text1"/>
          <w14:textFill>
            <w14:solidFill>
              <w14:schemeClr w14:val="tx1"/>
            </w14:solidFill>
          </w14:textFill>
        </w:rPr>
        <w:t>健全财政投入保障机制，保障建设资金需求</w:t>
      </w:r>
      <w:bookmarkEnd w:id="186"/>
      <w:bookmarkEnd w:id="187"/>
      <w:bookmarkEnd w:id="188"/>
    </w:p>
    <w:p w14:paraId="0CEADA9C">
      <w:pPr>
        <w:ind w:firstLine="640"/>
        <w:rPr>
          <w:color w:val="000000" w:themeColor="text1"/>
          <w14:textFill>
            <w14:solidFill>
              <w14:schemeClr w14:val="tx1"/>
            </w14:solidFill>
          </w14:textFill>
        </w:rPr>
      </w:pPr>
      <w:bookmarkStart w:id="189" w:name="_Toc9169"/>
      <w:r>
        <w:rPr>
          <w:color w:val="000000" w:themeColor="text1"/>
          <w14:textFill>
            <w14:solidFill>
              <w14:schemeClr w14:val="tx1"/>
            </w14:solidFill>
          </w14:textFill>
        </w:rPr>
        <w:t>坚持政府主导、社会协同的原则，加大公共财政对水利投入，加大金融支持力度，鼓励和吸引社会资本，构建多元化水利投、融资体制机制，保障水利建设资金需求。健全财政投入保障机制明确各级政府水安全保障支出责任，做好资金监控监管，提高财政资金使用效益。</w:t>
      </w:r>
    </w:p>
    <w:p w14:paraId="16A2C614">
      <w:pPr>
        <w:pStyle w:val="45"/>
        <w:rPr>
          <w:color w:val="000000" w:themeColor="text1"/>
          <w14:textFill>
            <w14:solidFill>
              <w14:schemeClr w14:val="tx1"/>
            </w14:solidFill>
          </w14:textFill>
        </w:rPr>
      </w:pPr>
      <w:bookmarkStart w:id="190" w:name="_Toc23655"/>
      <w:bookmarkStart w:id="191" w:name="_Toc31722"/>
      <w:bookmarkStart w:id="192" w:name="_Toc25473"/>
      <w:r>
        <w:rPr>
          <w:color w:val="000000" w:themeColor="text1"/>
          <w14:textFill>
            <w14:solidFill>
              <w14:schemeClr w14:val="tx1"/>
            </w14:solidFill>
          </w14:textFill>
        </w:rPr>
        <w:t>加强创新引领，提升水利行业科技支撑能力</w:t>
      </w:r>
      <w:bookmarkEnd w:id="190"/>
      <w:bookmarkEnd w:id="191"/>
      <w:bookmarkEnd w:id="192"/>
    </w:p>
    <w:p w14:paraId="4CD5BB48">
      <w:pPr>
        <w:ind w:firstLine="640"/>
        <w:rPr>
          <w:color w:val="000000" w:themeColor="text1"/>
          <w14:textFill>
            <w14:solidFill>
              <w14:schemeClr w14:val="tx1"/>
            </w14:solidFill>
          </w14:textFill>
        </w:rPr>
      </w:pPr>
      <w:r>
        <w:rPr>
          <w:color w:val="000000" w:themeColor="text1"/>
          <w14:textFill>
            <w14:solidFill>
              <w14:schemeClr w14:val="tx1"/>
            </w14:solidFill>
          </w14:textFill>
        </w:rPr>
        <w:t>以水安全保障的科技需求为导向，深化水利科技体制改革，统筹推进各类人才队伍建设，增加创新活力，加强重大科技问题研究，加快科技成果推广应用，为水利高质量发展提供强有力科技支撑。</w:t>
      </w:r>
    </w:p>
    <w:p w14:paraId="133E53E1">
      <w:pPr>
        <w:pStyle w:val="45"/>
        <w:rPr>
          <w:color w:val="000000" w:themeColor="text1"/>
          <w14:textFill>
            <w14:solidFill>
              <w14:schemeClr w14:val="tx1"/>
            </w14:solidFill>
          </w14:textFill>
        </w:rPr>
      </w:pPr>
      <w:r>
        <w:rPr>
          <w:color w:val="000000" w:themeColor="text1"/>
          <w14:textFill>
            <w14:solidFill>
              <w14:schemeClr w14:val="tx1"/>
            </w14:solidFill>
          </w14:textFill>
        </w:rPr>
        <w:t>推进智慧水利建设</w:t>
      </w:r>
    </w:p>
    <w:p w14:paraId="5D418466">
      <w:pPr>
        <w:ind w:firstLine="640"/>
        <w:rPr>
          <w:color w:val="000000" w:themeColor="text1"/>
          <w14:textFill>
            <w14:solidFill>
              <w14:schemeClr w14:val="tx1"/>
            </w14:solidFill>
          </w14:textFill>
        </w:rPr>
      </w:pPr>
      <w:r>
        <w:rPr>
          <w:color w:val="000000" w:themeColor="text1"/>
          <w14:textFill>
            <w14:solidFill>
              <w14:schemeClr w14:val="tx1"/>
            </w14:solidFill>
          </w14:textFill>
        </w:rPr>
        <w:t>全面推进水利现代化、信息化工作，选择先进稳定、经济适用的信息化技术，聚焦政府监管、江河调度、工程运行、应急处置、高效便民等业务需求，建设智慧水利体系。开展水、雨、工情等数据的自动化传感或人工方式的采集，实现数据从采集、传输、处理、整编、分析、展现以及数据推送的规范化数据服务，实现设备监测数据和运行状态智能化运维管理，水利地理信息服务等全业务的集成和全方位通用一体化应用。</w:t>
      </w:r>
    </w:p>
    <w:p w14:paraId="0FC7D179">
      <w:pPr>
        <w:pStyle w:val="45"/>
        <w:rPr>
          <w:color w:val="000000" w:themeColor="text1"/>
          <w14:textFill>
            <w14:solidFill>
              <w14:schemeClr w14:val="tx1"/>
            </w14:solidFill>
          </w14:textFill>
        </w:rPr>
      </w:pPr>
      <w:r>
        <w:rPr>
          <w:color w:val="000000" w:themeColor="text1"/>
          <w14:textFill>
            <w14:solidFill>
              <w14:schemeClr w14:val="tx1"/>
            </w14:solidFill>
          </w14:textFill>
        </w:rPr>
        <w:t>加大农业水价综合改革</w:t>
      </w:r>
    </w:p>
    <w:p w14:paraId="0D0A83A5">
      <w:pPr>
        <w:ind w:firstLine="640"/>
        <w:rPr>
          <w:color w:val="000000" w:themeColor="text1"/>
          <w14:textFill>
            <w14:solidFill>
              <w14:schemeClr w14:val="tx1"/>
            </w14:solidFill>
          </w14:textFill>
        </w:rPr>
      </w:pPr>
      <w:r>
        <w:rPr>
          <w:color w:val="000000" w:themeColor="text1"/>
          <w14:textFill>
            <w14:solidFill>
              <w14:schemeClr w14:val="tx1"/>
            </w14:solidFill>
          </w14:textFill>
        </w:rPr>
        <w:t>农村水利改革工作中，税费改革后，农业水费征收难度加大，2012年易门县取消了县管水利工程供水的农业水费，推进水利工程供水价格改革有较大难度。按照细化计量单元的要求和因地制宜、经济实用的原则，加强农村渠系及供水计量体系建设。新建、改扩建工程同步建设计量设施，尚未配备计量设施的已建工程要抓紧改造配套。</w:t>
      </w:r>
      <w:r>
        <w:rPr>
          <w:color w:val="000000" w:themeColor="text1"/>
          <w:szCs w:val="32"/>
          <w14:textFill>
            <w14:solidFill>
              <w14:schemeClr w14:val="tx1"/>
            </w14:solidFill>
          </w14:textFill>
        </w:rPr>
        <w:t>全面落实最严格水资源管理制度，逐步建立农业灌溉用水总量控制和定额管理制度。建立健全水市场交易平台，积极开展水权交易，鼓励用水主体转让节水量，县人民政府或其授权的水行政主管部门、灌区管理单位可予以回购。发展农民用水自治、专业化服务、水管单位管理和用水主体参与等多种形式的终端用水管理模式。发展规模化高效节水灌溉为引导，以高原特色农业现代化建设为抓手，不断优化农业生产结构和区域布局，加快构建高产、优质、高效、生态、安全的现代农业生产体系和产业体系，提高农业用水效率和效益。加强农业用水需求管理，积极开展节水农业试验示范和技术培训，根据水资源承载能力和自然、经济、社会条件，推广高效节水灌溉新技术、新产品，提高农民科学用水的能力和水平。综合考虑水资源稀缺程度和农民承受能力，完善计量设施建设、明晰初始水权、实施精准补贴机制和节水奖励机制，建立健全合理反映供水成本、有利于节约用水、保证水利工程正常维护运行的农业水价形成机制。在保证农业基本用水需求的基础上，建立</w:t>
      </w:r>
      <w:r>
        <w:rPr>
          <w:rFonts w:eastAsia="微软雅黑"/>
          <w:color w:val="000000" w:themeColor="text1"/>
          <w:szCs w:val="32"/>
          <w14:textFill>
            <w14:solidFill>
              <w14:schemeClr w14:val="tx1"/>
            </w14:solidFill>
          </w14:textFill>
        </w:rPr>
        <w:t>“</w:t>
      </w:r>
      <w:r>
        <w:rPr>
          <w:color w:val="000000" w:themeColor="text1"/>
          <w:szCs w:val="32"/>
          <w14:textFill>
            <w14:solidFill>
              <w14:schemeClr w14:val="tx1"/>
            </w14:solidFill>
          </w14:textFill>
        </w:rPr>
        <w:t>多用水多付费、少用水少付费、节约用水得补贴</w:t>
      </w:r>
      <w:r>
        <w:rPr>
          <w:rFonts w:eastAsia="微软雅黑"/>
          <w:color w:val="000000" w:themeColor="text1"/>
          <w:szCs w:val="32"/>
          <w14:textFill>
            <w14:solidFill>
              <w14:schemeClr w14:val="tx1"/>
            </w14:solidFill>
          </w14:textFill>
        </w:rPr>
        <w:t>”</w:t>
      </w:r>
      <w:r>
        <w:rPr>
          <w:color w:val="000000" w:themeColor="text1"/>
          <w:szCs w:val="32"/>
          <w14:textFill>
            <w14:solidFill>
              <w14:schemeClr w14:val="tx1"/>
            </w14:solidFill>
          </w14:textFill>
        </w:rPr>
        <w:t>机制。</w:t>
      </w:r>
    </w:p>
    <w:p w14:paraId="32EBACC0">
      <w:pPr>
        <w:widowControl/>
        <w:adjustRightInd/>
        <w:snapToGrid/>
        <w:spacing w:line="240" w:lineRule="auto"/>
        <w:ind w:firstLine="0" w:firstLineChars="0"/>
        <w:jc w:val="left"/>
        <w:rPr>
          <w:rFonts w:eastAsia="黑体" w:cs="Arial"/>
          <w:color w:val="000000" w:themeColor="text1"/>
          <w:sz w:val="36"/>
          <w:szCs w:val="30"/>
          <w14:textFill>
            <w14:solidFill>
              <w14:schemeClr w14:val="tx1"/>
            </w14:solidFill>
          </w14:textFill>
        </w:rPr>
      </w:pPr>
      <w:r>
        <w:rPr>
          <w:color w:val="000000" w:themeColor="text1"/>
          <w14:textFill>
            <w14:solidFill>
              <w14:schemeClr w14:val="tx1"/>
            </w14:solidFill>
          </w14:textFill>
        </w:rPr>
        <w:br w:type="page"/>
      </w:r>
    </w:p>
    <w:p w14:paraId="3422DAF1">
      <w:pPr>
        <w:pStyle w:val="43"/>
        <w:rPr>
          <w:color w:val="000000" w:themeColor="text1"/>
          <w14:textFill>
            <w14:solidFill>
              <w14:schemeClr w14:val="tx1"/>
            </w14:solidFill>
          </w14:textFill>
        </w:rPr>
      </w:pPr>
      <w:r>
        <w:rPr>
          <w:color w:val="000000" w:themeColor="text1"/>
          <w14:textFill>
            <w14:solidFill>
              <w14:schemeClr w14:val="tx1"/>
            </w14:solidFill>
          </w14:textFill>
        </w:rPr>
        <w:t>环境影响评价</w:t>
      </w:r>
    </w:p>
    <w:p w14:paraId="5AE75D93">
      <w:pPr>
        <w:pStyle w:val="45"/>
        <w:rPr>
          <w:color w:val="000000" w:themeColor="text1"/>
          <w14:textFill>
            <w14:solidFill>
              <w14:schemeClr w14:val="tx1"/>
            </w14:solidFill>
          </w14:textFill>
        </w:rPr>
      </w:pPr>
      <w:bookmarkStart w:id="193" w:name="_Toc58952023"/>
      <w:bookmarkStart w:id="194" w:name="_Toc65252045"/>
      <w:bookmarkStart w:id="195" w:name="_Toc58952026"/>
      <w:r>
        <w:rPr>
          <w:color w:val="000000" w:themeColor="text1"/>
          <w14:textFill>
            <w14:solidFill>
              <w14:schemeClr w14:val="tx1"/>
            </w14:solidFill>
          </w14:textFill>
        </w:rPr>
        <w:t>环境影响分析依据</w:t>
      </w:r>
      <w:bookmarkEnd w:id="193"/>
      <w:bookmarkEnd w:id="194"/>
    </w:p>
    <w:p w14:paraId="110136D5">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本章节依据相关规范，从可持续发展的战略角度，对《易门县“十四五”水安全保障规划》进行环境影响预测和评价，研究保护和改善环境对策，完善规划方案，预防规划实施后可能造成的不良环境影响，协调经济增长、社会进步与环境保护的关系。主要评价依据如下：</w:t>
      </w:r>
    </w:p>
    <w:p w14:paraId="3DBA10EB">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1、法律、法规</w:t>
      </w:r>
    </w:p>
    <w:p w14:paraId="7C13F8A5">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（1）《中华人民共和国环境保护法》，2015年1月；</w:t>
      </w:r>
    </w:p>
    <w:p w14:paraId="2DD49457">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（2）《中华人民共和国环境影响评价法》，2002年10月；</w:t>
      </w:r>
    </w:p>
    <w:p w14:paraId="701DCC7E">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（3）《中华人民共和国水污染防治法》，2008年2月；</w:t>
      </w:r>
    </w:p>
    <w:p w14:paraId="5F3BA791">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（4）《中华人民共和国大气污染防治法》，2016年1月；</w:t>
      </w:r>
    </w:p>
    <w:p w14:paraId="392EDF95">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（5）《中华人民共和国环境噪声污染防治法》，1996年10月；</w:t>
      </w:r>
    </w:p>
    <w:p w14:paraId="2D23BE93">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（6）《中华人民共和国固体废物污染环境防治法》，2004年12月修订；</w:t>
      </w:r>
    </w:p>
    <w:p w14:paraId="784E97E8">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（7）《规划环境影响评价条例》，国务院令第559号；</w:t>
      </w:r>
    </w:p>
    <w:p w14:paraId="030668E0">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（8）《关于进一步加强水利规划环境影响评价工作的通知》，2014年3月。</w:t>
      </w:r>
    </w:p>
    <w:p w14:paraId="55A41C68">
      <w:pPr>
        <w:pageBreakBefore/>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2、技术规范</w:t>
      </w:r>
    </w:p>
    <w:p w14:paraId="72FA0CF8">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（1）《环境影响评价技术导则—总纲》，HJ2.1-2011；</w:t>
      </w:r>
    </w:p>
    <w:p w14:paraId="2A8E1486">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（2）《环境影响评价技术导则—大气环境》，HJ2.2-2008；</w:t>
      </w:r>
    </w:p>
    <w:p w14:paraId="1E8FB452">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（3）《环境影响评价技术导则—地面水环境》，HJ/T2.3-1993；</w:t>
      </w:r>
    </w:p>
    <w:p w14:paraId="0DB8B205">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（4）《环境影响评价技术导则—声环境》，HJ2.4-2009；</w:t>
      </w:r>
    </w:p>
    <w:p w14:paraId="0245A8CA">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（5）《环境影响评价技术导则—生态影响》，HJ19-2011；</w:t>
      </w:r>
    </w:p>
    <w:p w14:paraId="143AB355">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（6）《规划环境影响评价技术导则（总纲）》，HJ130-2014；</w:t>
      </w:r>
    </w:p>
    <w:p w14:paraId="059A331C">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（7）《江河流域规划环境影响评价规范》，SL45-2006；</w:t>
      </w:r>
    </w:p>
    <w:p w14:paraId="1A1CD78C">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（8）《环境影响评价技术导则—水利水电工程》，HJ/T88-2003；</w:t>
      </w:r>
    </w:p>
    <w:p w14:paraId="7D4057F0">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（9）《开发建设项目水土保持方案技术规范》，GB/T 50433-2008；</w:t>
      </w:r>
    </w:p>
    <w:p w14:paraId="51EACE55">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（10）《流域规划环境影响评价技术指导意见》（水利部印发）；</w:t>
      </w:r>
    </w:p>
    <w:p w14:paraId="4D1A9C57">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3、相关技术资料</w:t>
      </w:r>
    </w:p>
    <w:p w14:paraId="09E07C49">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（1）《云南省水功能区划（2014年修订）》。</w:t>
      </w:r>
    </w:p>
    <w:p w14:paraId="5E178534">
      <w:pPr>
        <w:pStyle w:val="45"/>
        <w:rPr>
          <w:color w:val="000000" w:themeColor="text1"/>
          <w14:textFill>
            <w14:solidFill>
              <w14:schemeClr w14:val="tx1"/>
            </w14:solidFill>
          </w14:textFill>
        </w:rPr>
      </w:pPr>
      <w:bookmarkStart w:id="196" w:name="_Toc58952024"/>
      <w:bookmarkStart w:id="197" w:name="_Toc65252046"/>
      <w:r>
        <w:rPr>
          <w:color w:val="000000" w:themeColor="text1"/>
          <w14:textFill>
            <w14:solidFill>
              <w14:schemeClr w14:val="tx1"/>
            </w14:solidFill>
          </w14:textFill>
        </w:rPr>
        <w:t>环境评价范围</w:t>
      </w:r>
      <w:bookmarkEnd w:id="196"/>
      <w:bookmarkEnd w:id="197"/>
    </w:p>
    <w:p w14:paraId="5C83FBD8">
      <w:pPr>
        <w:ind w:firstLine="640"/>
        <w:rPr>
          <w:color w:val="000000" w:themeColor="text1"/>
          <w14:textFill>
            <w14:solidFill>
              <w14:schemeClr w14:val="tx1"/>
            </w14:solidFill>
          </w14:textFill>
        </w:rPr>
      </w:pPr>
      <w:r>
        <w:rPr>
          <w:color w:val="000000" w:themeColor="text1"/>
          <w14:textFill>
            <w14:solidFill>
              <w14:schemeClr w14:val="tx1"/>
            </w14:solidFill>
          </w14:textFill>
        </w:rPr>
        <w:t>本次《易门县“十四五”水安全保障规划》环境评价范围按照易门县规划实施可能影响的空间尺度确定，包括规划区域以及规划实施直接影响的周边地域。本次规划范围为易门县</w:t>
      </w:r>
      <w:r>
        <w:rPr>
          <w:color w:val="000000" w:themeColor="text1"/>
          <w:szCs w:val="32"/>
          <w:shd w:val="clear" w:color="auto" w:fill="FFFFFF"/>
          <w14:textFill>
            <w14:solidFill>
              <w14:schemeClr w14:val="tx1"/>
            </w14:solidFill>
          </w14:textFill>
        </w:rPr>
        <w:t>全县2个街道办事处、1个镇、4个乡，39个村委会、19个社区居委会，498个村民小组、268个社区居民小组，792个自然村。</w:t>
      </w:r>
    </w:p>
    <w:p w14:paraId="6C9E38A9">
      <w:pPr>
        <w:pStyle w:val="45"/>
        <w:rPr>
          <w:color w:val="000000" w:themeColor="text1"/>
          <w14:textFill>
            <w14:solidFill>
              <w14:schemeClr w14:val="tx1"/>
            </w14:solidFill>
          </w14:textFill>
        </w:rPr>
      </w:pPr>
      <w:bookmarkStart w:id="198" w:name="_Toc65252047"/>
      <w:bookmarkStart w:id="199" w:name="_Toc58952025"/>
      <w:r>
        <w:rPr>
          <w:color w:val="000000" w:themeColor="text1"/>
          <w14:textFill>
            <w14:solidFill>
              <w14:schemeClr w14:val="tx1"/>
            </w14:solidFill>
          </w14:textFill>
        </w:rPr>
        <w:t>环境保护目标</w:t>
      </w:r>
      <w:bookmarkEnd w:id="198"/>
      <w:bookmarkEnd w:id="199"/>
    </w:p>
    <w:p w14:paraId="176D20DC">
      <w:pPr>
        <w:ind w:firstLine="640"/>
        <w:rPr>
          <w:color w:val="000000" w:themeColor="text1"/>
          <w14:textFill>
            <w14:solidFill>
              <w14:schemeClr w14:val="tx1"/>
            </w14:solidFill>
          </w14:textFill>
        </w:rPr>
      </w:pPr>
      <w:r>
        <w:rPr>
          <w:color w:val="000000" w:themeColor="text1"/>
          <w14:textFill>
            <w14:solidFill>
              <w14:schemeClr w14:val="tx1"/>
            </w14:solidFill>
          </w14:textFill>
        </w:rPr>
        <w:t>1、生态环境</w:t>
      </w:r>
    </w:p>
    <w:p w14:paraId="642D94C6">
      <w:pPr>
        <w:ind w:firstLine="640"/>
        <w:rPr>
          <w:color w:val="000000" w:themeColor="text1"/>
          <w14:textFill>
            <w14:solidFill>
              <w14:schemeClr w14:val="tx1"/>
            </w14:solidFill>
          </w14:textFill>
        </w:rPr>
      </w:pPr>
      <w:r>
        <w:rPr>
          <w:color w:val="000000" w:themeColor="text1"/>
          <w14:textFill>
            <w14:solidFill>
              <w14:schemeClr w14:val="tx1"/>
            </w14:solidFill>
          </w14:textFill>
        </w:rPr>
        <w:t>维护与改善河流生态功能，保护易门县自然生态系统和生物多样性，保障河道生态水量，保护流域内珍稀鱼类和重要经济鱼类的生活环境，维护流域自然生态环境功能的适宜与稳定。</w:t>
      </w:r>
    </w:p>
    <w:p w14:paraId="754F5167">
      <w:pPr>
        <w:ind w:firstLine="640"/>
        <w:rPr>
          <w:color w:val="000000" w:themeColor="text1"/>
          <w14:textFill>
            <w14:solidFill>
              <w14:schemeClr w14:val="tx1"/>
            </w14:solidFill>
          </w14:textFill>
        </w:rPr>
      </w:pPr>
      <w:r>
        <w:rPr>
          <w:color w:val="000000" w:themeColor="text1"/>
          <w14:textFill>
            <w14:solidFill>
              <w14:schemeClr w14:val="tx1"/>
            </w14:solidFill>
          </w14:textFill>
        </w:rPr>
        <w:t>2、水环境</w:t>
      </w:r>
    </w:p>
    <w:p w14:paraId="28086A59">
      <w:pPr>
        <w:ind w:firstLine="640"/>
        <w:rPr>
          <w:color w:val="000000" w:themeColor="text1"/>
          <w14:textFill>
            <w14:solidFill>
              <w14:schemeClr w14:val="tx1"/>
            </w14:solidFill>
          </w14:textFill>
        </w:rPr>
      </w:pPr>
      <w:r>
        <w:rPr>
          <w:color w:val="000000" w:themeColor="text1"/>
          <w14:textFill>
            <w14:solidFill>
              <w14:schemeClr w14:val="tx1"/>
            </w14:solidFill>
          </w14:textFill>
        </w:rPr>
        <w:t>维护和保护全县河流水域功能和水质目标达标，保护规划涉及的饮用水水源地。</w:t>
      </w:r>
    </w:p>
    <w:p w14:paraId="5E585D7F">
      <w:pPr>
        <w:ind w:firstLine="640"/>
        <w:rPr>
          <w:color w:val="000000" w:themeColor="text1"/>
          <w14:textFill>
            <w14:solidFill>
              <w14:schemeClr w14:val="tx1"/>
            </w14:solidFill>
          </w14:textFill>
        </w:rPr>
      </w:pPr>
      <w:r>
        <w:rPr>
          <w:color w:val="000000" w:themeColor="text1"/>
          <w14:textFill>
            <w14:solidFill>
              <w14:schemeClr w14:val="tx1"/>
            </w14:solidFill>
          </w14:textFill>
        </w:rPr>
        <w:t>3、社会环境</w:t>
      </w:r>
    </w:p>
    <w:p w14:paraId="00078D94">
      <w:pPr>
        <w:ind w:firstLine="640"/>
        <w:rPr>
          <w:color w:val="000000" w:themeColor="text1"/>
          <w14:textFill>
            <w14:solidFill>
              <w14:schemeClr w14:val="tx1"/>
            </w14:solidFill>
          </w14:textFill>
        </w:rPr>
      </w:pPr>
      <w:r>
        <w:rPr>
          <w:color w:val="000000" w:themeColor="text1"/>
          <w14:textFill>
            <w14:solidFill>
              <w14:schemeClr w14:val="tx1"/>
            </w14:solidFill>
          </w14:textFill>
        </w:rPr>
        <w:t>通过“十四五”水安全保障体系建设，使得全县的供水安全保障能力、水资源统筹调配能力、水生态环境保护能力、防洪减灾能力及应急保障能力得到明显提高，促进经济社会可持续发展。</w:t>
      </w:r>
    </w:p>
    <w:p w14:paraId="0202B144">
      <w:pPr>
        <w:pStyle w:val="45"/>
        <w:rPr>
          <w:color w:val="000000" w:themeColor="text1"/>
          <w14:textFill>
            <w14:solidFill>
              <w14:schemeClr w14:val="tx1"/>
            </w14:solidFill>
          </w14:textFill>
        </w:rPr>
      </w:pPr>
      <w:bookmarkStart w:id="200" w:name="_Toc65252048"/>
      <w:r>
        <w:rPr>
          <w:color w:val="000000" w:themeColor="text1"/>
          <w14:textFill>
            <w14:solidFill>
              <w14:schemeClr w14:val="tx1"/>
            </w14:solidFill>
          </w14:textFill>
        </w:rPr>
        <w:t>水环境质量现状</w:t>
      </w:r>
      <w:bookmarkEnd w:id="195"/>
      <w:bookmarkEnd w:id="200"/>
    </w:p>
    <w:p w14:paraId="20A6C6E0">
      <w:pPr>
        <w:ind w:firstLine="640"/>
        <w:rPr>
          <w:color w:val="000000" w:themeColor="text1"/>
          <w14:textFill>
            <w14:solidFill>
              <w14:schemeClr w14:val="tx1"/>
            </w14:solidFill>
          </w14:textFill>
        </w:rPr>
      </w:pPr>
      <w:r>
        <w:rPr>
          <w:color w:val="000000" w:themeColor="text1"/>
          <w14:textFill>
            <w14:solidFill>
              <w14:schemeClr w14:val="tx1"/>
            </w14:solidFill>
          </w14:textFill>
        </w:rPr>
        <w:t>1、主要河流及水库水质情况</w:t>
      </w:r>
    </w:p>
    <w:p w14:paraId="6F78C2FA">
      <w:pPr>
        <w:ind w:firstLine="640"/>
        <w:rPr>
          <w:color w:val="000000" w:themeColor="text1"/>
          <w14:textFill>
            <w14:solidFill>
              <w14:schemeClr w14:val="tx1"/>
            </w14:solidFill>
          </w14:textFill>
        </w:rPr>
      </w:pPr>
      <w:r>
        <w:rPr>
          <w:color w:val="000000" w:themeColor="text1"/>
          <w14:textFill>
            <w14:solidFill>
              <w14:schemeClr w14:val="tx1"/>
            </w14:solidFill>
          </w14:textFill>
        </w:rPr>
        <w:t>通过对主要湖库及河流水质进行综合监测评价，目前湖库水质全部达标，部分河流水质不容乐观；下一步需要下力度保护河流水质。由此可见，随着河道及水库取水量增加，河流水量减少，纳污能力降低，加上污水排放量逐年增加，导致水质污染恶化，进一步影响供水安全。通过在全县范围内强化节水措施，提高用水效率，减少用水量，可降低废污水的排放量，缓解生态环境恶化，有利于水环境保护。</w:t>
      </w:r>
    </w:p>
    <w:p w14:paraId="2683AE0C">
      <w:pPr>
        <w:ind w:firstLine="640"/>
        <w:rPr>
          <w:color w:val="000000" w:themeColor="text1"/>
          <w14:textFill>
            <w14:solidFill>
              <w14:schemeClr w14:val="tx1"/>
            </w14:solidFill>
          </w14:textFill>
        </w:rPr>
      </w:pPr>
      <w:r>
        <w:rPr>
          <w:color w:val="000000" w:themeColor="text1"/>
          <w14:textFill>
            <w14:solidFill>
              <w14:schemeClr w14:val="tx1"/>
            </w14:solidFill>
          </w14:textFill>
        </w:rPr>
        <w:t>2、水功能区水质</w:t>
      </w:r>
    </w:p>
    <w:p w14:paraId="1792FE68">
      <w:pPr>
        <w:ind w:firstLine="640"/>
        <w:rPr>
          <w:color w:val="000000" w:themeColor="text1"/>
          <w14:textFill>
            <w14:solidFill>
              <w14:schemeClr w14:val="tx1"/>
            </w14:solidFill>
          </w14:textFill>
        </w:rPr>
      </w:pPr>
      <w:r>
        <w:rPr>
          <w:color w:val="000000" w:themeColor="text1"/>
          <w14:textFill>
            <w14:solidFill>
              <w14:schemeClr w14:val="tx1"/>
            </w14:solidFill>
          </w14:textFill>
        </w:rPr>
        <w:t>水功能区是开展水资源保护工作的基本单元，是实施最严格水资源管理的重要载体，合理划分水功能区对于玉溪市保护水源、改善环境、维持生态平衡及合理利用水资源都具有重要意义。</w:t>
      </w:r>
    </w:p>
    <w:p w14:paraId="3749FF1E">
      <w:pPr>
        <w:ind w:firstLine="640"/>
        <w:rPr>
          <w:color w:val="000000" w:themeColor="text1"/>
          <w14:textFill>
            <w14:solidFill>
              <w14:schemeClr w14:val="tx1"/>
            </w14:solidFill>
          </w14:textFill>
        </w:rPr>
      </w:pPr>
      <w:r>
        <w:rPr>
          <w:color w:val="000000" w:themeColor="text1"/>
          <w14:textFill>
            <w14:solidFill>
              <w14:schemeClr w14:val="tx1"/>
            </w14:solidFill>
          </w14:textFill>
        </w:rPr>
        <w:t>3、重要饮用水源地水质状况</w:t>
      </w:r>
    </w:p>
    <w:p w14:paraId="74425D67">
      <w:pPr>
        <w:ind w:firstLine="640"/>
        <w:rPr>
          <w:color w:val="000000" w:themeColor="text1"/>
          <w14:textFill>
            <w14:solidFill>
              <w14:schemeClr w14:val="tx1"/>
            </w14:solidFill>
          </w14:textFill>
        </w:rPr>
      </w:pPr>
      <w:r>
        <w:rPr>
          <w:color w:val="000000" w:themeColor="text1"/>
          <w14:textFill>
            <w14:solidFill>
              <w14:schemeClr w14:val="tx1"/>
            </w14:solidFill>
          </w14:textFill>
        </w:rPr>
        <w:t>集中式供水水源地以城镇生活为主，包括居民生活用水、公共用水和第三产业用水，水质必须符合《地表水水环境质量标准》（GB3838-2002）</w:t>
      </w:r>
      <w:r>
        <w:rPr>
          <w:rFonts w:hint="eastAsia" w:ascii="宋体" w:hAnsi="宋体" w:eastAsia="宋体" w:cs="宋体"/>
          <w:color w:val="000000" w:themeColor="text1"/>
          <w14:textFill>
            <w14:solidFill>
              <w14:schemeClr w14:val="tx1"/>
            </w14:solidFill>
          </w14:textFill>
        </w:rPr>
        <w:t>Ⅰ</w:t>
      </w:r>
      <w:r>
        <w:rPr>
          <w:color w:val="000000" w:themeColor="text1"/>
          <w14:textFill>
            <w14:solidFill>
              <w14:schemeClr w14:val="tx1"/>
            </w14:solidFill>
          </w14:textFill>
        </w:rPr>
        <w:t>类~</w:t>
      </w:r>
      <w:r>
        <w:rPr>
          <w:rFonts w:hint="eastAsia" w:ascii="宋体" w:hAnsi="宋体" w:eastAsia="宋体" w:cs="宋体"/>
          <w:color w:val="000000" w:themeColor="text1"/>
          <w14:textFill>
            <w14:solidFill>
              <w14:schemeClr w14:val="tx1"/>
            </w14:solidFill>
          </w14:textFill>
        </w:rPr>
        <w:t>Ⅲ</w:t>
      </w:r>
      <w:r>
        <w:rPr>
          <w:color w:val="000000" w:themeColor="text1"/>
          <w14:textFill>
            <w14:solidFill>
              <w14:schemeClr w14:val="tx1"/>
            </w14:solidFill>
          </w14:textFill>
        </w:rPr>
        <w:t>类的水质标准的要求。用</w:t>
      </w:r>
      <w:r>
        <w:rPr>
          <w:rFonts w:hint="eastAsia" w:ascii="宋体" w:hAnsi="宋体" w:eastAsia="宋体" w:cs="宋体"/>
          <w:color w:val="000000" w:themeColor="text1"/>
          <w14:textFill>
            <w14:solidFill>
              <w14:schemeClr w14:val="tx1"/>
            </w14:solidFill>
          </w14:textFill>
        </w:rPr>
        <w:t>Ⅲ</w:t>
      </w:r>
      <w:r>
        <w:rPr>
          <w:color w:val="000000" w:themeColor="text1"/>
          <w14:textFill>
            <w14:solidFill>
              <w14:schemeClr w14:val="tx1"/>
            </w14:solidFill>
          </w14:textFill>
        </w:rPr>
        <w:t>类限值，对供水水源地进行达标率评价。易门县主要集中式供水水源地的水质状况普遍较好，均能达到地表水水环境质量标准</w:t>
      </w:r>
      <w:r>
        <w:rPr>
          <w:rFonts w:hint="eastAsia" w:ascii="宋体" w:hAnsi="宋体" w:eastAsia="宋体" w:cs="宋体"/>
          <w:color w:val="000000" w:themeColor="text1"/>
          <w14:textFill>
            <w14:solidFill>
              <w14:schemeClr w14:val="tx1"/>
            </w14:solidFill>
          </w14:textFill>
        </w:rPr>
        <w:t>Ⅲ</w:t>
      </w:r>
      <w:r>
        <w:rPr>
          <w:color w:val="000000" w:themeColor="text1"/>
          <w14:textFill>
            <w14:solidFill>
              <w14:schemeClr w14:val="tx1"/>
            </w14:solidFill>
          </w14:textFill>
        </w:rPr>
        <w:t>类，达标率100%。</w:t>
      </w:r>
    </w:p>
    <w:p w14:paraId="367DA816">
      <w:pPr>
        <w:ind w:firstLine="640"/>
        <w:rPr>
          <w:color w:val="000000" w:themeColor="text1"/>
          <w14:textFill>
            <w14:solidFill>
              <w14:schemeClr w14:val="tx1"/>
            </w14:solidFill>
          </w14:textFill>
        </w:rPr>
      </w:pPr>
      <w:r>
        <w:rPr>
          <w:color w:val="000000" w:themeColor="text1"/>
          <w14:textFill>
            <w14:solidFill>
              <w14:schemeClr w14:val="tx1"/>
            </w14:solidFill>
          </w14:textFill>
        </w:rPr>
        <w:t>4、地下水水质状况</w:t>
      </w:r>
    </w:p>
    <w:p w14:paraId="6756AC71">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地下水主要是第三系（N）粉砂岩及断裂带地层基岩裂隙水。地下水含水层岩性相对较复杂，地表裂隙较为发育，地表径流较强，大气降水入渗补给性中等，地下水主要通过构造裂隙运移。据《云南省玉溪盆地水文地质、工程地质、环境地质普查报告》，《云南省地下水资源评价》，区域内地下水水质无色、无味、无嗅、透明，水温12～28</w:t>
      </w:r>
      <w:r>
        <w:rPr>
          <w:rFonts w:hint="eastAsia" w:ascii="宋体" w:hAnsi="宋体" w:eastAsia="宋体" w:cs="宋体"/>
          <w:color w:val="000000" w:themeColor="text1"/>
          <w14:textFill>
            <w14:solidFill>
              <w14:schemeClr w14:val="tx1"/>
            </w14:solidFill>
          </w14:textFill>
        </w:rPr>
        <w:t>℃</w:t>
      </w:r>
      <w:r>
        <w:rPr>
          <w:color w:val="000000" w:themeColor="text1"/>
          <w14:textFill>
            <w14:solidFill>
              <w14:schemeClr w14:val="tx1"/>
            </w14:solidFill>
          </w14:textFill>
        </w:rPr>
        <w:t>，岩溶水为</w:t>
      </w:r>
      <w:r>
        <w:rPr>
          <w:rFonts w:hint="eastAsia" w:ascii="宋体" w:hAnsi="宋体" w:eastAsia="宋体" w:cs="宋体"/>
          <w:color w:val="000000" w:themeColor="text1"/>
          <w14:textFill>
            <w14:solidFill>
              <w14:schemeClr w14:val="tx1"/>
            </w14:solidFill>
          </w14:textFill>
        </w:rPr>
        <w:t>Ⅰ</w:t>
      </w:r>
      <w:r>
        <w:rPr>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Ⅲ</w:t>
      </w:r>
      <w:r>
        <w:rPr>
          <w:color w:val="000000" w:themeColor="text1"/>
          <w14:textFill>
            <w14:solidFill>
              <w14:schemeClr w14:val="tx1"/>
            </w14:solidFill>
          </w14:textFill>
        </w:rPr>
        <w:t>类水；裂隙水水质良好，以</w:t>
      </w:r>
      <w:r>
        <w:rPr>
          <w:rFonts w:hint="eastAsia" w:ascii="宋体" w:hAnsi="宋体" w:eastAsia="宋体" w:cs="宋体"/>
          <w:color w:val="000000" w:themeColor="text1"/>
          <w14:textFill>
            <w14:solidFill>
              <w14:schemeClr w14:val="tx1"/>
            </w14:solidFill>
          </w14:textFill>
        </w:rPr>
        <w:t>Ⅲ</w:t>
      </w:r>
      <w:r>
        <w:rPr>
          <w:color w:val="000000" w:themeColor="text1"/>
          <w14:textFill>
            <w14:solidFill>
              <w14:schemeClr w14:val="tx1"/>
            </w14:solidFill>
          </w14:textFill>
        </w:rPr>
        <w:t>类水为主。</w:t>
      </w:r>
    </w:p>
    <w:p w14:paraId="404E11E0">
      <w:pPr>
        <w:pStyle w:val="45"/>
        <w:rPr>
          <w:color w:val="000000" w:themeColor="text1"/>
          <w14:textFill>
            <w14:solidFill>
              <w14:schemeClr w14:val="tx1"/>
            </w14:solidFill>
          </w14:textFill>
        </w:rPr>
      </w:pPr>
      <w:bookmarkStart w:id="201" w:name="_Toc65252049"/>
      <w:bookmarkStart w:id="202" w:name="_Toc58952027"/>
      <w:r>
        <w:rPr>
          <w:color w:val="000000" w:themeColor="text1"/>
          <w14:textFill>
            <w14:solidFill>
              <w14:schemeClr w14:val="tx1"/>
            </w14:solidFill>
          </w14:textFill>
        </w:rPr>
        <w:t>规划环境影响因素分析</w:t>
      </w:r>
      <w:bookmarkEnd w:id="201"/>
      <w:bookmarkEnd w:id="202"/>
    </w:p>
    <w:p w14:paraId="2779014F">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十四五”期间建设项目中，防洪、供水板块项目在有效保障流域经济社会发展、发挥其社会服务功能的同时，对河流生态环境将不可避免地造成一定影响。针对目前开发存在的环境问题，及进一步开发所导致的生态环境问题，规划同时提出了水生态板块项目，其有效实施将对生态环境改善、协调玉溪市开发和保护的关系起积极作用。规划方案环境影响因素识别见表12-1。</w:t>
      </w:r>
    </w:p>
    <w:p w14:paraId="636064EC">
      <w:pPr>
        <w:pStyle w:val="51"/>
        <w:rPr>
          <w:color w:val="000000" w:themeColor="text1"/>
          <w14:textFill>
            <w14:solidFill>
              <w14:schemeClr w14:val="tx1"/>
            </w14:solidFill>
          </w14:textFill>
        </w:rPr>
      </w:pPr>
      <w:r>
        <w:rPr>
          <w:color w:val="000000" w:themeColor="text1"/>
          <w14:textFill>
            <w14:solidFill>
              <w14:schemeClr w14:val="tx1"/>
            </w14:solidFill>
          </w14:textFill>
        </w:rPr>
        <w:t>表12-1  规划方案环境影响因素识别表</w:t>
      </w:r>
    </w:p>
    <w:tbl>
      <w:tblPr>
        <w:tblStyle w:val="24"/>
        <w:tblpPr w:leftFromText="181" w:rightFromText="181" w:bottomFromText="284" w:vertAnchor="text" w:tblpY="1"/>
        <w:tblOverlap w:val="never"/>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1"/>
        <w:gridCol w:w="2547"/>
        <w:gridCol w:w="2547"/>
        <w:gridCol w:w="3507"/>
      </w:tblGrid>
      <w:tr w14:paraId="56CE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blHeader/>
        </w:trPr>
        <w:tc>
          <w:tcPr>
            <w:tcW w:w="811" w:type="dxa"/>
            <w:vAlign w:val="center"/>
          </w:tcPr>
          <w:p w14:paraId="36879FBB">
            <w:pPr>
              <w:pStyle w:val="80"/>
              <w:framePr w:wrap="auto" w:vAnchor="margin" w:hAnchor="text" w:yAlign="inline"/>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四大</w:t>
            </w:r>
          </w:p>
          <w:p w14:paraId="132BD106">
            <w:pPr>
              <w:pStyle w:val="80"/>
              <w:framePr w:wrap="auto" w:vAnchor="margin" w:hAnchor="text" w:yAlign="inline"/>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板块</w:t>
            </w:r>
          </w:p>
        </w:tc>
        <w:tc>
          <w:tcPr>
            <w:tcW w:w="2547" w:type="dxa"/>
            <w:vAlign w:val="center"/>
          </w:tcPr>
          <w:p w14:paraId="3878A53B">
            <w:pPr>
              <w:pStyle w:val="80"/>
              <w:framePr w:wrap="auto" w:vAnchor="margin" w:hAnchor="text" w:yAlign="inline"/>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近期拟实施的</w:t>
            </w:r>
          </w:p>
          <w:p w14:paraId="65DD9F3E">
            <w:pPr>
              <w:pStyle w:val="80"/>
              <w:framePr w:wrap="auto" w:vAnchor="margin" w:hAnchor="text" w:yAlign="inline"/>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重点工程</w:t>
            </w:r>
          </w:p>
        </w:tc>
        <w:tc>
          <w:tcPr>
            <w:tcW w:w="2547" w:type="dxa"/>
            <w:vAlign w:val="center"/>
          </w:tcPr>
          <w:p w14:paraId="3B2C795B">
            <w:pPr>
              <w:pStyle w:val="80"/>
              <w:framePr w:wrap="auto" w:vAnchor="margin" w:hAnchor="text" w:yAlign="inline"/>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有利影响因子</w:t>
            </w:r>
          </w:p>
        </w:tc>
        <w:tc>
          <w:tcPr>
            <w:tcW w:w="3507" w:type="dxa"/>
            <w:vAlign w:val="center"/>
          </w:tcPr>
          <w:p w14:paraId="6073B8E3">
            <w:pPr>
              <w:pStyle w:val="80"/>
              <w:framePr w:wrap="auto" w:vAnchor="margin" w:hAnchor="text" w:yAlign="inline"/>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不利影响因子</w:t>
            </w:r>
          </w:p>
        </w:tc>
      </w:tr>
      <w:tr w14:paraId="7258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811" w:type="dxa"/>
            <w:vAlign w:val="center"/>
          </w:tcPr>
          <w:p w14:paraId="65A81F18">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防洪</w:t>
            </w:r>
          </w:p>
        </w:tc>
        <w:tc>
          <w:tcPr>
            <w:tcW w:w="2547" w:type="dxa"/>
            <w:vAlign w:val="center"/>
          </w:tcPr>
          <w:p w14:paraId="12A720EA">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重要支流、中小河流治理，重点城市防洪项目建设等</w:t>
            </w:r>
          </w:p>
        </w:tc>
        <w:tc>
          <w:tcPr>
            <w:tcW w:w="2547" w:type="dxa"/>
            <w:vAlign w:val="center"/>
          </w:tcPr>
          <w:p w14:paraId="5FB6962D">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实现城区河道沟渠循环通畅、多源互补；提高河道蓄滞能力，减小下游防洪压力</w:t>
            </w:r>
          </w:p>
        </w:tc>
        <w:tc>
          <w:tcPr>
            <w:tcW w:w="3507" w:type="dxa"/>
            <w:vAlign w:val="center"/>
          </w:tcPr>
          <w:p w14:paraId="497C1CC1">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疏浚、清障工程会使河段的底栖生物的生境遭到破坏，并对水中鱼类、两栖类动物的生活环境造成影响，可能降低河道、堤岸的生态性</w:t>
            </w:r>
          </w:p>
        </w:tc>
      </w:tr>
      <w:tr w14:paraId="294D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811" w:type="dxa"/>
            <w:vAlign w:val="center"/>
          </w:tcPr>
          <w:p w14:paraId="028837EC">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供水</w:t>
            </w:r>
          </w:p>
        </w:tc>
        <w:tc>
          <w:tcPr>
            <w:tcW w:w="2547" w:type="dxa"/>
            <w:vAlign w:val="center"/>
          </w:tcPr>
          <w:p w14:paraId="23416B73">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重点水源、重点水系连通、滇中引水等</w:t>
            </w:r>
          </w:p>
        </w:tc>
        <w:tc>
          <w:tcPr>
            <w:tcW w:w="2547" w:type="dxa"/>
            <w:vAlign w:val="center"/>
          </w:tcPr>
          <w:p w14:paraId="3F886B5A">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提高生态环境需水保障程度，提高流域用水效率，改善供水条件</w:t>
            </w:r>
          </w:p>
        </w:tc>
        <w:tc>
          <w:tcPr>
            <w:tcW w:w="3507" w:type="dxa"/>
            <w:vAlign w:val="center"/>
          </w:tcPr>
          <w:p w14:paraId="67796F1B">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用水量增加带来的水环境风险；调水工程对调出区的生态需水、输水沿线生态环境与地下水的不利影响</w:t>
            </w:r>
          </w:p>
          <w:p w14:paraId="304DAF2F">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水资源开发工程对水生生物阻隔、生境、下游生态需水的不利影响</w:t>
            </w:r>
          </w:p>
        </w:tc>
      </w:tr>
      <w:tr w14:paraId="0C1D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811" w:type="dxa"/>
            <w:vAlign w:val="center"/>
          </w:tcPr>
          <w:p w14:paraId="2CA1D8A0">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水生态</w:t>
            </w:r>
          </w:p>
        </w:tc>
        <w:tc>
          <w:tcPr>
            <w:tcW w:w="2547" w:type="dxa"/>
            <w:vAlign w:val="center"/>
          </w:tcPr>
          <w:p w14:paraId="3B489B9C">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水涵养与水土保持、重点河湖水生态治理与修复等</w:t>
            </w:r>
          </w:p>
        </w:tc>
        <w:tc>
          <w:tcPr>
            <w:tcW w:w="2547" w:type="dxa"/>
            <w:vAlign w:val="center"/>
          </w:tcPr>
          <w:p w14:paraId="2CBBC999">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改善玉溪市水环境，涵养水源，保护与修复水生态环境；提升景观</w:t>
            </w:r>
          </w:p>
        </w:tc>
        <w:tc>
          <w:tcPr>
            <w:tcW w:w="3507" w:type="dxa"/>
            <w:vAlign w:val="center"/>
          </w:tcPr>
          <w:p w14:paraId="7A943260">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无</w:t>
            </w:r>
          </w:p>
        </w:tc>
      </w:tr>
      <w:tr w14:paraId="312A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811" w:type="dxa"/>
            <w:vAlign w:val="center"/>
          </w:tcPr>
          <w:p w14:paraId="6BCB1D0E">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信息化</w:t>
            </w:r>
          </w:p>
        </w:tc>
        <w:tc>
          <w:tcPr>
            <w:tcW w:w="2547" w:type="dxa"/>
            <w:vAlign w:val="center"/>
          </w:tcPr>
          <w:p w14:paraId="25EF500C">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水利信息化建设项目</w:t>
            </w:r>
          </w:p>
        </w:tc>
        <w:tc>
          <w:tcPr>
            <w:tcW w:w="2547" w:type="dxa"/>
            <w:vAlign w:val="center"/>
          </w:tcPr>
          <w:p w14:paraId="4DA34340">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提高水利监管信息化，水利管理现代化，能对水环境进行有效监管及保护</w:t>
            </w:r>
          </w:p>
        </w:tc>
        <w:tc>
          <w:tcPr>
            <w:tcW w:w="3507" w:type="dxa"/>
            <w:vAlign w:val="center"/>
          </w:tcPr>
          <w:p w14:paraId="7AF4E6B1">
            <w:pPr>
              <w:pStyle w:val="80"/>
              <w:framePr w:wrap="auto" w:vAnchor="margin" w:hAnchor="text" w:yAlign="inlin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无</w:t>
            </w:r>
          </w:p>
        </w:tc>
      </w:tr>
    </w:tbl>
    <w:p w14:paraId="3FAC0B3A">
      <w:pPr>
        <w:pStyle w:val="45"/>
        <w:rPr>
          <w:color w:val="000000" w:themeColor="text1"/>
          <w14:textFill>
            <w14:solidFill>
              <w14:schemeClr w14:val="tx1"/>
            </w14:solidFill>
          </w14:textFill>
        </w:rPr>
      </w:pPr>
      <w:bookmarkStart w:id="203" w:name="_Toc58952028"/>
      <w:bookmarkStart w:id="204" w:name="_Toc65252050"/>
      <w:r>
        <w:rPr>
          <w:color w:val="000000" w:themeColor="text1"/>
          <w14:textFill>
            <w14:solidFill>
              <w14:schemeClr w14:val="tx1"/>
            </w14:solidFill>
          </w14:textFill>
        </w:rPr>
        <w:t>规划实施环境影响减缓要求</w:t>
      </w:r>
      <w:bookmarkEnd w:id="203"/>
      <w:bookmarkEnd w:id="204"/>
    </w:p>
    <w:p w14:paraId="6B14DEE0">
      <w:pPr>
        <w:ind w:firstLine="640"/>
        <w:rPr>
          <w:color w:val="000000" w:themeColor="text1"/>
          <w14:textFill>
            <w14:solidFill>
              <w14:schemeClr w14:val="tx1"/>
            </w14:solidFill>
          </w14:textFill>
        </w:rPr>
      </w:pPr>
      <w:r>
        <w:rPr>
          <w:color w:val="000000" w:themeColor="text1"/>
          <w14:textFill>
            <w14:solidFill>
              <w14:schemeClr w14:val="tx1"/>
            </w14:solidFill>
          </w14:textFill>
        </w:rPr>
        <w:t>为减少本次规划方案的实施对环境的影响，应从水、大气、声、固废、生态、社会等方面，采取相应措施。</w:t>
      </w:r>
    </w:p>
    <w:p w14:paraId="70FA7520">
      <w:pPr>
        <w:ind w:firstLine="643"/>
        <w:rPr>
          <w:b/>
          <w:color w:val="000000" w:themeColor="text1"/>
          <w14:textFill>
            <w14:solidFill>
              <w14:schemeClr w14:val="tx1"/>
            </w14:solidFill>
          </w14:textFill>
        </w:rPr>
      </w:pPr>
      <w:r>
        <w:rPr>
          <w:b/>
          <w:color w:val="000000" w:themeColor="text1"/>
          <w14:textFill>
            <w14:solidFill>
              <w14:schemeClr w14:val="tx1"/>
            </w14:solidFill>
          </w14:textFill>
        </w:rPr>
        <w:t>1、水环境保护措施</w:t>
      </w:r>
    </w:p>
    <w:p w14:paraId="55D96EBB">
      <w:pPr>
        <w:ind w:firstLine="640"/>
        <w:rPr>
          <w:color w:val="000000" w:themeColor="text1"/>
          <w14:textFill>
            <w14:solidFill>
              <w14:schemeClr w14:val="tx1"/>
            </w14:solidFill>
          </w14:textFill>
        </w:rPr>
      </w:pPr>
      <w:r>
        <w:rPr>
          <w:color w:val="000000" w:themeColor="text1"/>
          <w14:textFill>
            <w14:solidFill>
              <w14:schemeClr w14:val="tx1"/>
            </w14:solidFill>
          </w14:textFill>
        </w:rPr>
        <w:t>（1）规划拟建工程施工过程中将产生一定量的施工废水以及施工人员生活污水，根据所在河段的水功能保护目标，工程施工废水不能排入自然水体的，需进行处理后再回用；鼓励对施工废水进行处理后回用为洒水降尘、绿地浇灌，生活污水建议处理后回用为农田浇灌。</w:t>
      </w:r>
    </w:p>
    <w:p w14:paraId="211F8FF1">
      <w:pPr>
        <w:ind w:firstLine="640"/>
        <w:rPr>
          <w:color w:val="000000" w:themeColor="text1"/>
          <w14:textFill>
            <w14:solidFill>
              <w14:schemeClr w14:val="tx1"/>
            </w14:solidFill>
          </w14:textFill>
        </w:rPr>
      </w:pPr>
      <w:r>
        <w:rPr>
          <w:color w:val="000000" w:themeColor="text1"/>
          <w14:textFill>
            <w14:solidFill>
              <w14:schemeClr w14:val="tx1"/>
            </w14:solidFill>
          </w14:textFill>
        </w:rPr>
        <w:t>工程施工期间，施工单位应严格执行《建设工程施工场地文明施工及环境管理暂行规定》，对地面水的排放进行组织设计，严禁乱排。</w:t>
      </w:r>
    </w:p>
    <w:p w14:paraId="169D02DA">
      <w:pPr>
        <w:ind w:firstLine="640"/>
        <w:rPr>
          <w:color w:val="000000" w:themeColor="text1"/>
          <w14:textFill>
            <w14:solidFill>
              <w14:schemeClr w14:val="tx1"/>
            </w14:solidFill>
          </w14:textFill>
        </w:rPr>
      </w:pPr>
      <w:r>
        <w:rPr>
          <w:color w:val="000000" w:themeColor="text1"/>
          <w14:textFill>
            <w14:solidFill>
              <w14:schemeClr w14:val="tx1"/>
            </w14:solidFill>
          </w14:textFill>
        </w:rPr>
        <w:t>（2）为减轻新建水库淹没对水质的影响，在抬高蓄水位之前，对新增淹没区内的乔木、灌木及草本植被和其它潜在的污染源如坟墓、厕所、垃圾堆、粪坑等，应进行认真的清理和消毒，以保证水库水质不受到库底留存物的污染。</w:t>
      </w:r>
    </w:p>
    <w:p w14:paraId="5B7C70FC">
      <w:pPr>
        <w:ind w:firstLine="640"/>
        <w:rPr>
          <w:color w:val="000000" w:themeColor="text1"/>
          <w14:textFill>
            <w14:solidFill>
              <w14:schemeClr w14:val="tx1"/>
            </w14:solidFill>
          </w14:textFill>
        </w:rPr>
      </w:pPr>
      <w:r>
        <w:rPr>
          <w:color w:val="000000" w:themeColor="text1"/>
          <w14:textFill>
            <w14:solidFill>
              <w14:schemeClr w14:val="tx1"/>
            </w14:solidFill>
          </w14:textFill>
        </w:rPr>
        <w:t>（3）按照最严格水资源管理中有关纳污控制红线要求，结合“三湖”水污染防治规划主要成果，对“三湖”湖盆区制定污染减排方案，控制减少主要污染排放，满足高原湖泊流域承载力要求。</w:t>
      </w:r>
    </w:p>
    <w:p w14:paraId="5A700CB4">
      <w:pPr>
        <w:ind w:firstLine="643"/>
        <w:rPr>
          <w:b/>
          <w:color w:val="000000" w:themeColor="text1"/>
          <w14:textFill>
            <w14:solidFill>
              <w14:schemeClr w14:val="tx1"/>
            </w14:solidFill>
          </w14:textFill>
        </w:rPr>
      </w:pPr>
      <w:r>
        <w:rPr>
          <w:b/>
          <w:color w:val="000000" w:themeColor="text1"/>
          <w14:textFill>
            <w14:solidFill>
              <w14:schemeClr w14:val="tx1"/>
            </w14:solidFill>
          </w14:textFill>
        </w:rPr>
        <w:t>2、大气环境保护措施</w:t>
      </w:r>
    </w:p>
    <w:p w14:paraId="6AE9AAF4">
      <w:pPr>
        <w:ind w:firstLine="640"/>
        <w:rPr>
          <w:color w:val="000000" w:themeColor="text1"/>
          <w14:textFill>
            <w14:solidFill>
              <w14:schemeClr w14:val="tx1"/>
            </w14:solidFill>
          </w14:textFill>
        </w:rPr>
      </w:pPr>
      <w:r>
        <w:rPr>
          <w:color w:val="000000" w:themeColor="text1"/>
          <w14:textFill>
            <w14:solidFill>
              <w14:schemeClr w14:val="tx1"/>
            </w14:solidFill>
          </w14:textFill>
        </w:rPr>
        <w:t>规划拟建项目施工期大气环境影响减缓措施主要有：</w:t>
      </w:r>
    </w:p>
    <w:p w14:paraId="7DC28A4F">
      <w:pPr>
        <w:ind w:firstLine="640"/>
        <w:rPr>
          <w:color w:val="000000" w:themeColor="text1"/>
          <w14:textFill>
            <w14:solidFill>
              <w14:schemeClr w14:val="tx1"/>
            </w14:solidFill>
          </w14:textFill>
        </w:rPr>
      </w:pPr>
      <w:r>
        <w:rPr>
          <w:color w:val="000000" w:themeColor="text1"/>
          <w14:textFill>
            <w14:solidFill>
              <w14:schemeClr w14:val="tx1"/>
            </w14:solidFill>
          </w14:textFill>
        </w:rPr>
        <w:t>（1）开挖、钻孔、运输、装卸、堆放和拆迁等过程中，应洒水使作业面保持一定的湿度。加强回填土方堆放场的管理，建筑材料弃渣应及时运走，不宜长时间堆积。</w:t>
      </w:r>
    </w:p>
    <w:p w14:paraId="5DC18B74">
      <w:pPr>
        <w:ind w:firstLine="640"/>
        <w:rPr>
          <w:color w:val="000000" w:themeColor="text1"/>
          <w14:textFill>
            <w14:solidFill>
              <w14:schemeClr w14:val="tx1"/>
            </w14:solidFill>
          </w14:textFill>
        </w:rPr>
      </w:pPr>
      <w:r>
        <w:rPr>
          <w:color w:val="000000" w:themeColor="text1"/>
          <w14:textFill>
            <w14:solidFill>
              <w14:schemeClr w14:val="tx1"/>
            </w14:solidFill>
          </w14:textFill>
        </w:rPr>
        <w:t>（2）运土卡车及建筑材料运输车应按规定配置防洒落装备，规划好运输车辆的运行路线与时间，尽量避免在繁华区、交通集中区和居民住宅等敏感区行驶。运输车辆加篷盖，出装、卸场地前先冲洗干净，以减少车轮、底盘等携带泥土散落路面；运输过程中散落在路面上的泥土要及时清扫，以减少运输过程中的扬尘。</w:t>
      </w:r>
    </w:p>
    <w:p w14:paraId="5A8D5DD4">
      <w:pPr>
        <w:ind w:firstLine="640"/>
        <w:rPr>
          <w:color w:val="000000" w:themeColor="text1"/>
          <w14:textFill>
            <w14:solidFill>
              <w14:schemeClr w14:val="tx1"/>
            </w14:solidFill>
          </w14:textFill>
        </w:rPr>
      </w:pPr>
      <w:r>
        <w:rPr>
          <w:color w:val="000000" w:themeColor="text1"/>
          <w14:textFill>
            <w14:solidFill>
              <w14:schemeClr w14:val="tx1"/>
            </w14:solidFill>
          </w14:textFill>
        </w:rPr>
        <w:t>（3）为控制施工废气排放对当地大气环境的影响，施工单位应选用符合国家标准的施工机械和运输工具。机械和运输车辆要定时保养，使用国家规定的标准燃油；严格执行《在用汽车报废标准》，推行强制更新报废制度。</w:t>
      </w:r>
    </w:p>
    <w:p w14:paraId="16CAD6D4">
      <w:pPr>
        <w:ind w:firstLine="640"/>
        <w:rPr>
          <w:color w:val="000000" w:themeColor="text1"/>
          <w14:textFill>
            <w14:solidFill>
              <w14:schemeClr w14:val="tx1"/>
            </w14:solidFill>
          </w14:textFill>
        </w:rPr>
      </w:pPr>
      <w:r>
        <w:rPr>
          <w:color w:val="000000" w:themeColor="text1"/>
          <w14:textFill>
            <w14:solidFill>
              <w14:schemeClr w14:val="tx1"/>
            </w14:solidFill>
          </w14:textFill>
        </w:rPr>
        <w:t>（4）施工过程中，应严禁将废弃的建筑材料作为燃料燃烧。工地食堂应使用液化石油气或电炊具，避免使用产生大量烟气的燃油炊具、柴火炉具。</w:t>
      </w:r>
    </w:p>
    <w:p w14:paraId="25D66211">
      <w:pPr>
        <w:ind w:firstLine="643"/>
        <w:rPr>
          <w:b/>
          <w:color w:val="000000" w:themeColor="text1"/>
          <w14:textFill>
            <w14:solidFill>
              <w14:schemeClr w14:val="tx1"/>
            </w14:solidFill>
          </w14:textFill>
        </w:rPr>
      </w:pPr>
      <w:r>
        <w:rPr>
          <w:b/>
          <w:color w:val="000000" w:themeColor="text1"/>
          <w14:textFill>
            <w14:solidFill>
              <w14:schemeClr w14:val="tx1"/>
            </w14:solidFill>
          </w14:textFill>
        </w:rPr>
        <w:t>3、声环境保护措施</w:t>
      </w:r>
    </w:p>
    <w:p w14:paraId="5A673728">
      <w:pPr>
        <w:ind w:firstLine="640"/>
        <w:rPr>
          <w:color w:val="000000" w:themeColor="text1"/>
          <w14:textFill>
            <w14:solidFill>
              <w14:schemeClr w14:val="tx1"/>
            </w14:solidFill>
          </w14:textFill>
        </w:rPr>
      </w:pPr>
      <w:r>
        <w:rPr>
          <w:color w:val="000000" w:themeColor="text1"/>
          <w14:textFill>
            <w14:solidFill>
              <w14:schemeClr w14:val="tx1"/>
            </w14:solidFill>
          </w14:textFill>
        </w:rPr>
        <w:t>（1）尽量选用低噪声机械设备或带隔声、消声功能的设备，进场施工机械的噪声应选择符合国家环境保护标准的施工机械，机动车辆、大型挖土机、运载车等车辆噪声不应超过《机动车辆允许噪声》。</w:t>
      </w:r>
    </w:p>
    <w:p w14:paraId="0B8DB8C1">
      <w:pPr>
        <w:ind w:firstLine="640"/>
        <w:rPr>
          <w:color w:val="000000" w:themeColor="text1"/>
          <w14:textFill>
            <w14:solidFill>
              <w14:schemeClr w14:val="tx1"/>
            </w14:solidFill>
          </w14:textFill>
        </w:rPr>
      </w:pPr>
      <w:r>
        <w:rPr>
          <w:color w:val="000000" w:themeColor="text1"/>
          <w14:textFill>
            <w14:solidFill>
              <w14:schemeClr w14:val="tx1"/>
            </w14:solidFill>
          </w14:textFill>
        </w:rPr>
        <w:t>（2）施工部门应合理安排好施工时间和施工场所，优化工期安排，减少噪声影响的时间，高噪声作业区应远离声环境敏感区，在施工边界，特别是距离周围村庄较近处设置临时隔声屏，以减少噪声的影响。材料运输车辆在经过道路沿线村庄时，应该控制车速，禁止鸣笛。</w:t>
      </w:r>
    </w:p>
    <w:p w14:paraId="4461D012">
      <w:pPr>
        <w:ind w:firstLine="643"/>
        <w:rPr>
          <w:b/>
          <w:color w:val="000000" w:themeColor="text1"/>
          <w14:textFill>
            <w14:solidFill>
              <w14:schemeClr w14:val="tx1"/>
            </w14:solidFill>
          </w14:textFill>
        </w:rPr>
      </w:pPr>
      <w:r>
        <w:rPr>
          <w:b/>
          <w:color w:val="000000" w:themeColor="text1"/>
          <w14:textFill>
            <w14:solidFill>
              <w14:schemeClr w14:val="tx1"/>
            </w14:solidFill>
          </w14:textFill>
        </w:rPr>
        <w:t>4、固体废物处置</w:t>
      </w:r>
    </w:p>
    <w:p w14:paraId="0933B0E9">
      <w:pPr>
        <w:ind w:firstLine="640"/>
        <w:rPr>
          <w:color w:val="000000" w:themeColor="text1"/>
          <w14:textFill>
            <w14:solidFill>
              <w14:schemeClr w14:val="tx1"/>
            </w14:solidFill>
          </w14:textFill>
        </w:rPr>
      </w:pPr>
      <w:r>
        <w:rPr>
          <w:color w:val="000000" w:themeColor="text1"/>
          <w14:textFill>
            <w14:solidFill>
              <w14:schemeClr w14:val="tx1"/>
            </w14:solidFill>
          </w14:textFill>
        </w:rPr>
        <w:t>本规划中拟建工程实施过程中，会产生一定量的弃土弃渣，弃土弃渣应运往指定弃渣场。选择弃土场应不占用农田，远离江河水库，最好选择在山坳或低洼地带；弃土场的上游要设置导流沟；弃土场应尽量集中并避开暴雨期弃土，要边弃土边压实，弃土完毕后应尽快复垦利用或进行植被恢复。</w:t>
      </w:r>
    </w:p>
    <w:p w14:paraId="408B771C">
      <w:pPr>
        <w:ind w:firstLine="640"/>
        <w:rPr>
          <w:color w:val="000000" w:themeColor="text1"/>
          <w14:textFill>
            <w14:solidFill>
              <w14:schemeClr w14:val="tx1"/>
            </w14:solidFill>
          </w14:textFill>
        </w:rPr>
      </w:pPr>
      <w:r>
        <w:rPr>
          <w:color w:val="000000" w:themeColor="text1"/>
          <w14:textFill>
            <w14:solidFill>
              <w14:schemeClr w14:val="tx1"/>
            </w14:solidFill>
          </w14:textFill>
        </w:rPr>
        <w:t>在施工过程中，施工人员会产生生活垃圾，其中可回收利用的固体废物如纸品、塑料用品等，应由专人收集，以利资源的回收再利用；其他生活固体垃圾，应采用定点收集方式专门收集，并由环卫部门每天按时清运，避免造成二次污染。</w:t>
      </w:r>
    </w:p>
    <w:p w14:paraId="3877F910">
      <w:pPr>
        <w:ind w:firstLine="643"/>
        <w:rPr>
          <w:b/>
          <w:color w:val="000000" w:themeColor="text1"/>
          <w14:textFill>
            <w14:solidFill>
              <w14:schemeClr w14:val="tx1"/>
            </w14:solidFill>
          </w14:textFill>
        </w:rPr>
      </w:pPr>
      <w:r>
        <w:rPr>
          <w:b/>
          <w:color w:val="000000" w:themeColor="text1"/>
          <w14:textFill>
            <w14:solidFill>
              <w14:schemeClr w14:val="tx1"/>
            </w14:solidFill>
          </w14:textFill>
        </w:rPr>
        <w:t>5、生态环境保护措施</w:t>
      </w:r>
    </w:p>
    <w:p w14:paraId="7CBBC893">
      <w:pPr>
        <w:ind w:firstLine="640"/>
        <w:rPr>
          <w:color w:val="000000" w:themeColor="text1"/>
          <w14:textFill>
            <w14:solidFill>
              <w14:schemeClr w14:val="tx1"/>
            </w14:solidFill>
          </w14:textFill>
        </w:rPr>
      </w:pPr>
      <w:r>
        <w:rPr>
          <w:color w:val="000000" w:themeColor="text1"/>
          <w14:textFill>
            <w14:solidFill>
              <w14:schemeClr w14:val="tx1"/>
            </w14:solidFill>
          </w14:textFill>
        </w:rPr>
        <w:t>（1）应根据水资源配置结果，制定有效的调度方案，确定并维持河流合理流量，保障生态用水基本需求，定期开展河湖健康评估。加强河湖水系的生态修复，加快污染源控制和治理的步伐，禁止破坏水源涵养林和自然保护区等生态保护区。</w:t>
      </w:r>
    </w:p>
    <w:p w14:paraId="48C2BFCD">
      <w:pPr>
        <w:ind w:firstLine="640"/>
        <w:rPr>
          <w:color w:val="000000" w:themeColor="text1"/>
          <w14:textFill>
            <w14:solidFill>
              <w14:schemeClr w14:val="tx1"/>
            </w14:solidFill>
          </w14:textFill>
        </w:rPr>
      </w:pPr>
      <w:r>
        <w:rPr>
          <w:color w:val="000000" w:themeColor="text1"/>
          <w14:textFill>
            <w14:solidFill>
              <w14:schemeClr w14:val="tx1"/>
            </w14:solidFill>
          </w14:textFill>
        </w:rPr>
        <w:t>（2）在规划实施过程中，对河道上的拦蓄工程应通过实地调查，评价是否有洄游性鱼类和鱼类“三场”，重视鱼类增殖站和鱼道的建设工作。根据国家的有关法律法规要求，水利工程建成运行造成鱼类资源量减少，必须采取人工增殖放流措施。</w:t>
      </w:r>
    </w:p>
    <w:p w14:paraId="2A4755EE">
      <w:pPr>
        <w:ind w:firstLine="640"/>
        <w:rPr>
          <w:color w:val="000000" w:themeColor="text1"/>
          <w14:textFill>
            <w14:solidFill>
              <w14:schemeClr w14:val="tx1"/>
            </w14:solidFill>
          </w14:textFill>
        </w:rPr>
      </w:pPr>
      <w:r>
        <w:rPr>
          <w:color w:val="000000" w:themeColor="text1"/>
          <w14:textFill>
            <w14:solidFill>
              <w14:schemeClr w14:val="tx1"/>
            </w14:solidFill>
          </w14:textFill>
        </w:rPr>
        <w:t>（3）施工中减少对地表自然植被的破坏。绿化和防护工程应与主体工程同时设计。合理规划，做好土石方的纵向调运，减少临时占地。加强对施工人员的环保教育，提高施工人员的生态保护意识，避免随意捕捉野生动物和鱼类。</w:t>
      </w:r>
    </w:p>
    <w:p w14:paraId="1677787E">
      <w:pPr>
        <w:ind w:firstLine="640"/>
        <w:rPr>
          <w:color w:val="000000" w:themeColor="text1"/>
          <w14:textFill>
            <w14:solidFill>
              <w14:schemeClr w14:val="tx1"/>
            </w14:solidFill>
          </w14:textFill>
        </w:rPr>
      </w:pPr>
      <w:r>
        <w:rPr>
          <w:color w:val="000000" w:themeColor="text1"/>
          <w14:textFill>
            <w14:solidFill>
              <w14:schemeClr w14:val="tx1"/>
            </w14:solidFill>
          </w14:textFill>
        </w:rPr>
        <w:t>（4）在施工过程中若遇到需要保护的植物植被，包括已成形的各类树木，或砍伐后的树根，可将其移植在新建生活区和道路两侧或区内，增加道路景观。施工期间内需要暂时由道路施工单位保育，并给以养护费。</w:t>
      </w:r>
    </w:p>
    <w:p w14:paraId="476BEB02">
      <w:pPr>
        <w:ind w:firstLine="640"/>
        <w:rPr>
          <w:color w:val="000000" w:themeColor="text1"/>
          <w14:textFill>
            <w14:solidFill>
              <w14:schemeClr w14:val="tx1"/>
            </w14:solidFill>
          </w14:textFill>
        </w:rPr>
      </w:pPr>
      <w:r>
        <w:rPr>
          <w:color w:val="000000" w:themeColor="text1"/>
          <w14:textFill>
            <w14:solidFill>
              <w14:schemeClr w14:val="tx1"/>
            </w14:solidFill>
          </w14:textFill>
        </w:rPr>
        <w:t>（5）认真做好施工产生迹地植被的恢复，施工完成后及时复耕渣场料场。对临时占地采用复垦和抚育措施恢复生态环境。对永久占地破坏的森林灌草丛采取异地补偿的办法进行造林。</w:t>
      </w:r>
    </w:p>
    <w:p w14:paraId="0B07E8F7">
      <w:pPr>
        <w:ind w:firstLine="643"/>
        <w:rPr>
          <w:b/>
          <w:color w:val="000000" w:themeColor="text1"/>
          <w14:textFill>
            <w14:solidFill>
              <w14:schemeClr w14:val="tx1"/>
            </w14:solidFill>
          </w14:textFill>
        </w:rPr>
      </w:pPr>
      <w:r>
        <w:rPr>
          <w:b/>
          <w:color w:val="000000" w:themeColor="text1"/>
          <w14:textFill>
            <w14:solidFill>
              <w14:schemeClr w14:val="tx1"/>
            </w14:solidFill>
          </w14:textFill>
        </w:rPr>
        <w:t>6、人群健康保护措施</w:t>
      </w:r>
    </w:p>
    <w:p w14:paraId="60794DFF">
      <w:pPr>
        <w:ind w:firstLine="640"/>
        <w:rPr>
          <w:color w:val="000000" w:themeColor="text1"/>
          <w14:textFill>
            <w14:solidFill>
              <w14:schemeClr w14:val="tx1"/>
            </w14:solidFill>
          </w14:textFill>
        </w:rPr>
      </w:pPr>
      <w:r>
        <w:rPr>
          <w:color w:val="000000" w:themeColor="text1"/>
          <w14:textFill>
            <w14:solidFill>
              <w14:schemeClr w14:val="tx1"/>
            </w14:solidFill>
          </w14:textFill>
        </w:rPr>
        <w:t>本规划对流域内的社会经济发展有一定的促进作用，且在拟建工程施工过程中会为当地民众提供一些工作机会，但外地施工人员的进驻，也增加了易感人群，可能带来新的传染源，增加传染性疾病传播的可能，对施工区施工人员和周围居民的人群健康造成一定的不利影响。因此工程施工前期要对进场施工人员进行安全健康检查和健康建档，在施工期内，定期对施工人员进行检疫，防止传染性疾病的爆发。明确卫生防设责任人，加强卫生管理，作好防疫工作。施工完成后，要及时作好现场的清理工作，撤除和填平临时住所、厕所、污水沟、垃圾场，并作好灭菌工作。</w:t>
      </w:r>
    </w:p>
    <w:p w14:paraId="5E6E073C">
      <w:pPr>
        <w:ind w:firstLine="643"/>
        <w:rPr>
          <w:b/>
          <w:color w:val="000000" w:themeColor="text1"/>
          <w14:textFill>
            <w14:solidFill>
              <w14:schemeClr w14:val="tx1"/>
            </w14:solidFill>
          </w14:textFill>
        </w:rPr>
      </w:pPr>
      <w:r>
        <w:rPr>
          <w:b/>
          <w:color w:val="000000" w:themeColor="text1"/>
          <w14:textFill>
            <w14:solidFill>
              <w14:schemeClr w14:val="tx1"/>
            </w14:solidFill>
          </w14:textFill>
        </w:rPr>
        <w:t>7、下阶段环评工作建议</w:t>
      </w:r>
    </w:p>
    <w:p w14:paraId="5FB55A5D">
      <w:pPr>
        <w:ind w:firstLine="640"/>
        <w:rPr>
          <w:color w:val="000000" w:themeColor="text1"/>
          <w14:textFill>
            <w14:solidFill>
              <w14:schemeClr w14:val="tx1"/>
            </w14:solidFill>
          </w14:textFill>
        </w:rPr>
      </w:pPr>
      <w:r>
        <w:rPr>
          <w:color w:val="000000" w:themeColor="text1"/>
          <w14:textFill>
            <w14:solidFill>
              <w14:schemeClr w14:val="tx1"/>
            </w14:solidFill>
          </w14:textFill>
        </w:rPr>
        <w:t>规划具体项目实施方案均要求编制环评文件，在环评文件编制过程中，应根据项目实施过程中对水环境、水生态的影响以及退水区的环境容量做出分析。</w:t>
      </w:r>
    </w:p>
    <w:p w14:paraId="28DE1FAA">
      <w:pPr>
        <w:pStyle w:val="45"/>
        <w:rPr>
          <w:color w:val="000000" w:themeColor="text1"/>
          <w14:textFill>
            <w14:solidFill>
              <w14:schemeClr w14:val="tx1"/>
            </w14:solidFill>
          </w14:textFill>
        </w:rPr>
      </w:pPr>
      <w:bookmarkStart w:id="205" w:name="_Toc58952029"/>
      <w:bookmarkStart w:id="206" w:name="_Toc65252051"/>
      <w:r>
        <w:rPr>
          <w:color w:val="000000" w:themeColor="text1"/>
          <w14:textFill>
            <w14:solidFill>
              <w14:schemeClr w14:val="tx1"/>
            </w14:solidFill>
          </w14:textFill>
        </w:rPr>
        <w:t>评价结论</w:t>
      </w:r>
      <w:bookmarkEnd w:id="205"/>
      <w:bookmarkEnd w:id="206"/>
    </w:p>
    <w:p w14:paraId="364FB977">
      <w:pPr>
        <w:ind w:firstLine="640"/>
        <w:rPr>
          <w:color w:val="000000" w:themeColor="text1"/>
          <w14:textFill>
            <w14:solidFill>
              <w14:schemeClr w14:val="tx1"/>
            </w14:solidFill>
          </w14:textFill>
        </w:rPr>
      </w:pPr>
      <w:r>
        <w:rPr>
          <w:color w:val="000000" w:themeColor="text1"/>
          <w14:textFill>
            <w14:solidFill>
              <w14:schemeClr w14:val="tx1"/>
            </w14:solidFill>
          </w14:textFill>
        </w:rPr>
        <w:t>本次《易门县“十四五”水安全保障规划》结合社会生产生活发展趋势，确定了玉溪市构建现代化水安全保障体系的最终目标，满足国民经济、社会发展及水利发展的要求，为玉溪市水资源的开发与保护提供了可靠依据。水安全保障体系的建设，衔接现代化水网规划，是响应云南省“五网”建设号召的直接要求，也是助力全省发展织就安全可靠水网的重大举措，更是建设玉溪市小康水利的坚实基础。</w:t>
      </w:r>
    </w:p>
    <w:p w14:paraId="201FB96E">
      <w:pPr>
        <w:ind w:firstLine="640"/>
        <w:rPr>
          <w:color w:val="000000" w:themeColor="text1"/>
          <w14:textFill>
            <w14:solidFill>
              <w14:schemeClr w14:val="tx1"/>
            </w14:solidFill>
          </w14:textFill>
        </w:rPr>
      </w:pPr>
      <w:r>
        <w:rPr>
          <w:color w:val="000000" w:themeColor="text1"/>
          <w14:textFill>
            <w14:solidFill>
              <w14:schemeClr w14:val="tx1"/>
            </w14:solidFill>
          </w14:textFill>
        </w:rPr>
        <w:t>虽然规划实施后有一定的正面作用，但因对区域内生态系统造成了一定的影响，且增加了水污染压力，因此，下一阶段，要做好单项工程项目环评，需重点落实解决规划阶段不能具体解决的问题，在按照国家法律法规规定进行单项工程设计和执行本次规划环评提出的环境保护措施基础上，规划造成的不利影响可以得到避免和有效缓解，其环境影响程度和范围是可以接受的。此外，在做好水资源保护工作，加大污染源的治理，重视污水处理配套设施建设的前提下，本次规划所增加的水污染压力也是可以降低在水体可承受范围内的。因此，从环境保护角度出发，规划方案总体上是可行的。</w:t>
      </w:r>
    </w:p>
    <w:p w14:paraId="7F8DB63D">
      <w:pPr>
        <w:widowControl/>
        <w:adjustRightInd/>
        <w:snapToGrid/>
        <w:spacing w:line="240" w:lineRule="auto"/>
        <w:ind w:firstLine="0" w:firstLineChars="0"/>
        <w:jc w:val="left"/>
        <w:rPr>
          <w:b/>
          <w:bCs/>
          <w:color w:val="000000" w:themeColor="text1"/>
          <w:kern w:val="44"/>
          <w:sz w:val="44"/>
          <w:szCs w:val="44"/>
          <w14:textFill>
            <w14:solidFill>
              <w14:schemeClr w14:val="tx1"/>
            </w14:solidFill>
          </w14:textFill>
        </w:rPr>
      </w:pPr>
      <w:bookmarkStart w:id="207" w:name="_Toc6599"/>
      <w:bookmarkStart w:id="208" w:name="_Toc1519"/>
      <w:r>
        <w:rPr>
          <w:color w:val="000000" w:themeColor="text1"/>
          <w14:textFill>
            <w14:solidFill>
              <w14:schemeClr w14:val="tx1"/>
            </w14:solidFill>
          </w14:textFill>
        </w:rPr>
        <w:br w:type="page"/>
      </w:r>
    </w:p>
    <w:p w14:paraId="21E0FA94">
      <w:pPr>
        <w:pStyle w:val="43"/>
        <w:rPr>
          <w:color w:val="000000" w:themeColor="text1"/>
          <w14:textFill>
            <w14:solidFill>
              <w14:schemeClr w14:val="tx1"/>
            </w14:solidFill>
          </w14:textFill>
        </w:rPr>
      </w:pPr>
      <w:r>
        <w:rPr>
          <w:color w:val="000000" w:themeColor="text1"/>
          <w14:textFill>
            <w14:solidFill>
              <w14:schemeClr w14:val="tx1"/>
            </w14:solidFill>
          </w14:textFill>
        </w:rPr>
        <w:t>投资规模匡算</w:t>
      </w:r>
      <w:bookmarkEnd w:id="189"/>
      <w:bookmarkEnd w:id="207"/>
      <w:bookmarkEnd w:id="208"/>
    </w:p>
    <w:p w14:paraId="24250321">
      <w:pPr>
        <w:pStyle w:val="45"/>
        <w:rPr>
          <w:color w:val="000000" w:themeColor="text1"/>
          <w14:textFill>
            <w14:solidFill>
              <w14:schemeClr w14:val="tx1"/>
            </w14:solidFill>
          </w14:textFill>
        </w:rPr>
      </w:pPr>
      <w:r>
        <w:rPr>
          <w:color w:val="000000" w:themeColor="text1"/>
          <w14:textFill>
            <w14:solidFill>
              <w14:schemeClr w14:val="tx1"/>
            </w14:solidFill>
          </w14:textFill>
        </w:rPr>
        <w:t>投资主要指标</w:t>
      </w:r>
    </w:p>
    <w:p w14:paraId="3640CD40">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w:t>
      </w:r>
      <w:r>
        <w:rPr>
          <w:rFonts w:hint="eastAsia"/>
          <w:color w:val="000000" w:themeColor="text1"/>
          <w:lang w:eastAsia="zh-CN"/>
          <w14:textFill>
            <w14:solidFill>
              <w14:schemeClr w14:val="tx1"/>
            </w14:solidFill>
          </w14:textFill>
        </w:rPr>
        <w:t>“十四五”</w:t>
      </w:r>
      <w:r>
        <w:rPr>
          <w:color w:val="000000" w:themeColor="text1"/>
          <w14:textFill>
            <w14:solidFill>
              <w14:schemeClr w14:val="tx1"/>
            </w14:solidFill>
          </w14:textFill>
        </w:rPr>
        <w:t>水安全保障规划312件项目，包含 “防洪、供水、水生态、信息化” 四大板块内容，</w:t>
      </w:r>
      <w:r>
        <w:rPr>
          <w:b/>
          <w:color w:val="000000" w:themeColor="text1"/>
          <w14:textFill>
            <w14:solidFill>
              <w14:schemeClr w14:val="tx1"/>
            </w14:solidFill>
          </w14:textFill>
        </w:rPr>
        <w:t>防洪类项目共计68件</w:t>
      </w:r>
      <w:r>
        <w:rPr>
          <w:color w:val="000000" w:themeColor="text1"/>
          <w14:textFill>
            <w14:solidFill>
              <w14:schemeClr w14:val="tx1"/>
            </w14:solidFill>
          </w14:textFill>
        </w:rPr>
        <w:t>，包含主要支流治理项目（3000km²以上）1件、中小河流治理项目表（3000km²以下）14件、山洪沟治理10件、病险水库除险加固项目18件、病险闸除险加固项目2件、水库清淤增效工程22件、重点城市防洪排涝提升工程1件；</w:t>
      </w:r>
      <w:r>
        <w:rPr>
          <w:b/>
          <w:color w:val="000000" w:themeColor="text1"/>
          <w14:textFill>
            <w14:solidFill>
              <w14:schemeClr w14:val="tx1"/>
            </w14:solidFill>
          </w14:textFill>
        </w:rPr>
        <w:t>供水类项目共计214件</w:t>
      </w:r>
      <w:r>
        <w:rPr>
          <w:color w:val="000000" w:themeColor="text1"/>
          <w14:textFill>
            <w14:solidFill>
              <w14:schemeClr w14:val="tx1"/>
            </w14:solidFill>
          </w14:textFill>
        </w:rPr>
        <w:t>，包含重点水源工程6件、重点水系连通工程2件、乡镇抗旱水源工程33件、城市备用水源工程2件、中型灌区续建配套与现代化改造项目1件、农村人饮专项规划项目169件；</w:t>
      </w:r>
      <w:r>
        <w:rPr>
          <w:b/>
          <w:color w:val="000000" w:themeColor="text1"/>
          <w14:textFill>
            <w14:solidFill>
              <w14:schemeClr w14:val="tx1"/>
            </w14:solidFill>
          </w14:textFill>
        </w:rPr>
        <w:t>生态类项目共计23件</w:t>
      </w:r>
      <w:r>
        <w:rPr>
          <w:color w:val="000000" w:themeColor="text1"/>
          <w14:textFill>
            <w14:solidFill>
              <w14:schemeClr w14:val="tx1"/>
            </w14:solidFill>
          </w14:textFill>
        </w:rPr>
        <w:t>，包含水源涵养与水土保持项目12件、重点河湖生态治理与修复项目4件、水系连通及农村水系综合整治7件；</w:t>
      </w:r>
      <w:r>
        <w:rPr>
          <w:b/>
          <w:color w:val="000000" w:themeColor="text1"/>
          <w14:textFill>
            <w14:solidFill>
              <w14:schemeClr w14:val="tx1"/>
            </w14:solidFill>
          </w14:textFill>
        </w:rPr>
        <w:t>水利信息化建设项目共计7件</w:t>
      </w:r>
      <w:r>
        <w:rPr>
          <w:color w:val="000000" w:themeColor="text1"/>
          <w14:textFill>
            <w14:solidFill>
              <w14:schemeClr w14:val="tx1"/>
            </w14:solidFill>
          </w14:textFill>
        </w:rPr>
        <w:t>。</w:t>
      </w:r>
    </w:p>
    <w:p w14:paraId="2C8EE567">
      <w:pPr>
        <w:ind w:firstLine="640"/>
        <w:rPr>
          <w:color w:val="000000" w:themeColor="text1"/>
          <w14:textFill>
            <w14:solidFill>
              <w14:schemeClr w14:val="tx1"/>
            </w14:solidFill>
          </w14:textFill>
        </w:rPr>
      </w:pPr>
      <w:r>
        <w:rPr>
          <w:color w:val="000000" w:themeColor="text1"/>
          <w14:textFill>
            <w14:solidFill>
              <w14:schemeClr w14:val="tx1"/>
            </w14:solidFill>
          </w14:textFill>
        </w:rPr>
        <w:t>参考本地区类似建设项目的投资计算成果，采用综合类比法进行估算，易门县</w:t>
      </w:r>
      <w:r>
        <w:rPr>
          <w:rFonts w:hint="eastAsia"/>
          <w:color w:val="000000" w:themeColor="text1"/>
          <w:lang w:eastAsia="zh-CN"/>
          <w14:textFill>
            <w14:solidFill>
              <w14:schemeClr w14:val="tx1"/>
            </w14:solidFill>
          </w14:textFill>
        </w:rPr>
        <w:t>“十四五”</w:t>
      </w:r>
      <w:r>
        <w:rPr>
          <w:color w:val="000000" w:themeColor="text1"/>
          <w14:textFill>
            <w14:solidFill>
              <w14:schemeClr w14:val="tx1"/>
            </w14:solidFill>
          </w14:textFill>
        </w:rPr>
        <w:t>水安全保障规划工程</w:t>
      </w:r>
      <w:r>
        <w:rPr>
          <w:b/>
          <w:color w:val="000000" w:themeColor="text1"/>
          <w14:textFill>
            <w14:solidFill>
              <w14:schemeClr w14:val="tx1"/>
            </w14:solidFill>
          </w14:textFill>
        </w:rPr>
        <w:t>总投资约64.1557亿元</w:t>
      </w:r>
      <w:r>
        <w:rPr>
          <w:color w:val="000000" w:themeColor="text1"/>
          <w14:textFill>
            <w14:solidFill>
              <w14:schemeClr w14:val="tx1"/>
            </w14:solidFill>
          </w14:textFill>
        </w:rPr>
        <w:t>，其中</w:t>
      </w:r>
      <w:r>
        <w:rPr>
          <w:b/>
          <w:color w:val="000000" w:themeColor="text1"/>
          <w14:textFill>
            <w14:solidFill>
              <w14:schemeClr w14:val="tx1"/>
            </w14:solidFill>
          </w14:textFill>
        </w:rPr>
        <w:t>防洪类</w:t>
      </w:r>
      <w:r>
        <w:rPr>
          <w:color w:val="000000" w:themeColor="text1"/>
          <w14:textFill>
            <w14:solidFill>
              <w14:schemeClr w14:val="tx1"/>
            </w14:solidFill>
          </w14:textFill>
        </w:rPr>
        <w:t>项目总投资</w:t>
      </w:r>
      <w:r>
        <w:rPr>
          <w:b/>
          <w:color w:val="000000" w:themeColor="text1"/>
          <w14:textFill>
            <w14:solidFill>
              <w14:schemeClr w14:val="tx1"/>
            </w14:solidFill>
          </w14:textFill>
        </w:rPr>
        <w:t>10.2347亿元</w:t>
      </w:r>
      <w:r>
        <w:rPr>
          <w:color w:val="000000" w:themeColor="text1"/>
          <w14:textFill>
            <w14:solidFill>
              <w14:schemeClr w14:val="tx1"/>
            </w14:solidFill>
          </w14:textFill>
        </w:rPr>
        <w:t>：主要支流治理项目（3000km²以上）投资1.7280亿元、中小河流治理项目表（3000km²以下）投资2.8580亿元、山洪沟治理投资1.1049亿元、病险水库除险加固项目投资2.1023亿元、病险闸除险加固项目投资0.2亿元、水库清淤增效工程投资1.9415亿元、重点城市防洪排涝提升工程投资0.3亿元；</w:t>
      </w:r>
      <w:r>
        <w:rPr>
          <w:b/>
          <w:color w:val="000000" w:themeColor="text1"/>
          <w14:textFill>
            <w14:solidFill>
              <w14:schemeClr w14:val="tx1"/>
            </w14:solidFill>
          </w14:textFill>
        </w:rPr>
        <w:t>供水类</w:t>
      </w:r>
      <w:r>
        <w:rPr>
          <w:color w:val="000000" w:themeColor="text1"/>
          <w14:textFill>
            <w14:solidFill>
              <w14:schemeClr w14:val="tx1"/>
            </w14:solidFill>
          </w14:textFill>
        </w:rPr>
        <w:t>项目总投资</w:t>
      </w:r>
      <w:r>
        <w:rPr>
          <w:b/>
          <w:color w:val="000000" w:themeColor="text1"/>
          <w14:textFill>
            <w14:solidFill>
              <w14:schemeClr w14:val="tx1"/>
            </w14:solidFill>
          </w14:textFill>
        </w:rPr>
        <w:t>33.2332亿元</w:t>
      </w:r>
      <w:r>
        <w:rPr>
          <w:color w:val="000000" w:themeColor="text1"/>
          <w14:textFill>
            <w14:solidFill>
              <w14:schemeClr w14:val="tx1"/>
            </w14:solidFill>
          </w14:textFill>
        </w:rPr>
        <w:t>：重点水源工程建设项目投资5.73亿元、重点水系连通工程建设投资13.172亿元、乡镇抗旱水源工程建设投资3.4853亿元、城市备用水源工程建设投资0.5882亿元、滇中引水（易门段）配套工程投资4.00亿元、中型灌区续建配套与现代化改造项目投资4.9478亿元、农村人饮专项规划项目投资1.3099亿元；</w:t>
      </w:r>
      <w:r>
        <w:rPr>
          <w:b/>
          <w:color w:val="000000" w:themeColor="text1"/>
          <w14:textFill>
            <w14:solidFill>
              <w14:schemeClr w14:val="tx1"/>
            </w14:solidFill>
          </w14:textFill>
        </w:rPr>
        <w:t>水生态类</w:t>
      </w:r>
      <w:r>
        <w:rPr>
          <w:color w:val="000000" w:themeColor="text1"/>
          <w14:textFill>
            <w14:solidFill>
              <w14:schemeClr w14:val="tx1"/>
            </w14:solidFill>
          </w14:textFill>
        </w:rPr>
        <w:t>项目总投资</w:t>
      </w:r>
      <w:r>
        <w:rPr>
          <w:b/>
          <w:color w:val="000000" w:themeColor="text1"/>
          <w14:textFill>
            <w14:solidFill>
              <w14:schemeClr w14:val="tx1"/>
            </w14:solidFill>
          </w14:textFill>
        </w:rPr>
        <w:t>12.3310亿元</w:t>
      </w:r>
      <w:r>
        <w:rPr>
          <w:color w:val="000000" w:themeColor="text1"/>
          <w14:textFill>
            <w14:solidFill>
              <w14:schemeClr w14:val="tx1"/>
            </w14:solidFill>
          </w14:textFill>
        </w:rPr>
        <w:t>：水源涵养与水土保持项目投资1.5亿元、重点河湖生态治理与修复项目投资8.1410亿元、水系连通及农村水系综合整治项目投资2.69亿元；</w:t>
      </w:r>
      <w:r>
        <w:rPr>
          <w:b/>
          <w:color w:val="000000" w:themeColor="text1"/>
          <w14:textFill>
            <w14:solidFill>
              <w14:schemeClr w14:val="tx1"/>
            </w14:solidFill>
          </w14:textFill>
        </w:rPr>
        <w:t>水利信息化</w:t>
      </w:r>
      <w:r>
        <w:rPr>
          <w:color w:val="000000" w:themeColor="text1"/>
          <w14:textFill>
            <w14:solidFill>
              <w14:schemeClr w14:val="tx1"/>
            </w14:solidFill>
          </w14:textFill>
        </w:rPr>
        <w:t>建设投资</w:t>
      </w:r>
      <w:r>
        <w:rPr>
          <w:b/>
          <w:color w:val="000000" w:themeColor="text1"/>
          <w14:textFill>
            <w14:solidFill>
              <w14:schemeClr w14:val="tx1"/>
            </w14:solidFill>
          </w14:textFill>
        </w:rPr>
        <w:t>8.3568亿元</w:t>
      </w:r>
      <w:r>
        <w:rPr>
          <w:color w:val="000000" w:themeColor="text1"/>
          <w14:textFill>
            <w14:solidFill>
              <w14:schemeClr w14:val="tx1"/>
            </w14:solidFill>
          </w14:textFill>
        </w:rPr>
        <w:t>。</w:t>
      </w:r>
    </w:p>
    <w:p w14:paraId="284E9F6F">
      <w:pPr>
        <w:pStyle w:val="45"/>
        <w:rPr>
          <w:color w:val="000000" w:themeColor="text1"/>
          <w14:textFill>
            <w14:solidFill>
              <w14:schemeClr w14:val="tx1"/>
            </w14:solidFill>
          </w14:textFill>
        </w:rPr>
      </w:pPr>
      <w:r>
        <w:rPr>
          <w:color w:val="000000" w:themeColor="text1"/>
          <w14:textFill>
            <w14:solidFill>
              <w14:schemeClr w14:val="tx1"/>
            </w14:solidFill>
          </w14:textFill>
        </w:rPr>
        <w:t>编制依据</w:t>
      </w:r>
    </w:p>
    <w:p w14:paraId="7060D17F">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1、按国家和水利行业现行的水利工程设计概（估）算编制规定及省（区、市）水利工程概算编制规定进行；</w:t>
      </w:r>
    </w:p>
    <w:p w14:paraId="7BA97D83">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2、近年来建成的类似工程结算投资和单位投资指标；</w:t>
      </w:r>
    </w:p>
    <w:p w14:paraId="771AE8D9">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3、玉溪市易门县2021年9月份的物价水平。</w:t>
      </w:r>
    </w:p>
    <w:p w14:paraId="15003EF8">
      <w:pPr>
        <w:pStyle w:val="45"/>
        <w:rPr>
          <w:color w:val="000000" w:themeColor="text1"/>
          <w14:textFill>
            <w14:solidFill>
              <w14:schemeClr w14:val="tx1"/>
            </w14:solidFill>
          </w14:textFill>
        </w:rPr>
      </w:pPr>
      <w:bookmarkStart w:id="209" w:name="_Toc65252036"/>
      <w:r>
        <w:rPr>
          <w:color w:val="000000" w:themeColor="text1"/>
          <w14:textFill>
            <w14:solidFill>
              <w14:schemeClr w14:val="tx1"/>
            </w14:solidFill>
          </w14:textFill>
        </w:rPr>
        <w:t>编制办法</w:t>
      </w:r>
      <w:bookmarkEnd w:id="209"/>
    </w:p>
    <w:p w14:paraId="49456589">
      <w:pPr>
        <w:ind w:firstLine="640"/>
        <w:rPr>
          <w:color w:val="000000" w:themeColor="text1"/>
          <w14:textFill>
            <w14:solidFill>
              <w14:schemeClr w14:val="tx1"/>
            </w14:solidFill>
          </w14:textFill>
        </w:rPr>
      </w:pPr>
      <w:r>
        <w:rPr>
          <w:color w:val="000000" w:themeColor="text1"/>
          <w14:textFill>
            <w14:solidFill>
              <w14:schemeClr w14:val="tx1"/>
            </w14:solidFill>
          </w14:textFill>
        </w:rPr>
        <w:t>本次《易门县“十四五”水安全保障规划》工程投资，主要由防洪类、供水类、水生态类及水利信息化建设四个板块项目组成，由于本次规划项目涉及范围较广、项目数量较多、工程量大、实施周期较长，规划的实施依赖于社会、经济、环境、技术等诸多要素及资源的协调与配置，在实施过程中可能有一定的调整和变化，规划项目具有一定的不确定性，故本次规划项目投资估算，对于已有实施方案的项目投资或已列入其他水利规划项目的投资，直接采用其投资估算成果，对于部分项目前期工作未开展或尚处于可研在编阶段项目，拟采用近年建成同类型工程结算投资的单位投资指标，结合水利行业现行相关规范、规定以及易门县2021年10月份的物价水平综合考虑，取定单位投资后，根据建设内容对工程项目投资进行估算，最终以每个项目综合估算投资叠加估算法进行本次规划总投资估算，估算综合单位投资初步拟定如下：</w:t>
      </w:r>
    </w:p>
    <w:p w14:paraId="64EE40D1">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1）重要支流、中小河流治理项目投资主要以《玉溪市中心城区防洪规划（2017~2030年）》投资成果为依据，未列入该规划的中小河流治理项目，以近年玉溪市河道治理工程投资为依据，初步拟定河段治理投资450～550万元/km，结合实际工程措施，对河道治理项目投资进行匡算；</w:t>
      </w:r>
    </w:p>
    <w:p w14:paraId="72855015">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（2）新建、扩建小型水库工程，单方库容投资（总投资/增加库容），结合近几年玉溪市水库投资情况，中型水库一般为45～60</w:t>
      </w:r>
    </w:p>
    <w:p w14:paraId="75BED092">
      <w:pPr>
        <w:ind w:firstLine="0" w:firstLineChars="0"/>
        <w:rPr>
          <w:color w:val="000000" w:themeColor="text1"/>
          <w:szCs w:val="30"/>
          <w14:textFill>
            <w14:solidFill>
              <w14:schemeClr w14:val="tx1"/>
            </w14:solidFill>
          </w14:textFill>
        </w:rPr>
      </w:pPr>
      <w:r>
        <w:rPr>
          <w:color w:val="000000" w:themeColor="text1"/>
          <w:szCs w:val="30"/>
          <w14:textFill>
            <w14:solidFill>
              <w14:schemeClr w14:val="tx1"/>
            </w14:solidFill>
          </w14:textFill>
        </w:rPr>
        <w:t>元/m</w:t>
      </w:r>
      <w:r>
        <w:rPr>
          <w:rFonts w:eastAsia="宋体" w:cs="宋体"/>
          <w:color w:val="000000" w:themeColor="text1"/>
          <w:szCs w:val="30"/>
          <w14:textFill>
            <w14:solidFill>
              <w14:schemeClr w14:val="tx1"/>
            </w14:solidFill>
          </w14:textFill>
        </w:rPr>
        <w:t>³</w:t>
      </w:r>
      <w:r>
        <w:rPr>
          <w:color w:val="000000" w:themeColor="text1"/>
          <w:szCs w:val="30"/>
          <w14:textFill>
            <w14:solidFill>
              <w14:schemeClr w14:val="tx1"/>
            </w14:solidFill>
          </w14:textFill>
        </w:rPr>
        <w:t>，小型水库一般50～90元/m</w:t>
      </w:r>
      <w:r>
        <w:rPr>
          <w:rFonts w:eastAsia="宋体" w:cs="宋体"/>
          <w:color w:val="000000" w:themeColor="text1"/>
          <w:szCs w:val="30"/>
          <w14:textFill>
            <w14:solidFill>
              <w14:schemeClr w14:val="tx1"/>
            </w14:solidFill>
          </w14:textFill>
        </w:rPr>
        <w:t>³</w:t>
      </w:r>
      <w:r>
        <w:rPr>
          <w:color w:val="000000" w:themeColor="text1"/>
          <w:szCs w:val="30"/>
          <w14:textFill>
            <w14:solidFill>
              <w14:schemeClr w14:val="tx1"/>
            </w14:solidFill>
          </w14:textFill>
        </w:rPr>
        <w:t>，怒江、迪区地区的小型水库工程单方库容投资90～120元/m</w:t>
      </w:r>
      <w:r>
        <w:rPr>
          <w:rFonts w:eastAsia="宋体" w:cs="宋体"/>
          <w:color w:val="000000" w:themeColor="text1"/>
          <w:szCs w:val="30"/>
          <w14:textFill>
            <w14:solidFill>
              <w14:schemeClr w14:val="tx1"/>
            </w14:solidFill>
          </w14:textFill>
        </w:rPr>
        <w:t>³</w:t>
      </w:r>
      <w:r>
        <w:rPr>
          <w:color w:val="000000" w:themeColor="text1"/>
          <w:szCs w:val="30"/>
          <w14:textFill>
            <w14:solidFill>
              <w14:schemeClr w14:val="tx1"/>
            </w14:solidFill>
          </w14:textFill>
        </w:rPr>
        <w:t>；</w:t>
      </w:r>
    </w:p>
    <w:p w14:paraId="5DF31EB3">
      <w:pPr>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（3）连通工程、引调水类项目，单位长度投资：设计取水流量大小，每公里投资差距较大，流量小于0.5m</w:t>
      </w:r>
      <w:r>
        <w:rPr>
          <w:rFonts w:eastAsia="宋体" w:cs="宋体"/>
          <w:color w:val="000000" w:themeColor="text1"/>
          <w:szCs w:val="30"/>
          <w14:textFill>
            <w14:solidFill>
              <w14:schemeClr w14:val="tx1"/>
            </w14:solidFill>
          </w14:textFill>
        </w:rPr>
        <w:t>³</w:t>
      </w:r>
      <w:r>
        <w:rPr>
          <w:color w:val="000000" w:themeColor="text1"/>
          <w:szCs w:val="30"/>
          <w14:textFill>
            <w14:solidFill>
              <w14:schemeClr w14:val="tx1"/>
            </w14:solidFill>
          </w14:textFill>
        </w:rPr>
        <w:t>/s的每公里投资按不超过100万元控制；流量大于0.5m</w:t>
      </w:r>
      <w:r>
        <w:rPr>
          <w:rFonts w:eastAsia="宋体" w:cs="宋体"/>
          <w:color w:val="000000" w:themeColor="text1"/>
          <w:szCs w:val="30"/>
          <w14:textFill>
            <w14:solidFill>
              <w14:schemeClr w14:val="tx1"/>
            </w14:solidFill>
          </w14:textFill>
        </w:rPr>
        <w:t>³</w:t>
      </w:r>
      <w:r>
        <w:rPr>
          <w:color w:val="000000" w:themeColor="text1"/>
          <w:szCs w:val="30"/>
          <w14:textFill>
            <w14:solidFill>
              <w14:schemeClr w14:val="tx1"/>
            </w14:solidFill>
          </w14:textFill>
        </w:rPr>
        <w:t>/s、小于2.0m</w:t>
      </w:r>
      <w:r>
        <w:rPr>
          <w:rFonts w:eastAsia="宋体" w:cs="宋体"/>
          <w:color w:val="000000" w:themeColor="text1"/>
          <w:szCs w:val="30"/>
          <w14:textFill>
            <w14:solidFill>
              <w14:schemeClr w14:val="tx1"/>
            </w14:solidFill>
          </w14:textFill>
        </w:rPr>
        <w:t>³</w:t>
      </w:r>
      <w:r>
        <w:rPr>
          <w:color w:val="000000" w:themeColor="text1"/>
          <w:szCs w:val="30"/>
          <w14:textFill>
            <w14:solidFill>
              <w14:schemeClr w14:val="tx1"/>
            </w14:solidFill>
          </w14:textFill>
        </w:rPr>
        <w:t>/s的每公里投资按不超过400万元控制；流量大于2.0m</w:t>
      </w:r>
      <w:r>
        <w:rPr>
          <w:rFonts w:eastAsia="宋体" w:cs="宋体"/>
          <w:color w:val="000000" w:themeColor="text1"/>
          <w:szCs w:val="30"/>
          <w14:textFill>
            <w14:solidFill>
              <w14:schemeClr w14:val="tx1"/>
            </w14:solidFill>
          </w14:textFill>
        </w:rPr>
        <w:t>³</w:t>
      </w:r>
      <w:r>
        <w:rPr>
          <w:color w:val="000000" w:themeColor="text1"/>
          <w:szCs w:val="30"/>
          <w14:textFill>
            <w14:solidFill>
              <w14:schemeClr w14:val="tx1"/>
            </w14:solidFill>
          </w14:textFill>
        </w:rPr>
        <w:t>/s、小于4.0m</w:t>
      </w:r>
      <w:r>
        <w:rPr>
          <w:rFonts w:eastAsia="宋体" w:cs="宋体"/>
          <w:color w:val="000000" w:themeColor="text1"/>
          <w:szCs w:val="30"/>
          <w14:textFill>
            <w14:solidFill>
              <w14:schemeClr w14:val="tx1"/>
            </w14:solidFill>
          </w14:textFill>
        </w:rPr>
        <w:t>³</w:t>
      </w:r>
      <w:r>
        <w:rPr>
          <w:color w:val="000000" w:themeColor="text1"/>
          <w:szCs w:val="30"/>
          <w14:textFill>
            <w14:solidFill>
              <w14:schemeClr w14:val="tx1"/>
            </w14:solidFill>
          </w14:textFill>
        </w:rPr>
        <w:t>/s的每公里投资按不超过800万元控制；流量大于4.0m</w:t>
      </w:r>
      <w:r>
        <w:rPr>
          <w:rFonts w:eastAsia="宋体" w:cs="宋体"/>
          <w:color w:val="000000" w:themeColor="text1"/>
          <w:szCs w:val="30"/>
          <w14:textFill>
            <w14:solidFill>
              <w14:schemeClr w14:val="tx1"/>
            </w14:solidFill>
          </w14:textFill>
        </w:rPr>
        <w:t>³</w:t>
      </w:r>
      <w:r>
        <w:rPr>
          <w:color w:val="000000" w:themeColor="text1"/>
          <w:szCs w:val="30"/>
          <w14:textFill>
            <w14:solidFill>
              <w14:schemeClr w14:val="tx1"/>
            </w14:solidFill>
          </w14:textFill>
        </w:rPr>
        <w:t>/s、小于5.0m</w:t>
      </w:r>
      <w:r>
        <w:rPr>
          <w:rFonts w:eastAsia="宋体" w:cs="宋体"/>
          <w:color w:val="000000" w:themeColor="text1"/>
          <w:szCs w:val="30"/>
          <w14:textFill>
            <w14:solidFill>
              <w14:schemeClr w14:val="tx1"/>
            </w14:solidFill>
          </w14:textFill>
        </w:rPr>
        <w:t>³</w:t>
      </w:r>
      <w:r>
        <w:rPr>
          <w:color w:val="000000" w:themeColor="text1"/>
          <w:szCs w:val="30"/>
          <w14:textFill>
            <w14:solidFill>
              <w14:schemeClr w14:val="tx1"/>
            </w14:solidFill>
          </w14:textFill>
        </w:rPr>
        <w:t>/s的每公里投资按不超过1000万元控制；流量大于5.0 m</w:t>
      </w:r>
      <w:r>
        <w:rPr>
          <w:rFonts w:eastAsia="宋体" w:cs="宋体"/>
          <w:color w:val="000000" w:themeColor="text1"/>
          <w:szCs w:val="30"/>
          <w14:textFill>
            <w14:solidFill>
              <w14:schemeClr w14:val="tx1"/>
            </w14:solidFill>
          </w14:textFill>
        </w:rPr>
        <w:t>³</w:t>
      </w:r>
      <w:r>
        <w:rPr>
          <w:color w:val="000000" w:themeColor="text1"/>
          <w:szCs w:val="30"/>
          <w14:textFill>
            <w14:solidFill>
              <w14:schemeClr w14:val="tx1"/>
            </w14:solidFill>
          </w14:textFill>
        </w:rPr>
        <w:t>/s的每公里投资按不超过1400万元控制；</w:t>
      </w:r>
    </w:p>
    <w:p w14:paraId="18350862">
      <w:pPr>
        <w:ind w:firstLine="0" w:firstLineChars="0"/>
        <w:rPr>
          <w:color w:val="000000" w:themeColor="text1"/>
          <w:szCs w:val="30"/>
          <w14:textFill>
            <w14:solidFill>
              <w14:schemeClr w14:val="tx1"/>
            </w14:solidFill>
          </w14:textFill>
        </w:rPr>
      </w:pPr>
      <w:r>
        <w:rPr>
          <w:color w:val="000000" w:themeColor="text1"/>
          <w:szCs w:val="30"/>
          <w14:textFill>
            <w14:solidFill>
              <w14:schemeClr w14:val="tx1"/>
            </w14:solidFill>
          </w14:textFill>
        </w:rPr>
        <w:t>（4）水土保持类项目，根据近年玉溪市水土保持类项目投资情况，水土流失预防治理面积单平方公里投资为50～60万元。</w:t>
      </w:r>
    </w:p>
    <w:p w14:paraId="52395173">
      <w:pPr>
        <w:pStyle w:val="45"/>
        <w:rPr>
          <w:color w:val="000000" w:themeColor="text1"/>
          <w14:textFill>
            <w14:solidFill>
              <w14:schemeClr w14:val="tx1"/>
            </w14:solidFill>
          </w14:textFill>
        </w:rPr>
      </w:pPr>
      <w:r>
        <w:rPr>
          <w:color w:val="000000" w:themeColor="text1"/>
          <w14:textFill>
            <w14:solidFill>
              <w14:schemeClr w14:val="tx1"/>
            </w14:solidFill>
          </w14:textFill>
        </w:rPr>
        <w:t>投资汇总表</w:t>
      </w:r>
    </w:p>
    <w:p w14:paraId="39D1660F">
      <w:pPr>
        <w:ind w:firstLine="720"/>
        <w:rPr>
          <w:rFonts w:cs="黑体"/>
          <w:color w:val="000000" w:themeColor="text1"/>
          <w:sz w:val="36"/>
          <w:szCs w:val="36"/>
          <w14:textFill>
            <w14:solidFill>
              <w14:schemeClr w14:val="tx1"/>
            </w14:solidFill>
          </w14:textFill>
        </w:rPr>
      </w:pPr>
      <w:bookmarkStart w:id="210" w:name="_Toc4315"/>
      <w:r>
        <w:rPr>
          <w:rFonts w:cs="黑体"/>
          <w:color w:val="000000" w:themeColor="text1"/>
          <w:sz w:val="36"/>
          <w:szCs w:val="36"/>
          <w14:textFill>
            <w14:solidFill>
              <w14:schemeClr w14:val="tx1"/>
            </w14:solidFill>
          </w14:textFill>
        </w:rPr>
        <w:br w:type="page"/>
      </w:r>
    </w:p>
    <w:p w14:paraId="1FF6AC61">
      <w:pPr>
        <w:pStyle w:val="8"/>
        <w:keepNext/>
        <w:ind w:firstLine="400"/>
        <w:rPr>
          <w:rFonts w:ascii="Times New Roman" w:hAnsi="Times New Roman"/>
          <w:color w:val="000000" w:themeColor="text1"/>
          <w14:textFill>
            <w14:solidFill>
              <w14:schemeClr w14:val="tx1"/>
            </w14:solidFill>
          </w14:textFill>
        </w:rPr>
        <w:sectPr>
          <w:pgSz w:w="11906" w:h="16838"/>
          <w:pgMar w:top="1871" w:right="1304" w:bottom="1418" w:left="1304" w:header="850" w:footer="680" w:gutter="0"/>
          <w:pgNumType w:fmt="numberInDash"/>
          <w:cols w:space="425" w:num="1"/>
          <w:docGrid w:linePitch="381" w:charSpace="0"/>
        </w:sectPr>
      </w:pPr>
    </w:p>
    <w:p w14:paraId="029C9FE8">
      <w:pPr>
        <w:pStyle w:val="51"/>
        <w:rPr>
          <w:color w:val="000000" w:themeColor="text1"/>
          <w14:textFill>
            <w14:solidFill>
              <w14:schemeClr w14:val="tx1"/>
            </w14:solidFill>
          </w14:textFill>
        </w:rPr>
      </w:pPr>
      <w:r>
        <w:rPr>
          <w:color w:val="000000" w:themeColor="text1"/>
          <w14:textFill>
            <w14:solidFill>
              <w14:schemeClr w14:val="tx1"/>
            </w14:solidFill>
          </w14:textFill>
        </w:rPr>
        <w:t>表13-1     易门县“十四五”水安全保障规划项目汇总表</w:t>
      </w:r>
    </w:p>
    <w:tbl>
      <w:tblPr>
        <w:tblStyle w:val="24"/>
        <w:tblW w:w="14863" w:type="dxa"/>
        <w:tblInd w:w="0" w:type="dxa"/>
        <w:tblLayout w:type="fixed"/>
        <w:tblCellMar>
          <w:top w:w="0" w:type="dxa"/>
          <w:left w:w="0" w:type="dxa"/>
          <w:bottom w:w="0" w:type="dxa"/>
          <w:right w:w="0" w:type="dxa"/>
        </w:tblCellMar>
      </w:tblPr>
      <w:tblGrid>
        <w:gridCol w:w="520"/>
        <w:gridCol w:w="966"/>
        <w:gridCol w:w="3517"/>
        <w:gridCol w:w="945"/>
        <w:gridCol w:w="710"/>
        <w:gridCol w:w="924"/>
        <w:gridCol w:w="933"/>
        <w:gridCol w:w="1002"/>
        <w:gridCol w:w="817"/>
        <w:gridCol w:w="782"/>
        <w:gridCol w:w="895"/>
        <w:gridCol w:w="939"/>
        <w:gridCol w:w="976"/>
        <w:gridCol w:w="937"/>
      </w:tblGrid>
      <w:tr w14:paraId="75E11508">
        <w:tblPrEx>
          <w:tblCellMar>
            <w:top w:w="0" w:type="dxa"/>
            <w:left w:w="0" w:type="dxa"/>
            <w:bottom w:w="0" w:type="dxa"/>
            <w:right w:w="0" w:type="dxa"/>
          </w:tblCellMar>
        </w:tblPrEx>
        <w:trPr>
          <w:trHeight w:val="57" w:hRule="atLeast"/>
        </w:trPr>
        <w:tc>
          <w:tcPr>
            <w:tcW w:w="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CE9985">
            <w:pPr>
              <w:widowControl/>
              <w:adjustRightInd/>
              <w:snapToGrid/>
              <w:spacing w:line="240" w:lineRule="auto"/>
              <w:ind w:firstLine="0" w:firstLineChars="0"/>
              <w:jc w:val="center"/>
              <w:rPr>
                <w:rFonts w:eastAsia="宋体" w:cs="宋体"/>
                <w:b/>
                <w:color w:val="000000" w:themeColor="text1"/>
                <w:kern w:val="0"/>
                <w:sz w:val="21"/>
                <w:szCs w:val="21"/>
                <w14:textFill>
                  <w14:solidFill>
                    <w14:schemeClr w14:val="tx1"/>
                  </w14:solidFill>
                </w14:textFill>
              </w:rPr>
            </w:pPr>
            <w:r>
              <w:rPr>
                <w:rFonts w:eastAsia="宋体" w:cs="宋体"/>
                <w:b/>
                <w:color w:val="000000" w:themeColor="text1"/>
                <w:kern w:val="0"/>
                <w:sz w:val="21"/>
                <w:szCs w:val="21"/>
                <w14:textFill>
                  <w14:solidFill>
                    <w14:schemeClr w14:val="tx1"/>
                  </w14:solidFill>
                </w14:textFill>
              </w:rPr>
              <w:t>项目</w:t>
            </w:r>
            <w:r>
              <w:rPr>
                <w:rFonts w:eastAsia="宋体" w:cs="宋体"/>
                <w:b/>
                <w:color w:val="000000" w:themeColor="text1"/>
                <w:kern w:val="0"/>
                <w:sz w:val="21"/>
                <w:szCs w:val="21"/>
                <w14:textFill>
                  <w14:solidFill>
                    <w14:schemeClr w14:val="tx1"/>
                  </w14:solidFill>
                </w14:textFill>
              </w:rPr>
              <w:br w:type="textWrapping"/>
            </w:r>
            <w:r>
              <w:rPr>
                <w:rFonts w:eastAsia="宋体" w:cs="宋体"/>
                <w:b/>
                <w:color w:val="000000" w:themeColor="text1"/>
                <w:kern w:val="0"/>
                <w:sz w:val="21"/>
                <w:szCs w:val="21"/>
                <w14:textFill>
                  <w14:solidFill>
                    <w14:schemeClr w14:val="tx1"/>
                  </w14:solidFill>
                </w14:textFill>
              </w:rPr>
              <w:t>类别</w:t>
            </w:r>
          </w:p>
        </w:tc>
        <w:tc>
          <w:tcPr>
            <w:tcW w:w="448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D28590">
            <w:pPr>
              <w:widowControl/>
              <w:adjustRightInd/>
              <w:snapToGrid/>
              <w:spacing w:line="240" w:lineRule="auto"/>
              <w:ind w:firstLine="0" w:firstLineChars="0"/>
              <w:jc w:val="center"/>
              <w:rPr>
                <w:rFonts w:eastAsia="宋体" w:cs="宋体"/>
                <w:b/>
                <w:color w:val="000000" w:themeColor="text1"/>
                <w:kern w:val="0"/>
                <w:sz w:val="21"/>
                <w:szCs w:val="21"/>
                <w14:textFill>
                  <w14:solidFill>
                    <w14:schemeClr w14:val="tx1"/>
                  </w14:solidFill>
                </w14:textFill>
              </w:rPr>
            </w:pPr>
            <w:r>
              <w:rPr>
                <w:rFonts w:eastAsia="宋体" w:cs="宋体"/>
                <w:b/>
                <w:color w:val="000000" w:themeColor="text1"/>
                <w:kern w:val="0"/>
                <w:sz w:val="21"/>
                <w:szCs w:val="21"/>
                <w14:textFill>
                  <w14:solidFill>
                    <w14:schemeClr w14:val="tx1"/>
                  </w14:solidFill>
                </w14:textFill>
              </w:rPr>
              <w:t>附表</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C9D916F">
            <w:pPr>
              <w:widowControl/>
              <w:adjustRightInd/>
              <w:snapToGrid/>
              <w:spacing w:line="240" w:lineRule="auto"/>
              <w:ind w:firstLine="0" w:firstLineChars="0"/>
              <w:jc w:val="center"/>
              <w:rPr>
                <w:rFonts w:eastAsia="宋体" w:cs="宋体"/>
                <w:b/>
                <w:color w:val="000000" w:themeColor="text1"/>
                <w:kern w:val="0"/>
                <w:sz w:val="21"/>
                <w:szCs w:val="21"/>
                <w14:textFill>
                  <w14:solidFill>
                    <w14:schemeClr w14:val="tx1"/>
                  </w14:solidFill>
                </w14:textFill>
              </w:rPr>
            </w:pPr>
            <w:r>
              <w:rPr>
                <w:rFonts w:eastAsia="宋体" w:cs="宋体"/>
                <w:b/>
                <w:color w:val="000000" w:themeColor="text1"/>
                <w:kern w:val="0"/>
                <w:sz w:val="21"/>
                <w:szCs w:val="21"/>
                <w14:textFill>
                  <w14:solidFill>
                    <w14:schemeClr w14:val="tx1"/>
                  </w14:solidFill>
                </w14:textFill>
              </w:rPr>
              <w:t>工程规模</w:t>
            </w:r>
          </w:p>
        </w:tc>
        <w:tc>
          <w:tcPr>
            <w:tcW w:w="4386" w:type="dxa"/>
            <w:gridSpan w:val="5"/>
            <w:tcBorders>
              <w:top w:val="single" w:color="auto" w:sz="4" w:space="0"/>
              <w:left w:val="nil"/>
              <w:bottom w:val="single" w:color="auto" w:sz="4" w:space="0"/>
              <w:right w:val="single" w:color="auto" w:sz="4" w:space="0"/>
            </w:tcBorders>
            <w:shd w:val="clear" w:color="auto" w:fill="auto"/>
            <w:noWrap/>
            <w:vAlign w:val="center"/>
          </w:tcPr>
          <w:p w14:paraId="3DD97905">
            <w:pPr>
              <w:widowControl/>
              <w:adjustRightInd/>
              <w:snapToGrid/>
              <w:spacing w:line="240" w:lineRule="auto"/>
              <w:ind w:firstLine="0" w:firstLineChars="0"/>
              <w:jc w:val="center"/>
              <w:rPr>
                <w:rFonts w:eastAsia="宋体" w:cs="宋体"/>
                <w:b/>
                <w:color w:val="000000" w:themeColor="text1"/>
                <w:kern w:val="0"/>
                <w:sz w:val="21"/>
                <w:szCs w:val="21"/>
                <w14:textFill>
                  <w14:solidFill>
                    <w14:schemeClr w14:val="tx1"/>
                  </w14:solidFill>
                </w14:textFill>
              </w:rPr>
            </w:pPr>
            <w:r>
              <w:rPr>
                <w:rFonts w:eastAsia="宋体" w:cs="宋体"/>
                <w:b/>
                <w:color w:val="000000" w:themeColor="text1"/>
                <w:kern w:val="0"/>
                <w:sz w:val="21"/>
                <w:szCs w:val="21"/>
                <w14:textFill>
                  <w14:solidFill>
                    <w14:schemeClr w14:val="tx1"/>
                  </w14:solidFill>
                </w14:textFill>
              </w:rPr>
              <w:t>工程规模及供水量</w:t>
            </w:r>
          </w:p>
        </w:tc>
        <w:tc>
          <w:tcPr>
            <w:tcW w:w="2616" w:type="dxa"/>
            <w:gridSpan w:val="3"/>
            <w:tcBorders>
              <w:top w:val="single" w:color="auto" w:sz="4" w:space="0"/>
              <w:left w:val="nil"/>
              <w:bottom w:val="single" w:color="auto" w:sz="4" w:space="0"/>
              <w:right w:val="single" w:color="auto" w:sz="4" w:space="0"/>
            </w:tcBorders>
            <w:shd w:val="clear" w:color="auto" w:fill="auto"/>
            <w:noWrap/>
            <w:vAlign w:val="center"/>
          </w:tcPr>
          <w:p w14:paraId="62629D9B">
            <w:pPr>
              <w:widowControl/>
              <w:adjustRightInd/>
              <w:snapToGrid/>
              <w:spacing w:line="240" w:lineRule="auto"/>
              <w:ind w:firstLine="0" w:firstLineChars="0"/>
              <w:jc w:val="center"/>
              <w:rPr>
                <w:rFonts w:eastAsia="宋体" w:cs="宋体"/>
                <w:b/>
                <w:color w:val="000000" w:themeColor="text1"/>
                <w:kern w:val="0"/>
                <w:sz w:val="21"/>
                <w:szCs w:val="21"/>
                <w14:textFill>
                  <w14:solidFill>
                    <w14:schemeClr w14:val="tx1"/>
                  </w14:solidFill>
                </w14:textFill>
              </w:rPr>
            </w:pPr>
            <w:r>
              <w:rPr>
                <w:rFonts w:eastAsia="宋体" w:cs="宋体"/>
                <w:b/>
                <w:color w:val="000000" w:themeColor="text1"/>
                <w:kern w:val="0"/>
                <w:sz w:val="21"/>
                <w:szCs w:val="21"/>
                <w14:textFill>
                  <w14:solidFill>
                    <w14:schemeClr w14:val="tx1"/>
                  </w14:solidFill>
                </w14:textFill>
              </w:rPr>
              <w:t>工程效益</w:t>
            </w:r>
          </w:p>
        </w:tc>
        <w:tc>
          <w:tcPr>
            <w:tcW w:w="976" w:type="dxa"/>
            <w:vMerge w:val="restart"/>
            <w:tcBorders>
              <w:top w:val="single" w:color="auto" w:sz="4" w:space="0"/>
              <w:left w:val="single" w:color="auto" w:sz="4" w:space="0"/>
              <w:bottom w:val="single" w:color="000000" w:sz="4" w:space="0"/>
              <w:right w:val="nil"/>
            </w:tcBorders>
            <w:shd w:val="clear" w:color="auto" w:fill="auto"/>
            <w:vAlign w:val="center"/>
          </w:tcPr>
          <w:p w14:paraId="5419E11E">
            <w:pPr>
              <w:widowControl/>
              <w:adjustRightInd/>
              <w:snapToGrid/>
              <w:spacing w:line="240" w:lineRule="auto"/>
              <w:ind w:firstLine="0" w:firstLineChars="0"/>
              <w:jc w:val="center"/>
              <w:rPr>
                <w:rFonts w:eastAsia="宋体" w:cs="宋体"/>
                <w:b/>
                <w:color w:val="000000" w:themeColor="text1"/>
                <w:kern w:val="0"/>
                <w:sz w:val="21"/>
                <w:szCs w:val="21"/>
                <w14:textFill>
                  <w14:solidFill>
                    <w14:schemeClr w14:val="tx1"/>
                  </w14:solidFill>
                </w14:textFill>
              </w:rPr>
            </w:pPr>
            <w:r>
              <w:rPr>
                <w:rFonts w:eastAsia="宋体" w:cs="宋体"/>
                <w:b/>
                <w:color w:val="000000" w:themeColor="text1"/>
                <w:kern w:val="0"/>
                <w:sz w:val="21"/>
                <w:szCs w:val="21"/>
                <w14:textFill>
                  <w14:solidFill>
                    <w14:schemeClr w14:val="tx1"/>
                  </w14:solidFill>
                </w14:textFill>
              </w:rPr>
              <w:t>工程投资（亿元）</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9CA764">
            <w:pPr>
              <w:widowControl/>
              <w:adjustRightInd/>
              <w:snapToGrid/>
              <w:spacing w:line="240" w:lineRule="auto"/>
              <w:ind w:firstLine="0" w:firstLineChars="0"/>
              <w:jc w:val="center"/>
              <w:rPr>
                <w:rFonts w:eastAsia="宋体" w:cs="宋体"/>
                <w:b/>
                <w:color w:val="000000" w:themeColor="text1"/>
                <w:kern w:val="0"/>
                <w:sz w:val="21"/>
                <w:szCs w:val="21"/>
                <w14:textFill>
                  <w14:solidFill>
                    <w14:schemeClr w14:val="tx1"/>
                  </w14:solidFill>
                </w14:textFill>
              </w:rPr>
            </w:pPr>
            <w:r>
              <w:rPr>
                <w:rFonts w:hint="eastAsia" w:eastAsia="宋体" w:cs="宋体"/>
                <w:b/>
                <w:color w:val="000000" w:themeColor="text1"/>
                <w:kern w:val="0"/>
                <w:sz w:val="21"/>
                <w:szCs w:val="21"/>
                <w:lang w:eastAsia="zh-CN"/>
                <w14:textFill>
                  <w14:solidFill>
                    <w14:schemeClr w14:val="tx1"/>
                  </w14:solidFill>
                </w14:textFill>
              </w:rPr>
              <w:t>“十四五”</w:t>
            </w:r>
            <w:r>
              <w:rPr>
                <w:rFonts w:eastAsia="宋体" w:cs="宋体"/>
                <w:b/>
                <w:color w:val="000000" w:themeColor="text1"/>
                <w:kern w:val="0"/>
                <w:sz w:val="21"/>
                <w:szCs w:val="21"/>
                <w14:textFill>
                  <w14:solidFill>
                    <w14:schemeClr w14:val="tx1"/>
                  </w14:solidFill>
                </w14:textFill>
              </w:rPr>
              <w:t>投资（亿元）</w:t>
            </w:r>
          </w:p>
        </w:tc>
      </w:tr>
      <w:tr w14:paraId="6F164DA1">
        <w:tblPrEx>
          <w:tblCellMar>
            <w:top w:w="0" w:type="dxa"/>
            <w:left w:w="0" w:type="dxa"/>
            <w:bottom w:w="0" w:type="dxa"/>
            <w:right w:w="0" w:type="dxa"/>
          </w:tblCellMar>
        </w:tblPrEx>
        <w:trPr>
          <w:trHeight w:val="57" w:hRule="atLeast"/>
        </w:trPr>
        <w:tc>
          <w:tcPr>
            <w:tcW w:w="520" w:type="dxa"/>
            <w:vMerge w:val="continue"/>
            <w:tcBorders>
              <w:top w:val="single" w:color="auto" w:sz="4" w:space="0"/>
              <w:left w:val="single" w:color="auto" w:sz="4" w:space="0"/>
              <w:bottom w:val="single" w:color="auto" w:sz="4" w:space="0"/>
              <w:right w:val="single" w:color="auto" w:sz="4" w:space="0"/>
            </w:tcBorders>
            <w:vAlign w:val="center"/>
          </w:tcPr>
          <w:p w14:paraId="60A906F4">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p>
        </w:tc>
        <w:tc>
          <w:tcPr>
            <w:tcW w:w="4483" w:type="dxa"/>
            <w:gridSpan w:val="2"/>
            <w:vMerge w:val="continue"/>
            <w:tcBorders>
              <w:top w:val="single" w:color="auto" w:sz="4" w:space="0"/>
              <w:left w:val="single" w:color="auto" w:sz="4" w:space="0"/>
              <w:bottom w:val="single" w:color="auto" w:sz="4" w:space="0"/>
              <w:right w:val="single" w:color="auto" w:sz="4" w:space="0"/>
            </w:tcBorders>
            <w:vAlign w:val="center"/>
          </w:tcPr>
          <w:p w14:paraId="055BC845">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14:paraId="7F41988F">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p>
        </w:tc>
        <w:tc>
          <w:tcPr>
            <w:tcW w:w="710" w:type="dxa"/>
            <w:tcBorders>
              <w:top w:val="nil"/>
              <w:left w:val="nil"/>
              <w:bottom w:val="single" w:color="auto" w:sz="4" w:space="0"/>
              <w:right w:val="single" w:color="auto" w:sz="4" w:space="0"/>
            </w:tcBorders>
            <w:shd w:val="clear" w:color="auto" w:fill="auto"/>
            <w:vAlign w:val="center"/>
          </w:tcPr>
          <w:p w14:paraId="1329A31B">
            <w:pPr>
              <w:widowControl/>
              <w:adjustRightInd/>
              <w:snapToGrid/>
              <w:spacing w:line="240" w:lineRule="auto"/>
              <w:ind w:firstLine="0" w:firstLineChars="0"/>
              <w:jc w:val="center"/>
              <w:rPr>
                <w:rFonts w:eastAsia="宋体" w:cs="宋体"/>
                <w:b/>
                <w:color w:val="000000" w:themeColor="text1"/>
                <w:kern w:val="0"/>
                <w:sz w:val="21"/>
                <w:szCs w:val="21"/>
                <w14:textFill>
                  <w14:solidFill>
                    <w14:schemeClr w14:val="tx1"/>
                  </w14:solidFill>
                </w14:textFill>
              </w:rPr>
            </w:pPr>
            <w:r>
              <w:rPr>
                <w:rFonts w:eastAsia="宋体" w:cs="宋体"/>
                <w:b/>
                <w:color w:val="000000" w:themeColor="text1"/>
                <w:kern w:val="0"/>
                <w:sz w:val="21"/>
                <w:szCs w:val="21"/>
                <w14:textFill>
                  <w14:solidFill>
                    <w14:schemeClr w14:val="tx1"/>
                  </w14:solidFill>
                </w14:textFill>
              </w:rPr>
              <w:t>工程数量（件）</w:t>
            </w:r>
          </w:p>
        </w:tc>
        <w:tc>
          <w:tcPr>
            <w:tcW w:w="924" w:type="dxa"/>
            <w:tcBorders>
              <w:top w:val="nil"/>
              <w:left w:val="nil"/>
              <w:bottom w:val="single" w:color="auto" w:sz="4" w:space="0"/>
              <w:right w:val="single" w:color="auto" w:sz="4" w:space="0"/>
            </w:tcBorders>
            <w:shd w:val="clear" w:color="auto" w:fill="auto"/>
            <w:vAlign w:val="center"/>
          </w:tcPr>
          <w:p w14:paraId="36A9B3FF">
            <w:pPr>
              <w:widowControl/>
              <w:adjustRightInd/>
              <w:snapToGrid/>
              <w:spacing w:line="240" w:lineRule="auto"/>
              <w:ind w:firstLine="0" w:firstLineChars="0"/>
              <w:jc w:val="center"/>
              <w:rPr>
                <w:rFonts w:eastAsia="宋体" w:cs="宋体"/>
                <w:b/>
                <w:color w:val="000000" w:themeColor="text1"/>
                <w:kern w:val="0"/>
                <w:sz w:val="21"/>
                <w:szCs w:val="21"/>
                <w14:textFill>
                  <w14:solidFill>
                    <w14:schemeClr w14:val="tx1"/>
                  </w14:solidFill>
                </w14:textFill>
              </w:rPr>
            </w:pPr>
            <w:r>
              <w:rPr>
                <w:rFonts w:eastAsia="宋体" w:cs="宋体"/>
                <w:b/>
                <w:color w:val="000000" w:themeColor="text1"/>
                <w:kern w:val="0"/>
                <w:sz w:val="21"/>
                <w:szCs w:val="21"/>
                <w14:textFill>
                  <w14:solidFill>
                    <w14:schemeClr w14:val="tx1"/>
                  </w14:solidFill>
                </w14:textFill>
              </w:rPr>
              <w:t>总库容  （万m³</w:t>
            </w:r>
            <w:r>
              <w:rPr>
                <w:rFonts w:eastAsia="等线" w:cs="宋体"/>
                <w:b/>
                <w:color w:val="000000" w:themeColor="text1"/>
                <w:kern w:val="0"/>
                <w:sz w:val="21"/>
                <w:szCs w:val="21"/>
                <w14:textFill>
                  <w14:solidFill>
                    <w14:schemeClr w14:val="tx1"/>
                  </w14:solidFill>
                </w14:textFill>
              </w:rPr>
              <w:t>）</w:t>
            </w:r>
          </w:p>
        </w:tc>
        <w:tc>
          <w:tcPr>
            <w:tcW w:w="933" w:type="dxa"/>
            <w:tcBorders>
              <w:top w:val="nil"/>
              <w:left w:val="nil"/>
              <w:bottom w:val="single" w:color="auto" w:sz="4" w:space="0"/>
              <w:right w:val="single" w:color="auto" w:sz="4" w:space="0"/>
            </w:tcBorders>
            <w:shd w:val="clear" w:color="auto" w:fill="auto"/>
            <w:vAlign w:val="center"/>
          </w:tcPr>
          <w:p w14:paraId="47FE5139">
            <w:pPr>
              <w:widowControl/>
              <w:adjustRightInd/>
              <w:snapToGrid/>
              <w:spacing w:line="240" w:lineRule="auto"/>
              <w:ind w:firstLine="0" w:firstLineChars="0"/>
              <w:jc w:val="center"/>
              <w:rPr>
                <w:rFonts w:eastAsia="宋体" w:cs="宋体"/>
                <w:b/>
                <w:color w:val="000000" w:themeColor="text1"/>
                <w:kern w:val="0"/>
                <w:sz w:val="21"/>
                <w:szCs w:val="21"/>
                <w14:textFill>
                  <w14:solidFill>
                    <w14:schemeClr w14:val="tx1"/>
                  </w14:solidFill>
                </w14:textFill>
              </w:rPr>
            </w:pPr>
            <w:r>
              <w:rPr>
                <w:rFonts w:eastAsia="宋体" w:cs="宋体"/>
                <w:b/>
                <w:color w:val="000000" w:themeColor="text1"/>
                <w:kern w:val="0"/>
                <w:sz w:val="21"/>
                <w:szCs w:val="21"/>
                <w14:textFill>
                  <w14:solidFill>
                    <w14:schemeClr w14:val="tx1"/>
                  </w14:solidFill>
                </w14:textFill>
              </w:rPr>
              <w:t>兴利库容（万m³</w:t>
            </w:r>
            <w:r>
              <w:rPr>
                <w:rFonts w:eastAsia="等线" w:cs="宋体"/>
                <w:b/>
                <w:color w:val="000000" w:themeColor="text1"/>
                <w:kern w:val="0"/>
                <w:sz w:val="21"/>
                <w:szCs w:val="21"/>
                <w14:textFill>
                  <w14:solidFill>
                    <w14:schemeClr w14:val="tx1"/>
                  </w14:solidFill>
                </w14:textFill>
              </w:rPr>
              <w:t>）</w:t>
            </w:r>
          </w:p>
        </w:tc>
        <w:tc>
          <w:tcPr>
            <w:tcW w:w="1002" w:type="dxa"/>
            <w:tcBorders>
              <w:top w:val="nil"/>
              <w:left w:val="nil"/>
              <w:bottom w:val="single" w:color="auto" w:sz="4" w:space="0"/>
              <w:right w:val="single" w:color="auto" w:sz="4" w:space="0"/>
            </w:tcBorders>
            <w:shd w:val="clear" w:color="auto" w:fill="auto"/>
            <w:vAlign w:val="center"/>
          </w:tcPr>
          <w:p w14:paraId="418324BE">
            <w:pPr>
              <w:widowControl/>
              <w:adjustRightInd/>
              <w:snapToGrid/>
              <w:spacing w:line="240" w:lineRule="auto"/>
              <w:ind w:firstLine="0" w:firstLineChars="0"/>
              <w:jc w:val="center"/>
              <w:rPr>
                <w:rFonts w:eastAsia="宋体" w:cs="宋体"/>
                <w:b/>
                <w:color w:val="000000" w:themeColor="text1"/>
                <w:kern w:val="0"/>
                <w:sz w:val="21"/>
                <w:szCs w:val="21"/>
                <w14:textFill>
                  <w14:solidFill>
                    <w14:schemeClr w14:val="tx1"/>
                  </w14:solidFill>
                </w14:textFill>
              </w:rPr>
            </w:pPr>
            <w:r>
              <w:rPr>
                <w:rFonts w:eastAsia="宋体" w:cs="宋体"/>
                <w:b/>
                <w:color w:val="000000" w:themeColor="text1"/>
                <w:kern w:val="0"/>
                <w:sz w:val="21"/>
                <w:szCs w:val="21"/>
                <w14:textFill>
                  <w14:solidFill>
                    <w14:schemeClr w14:val="tx1"/>
                  </w14:solidFill>
                </w14:textFill>
              </w:rPr>
              <w:t>供水量   （万m³）</w:t>
            </w:r>
          </w:p>
        </w:tc>
        <w:tc>
          <w:tcPr>
            <w:tcW w:w="817" w:type="dxa"/>
            <w:tcBorders>
              <w:top w:val="nil"/>
              <w:left w:val="nil"/>
              <w:bottom w:val="single" w:color="auto" w:sz="4" w:space="0"/>
              <w:right w:val="single" w:color="auto" w:sz="4" w:space="0"/>
            </w:tcBorders>
            <w:shd w:val="clear" w:color="auto" w:fill="auto"/>
            <w:vAlign w:val="center"/>
          </w:tcPr>
          <w:p w14:paraId="60C09475">
            <w:pPr>
              <w:widowControl/>
              <w:adjustRightInd/>
              <w:snapToGrid/>
              <w:spacing w:line="240" w:lineRule="auto"/>
              <w:ind w:firstLine="0" w:firstLineChars="0"/>
              <w:jc w:val="center"/>
              <w:rPr>
                <w:rFonts w:eastAsia="宋体" w:cs="宋体"/>
                <w:b/>
                <w:color w:val="000000" w:themeColor="text1"/>
                <w:kern w:val="0"/>
                <w:sz w:val="21"/>
                <w:szCs w:val="21"/>
                <w14:textFill>
                  <w14:solidFill>
                    <w14:schemeClr w14:val="tx1"/>
                  </w14:solidFill>
                </w14:textFill>
              </w:rPr>
            </w:pPr>
            <w:r>
              <w:rPr>
                <w:rFonts w:eastAsia="宋体" w:cs="宋体"/>
                <w:b/>
                <w:color w:val="000000" w:themeColor="text1"/>
                <w:kern w:val="0"/>
                <w:sz w:val="21"/>
                <w:szCs w:val="21"/>
                <w14:textFill>
                  <w14:solidFill>
                    <w14:schemeClr w14:val="tx1"/>
                  </w14:solidFill>
                </w14:textFill>
              </w:rPr>
              <w:t>治理河长（km）</w:t>
            </w:r>
          </w:p>
        </w:tc>
        <w:tc>
          <w:tcPr>
            <w:tcW w:w="782" w:type="dxa"/>
            <w:tcBorders>
              <w:top w:val="nil"/>
              <w:left w:val="nil"/>
              <w:bottom w:val="single" w:color="auto" w:sz="4" w:space="0"/>
              <w:right w:val="single" w:color="auto" w:sz="4" w:space="0"/>
            </w:tcBorders>
            <w:shd w:val="clear" w:color="auto" w:fill="auto"/>
            <w:vAlign w:val="center"/>
          </w:tcPr>
          <w:p w14:paraId="210DD9A4">
            <w:pPr>
              <w:widowControl/>
              <w:adjustRightInd/>
              <w:snapToGrid/>
              <w:spacing w:line="240" w:lineRule="auto"/>
              <w:ind w:firstLine="0" w:firstLineChars="0"/>
              <w:jc w:val="center"/>
              <w:rPr>
                <w:rFonts w:eastAsia="宋体" w:cs="宋体"/>
                <w:b/>
                <w:color w:val="000000" w:themeColor="text1"/>
                <w:kern w:val="0"/>
                <w:sz w:val="21"/>
                <w:szCs w:val="21"/>
                <w14:textFill>
                  <w14:solidFill>
                    <w14:schemeClr w14:val="tx1"/>
                  </w14:solidFill>
                </w14:textFill>
              </w:rPr>
            </w:pPr>
            <w:r>
              <w:rPr>
                <w:rFonts w:eastAsia="宋体" w:cs="宋体"/>
                <w:b/>
                <w:color w:val="000000" w:themeColor="text1"/>
                <w:kern w:val="0"/>
                <w:sz w:val="21"/>
                <w:szCs w:val="21"/>
                <w14:textFill>
                  <w14:solidFill>
                    <w14:schemeClr w14:val="tx1"/>
                  </w14:solidFill>
                </w14:textFill>
              </w:rPr>
              <w:t>供水人口（万人）</w:t>
            </w:r>
          </w:p>
        </w:tc>
        <w:tc>
          <w:tcPr>
            <w:tcW w:w="895" w:type="dxa"/>
            <w:tcBorders>
              <w:top w:val="nil"/>
              <w:left w:val="nil"/>
              <w:bottom w:val="single" w:color="auto" w:sz="4" w:space="0"/>
              <w:right w:val="single" w:color="auto" w:sz="4" w:space="0"/>
            </w:tcBorders>
            <w:shd w:val="clear" w:color="auto" w:fill="auto"/>
            <w:vAlign w:val="center"/>
          </w:tcPr>
          <w:p w14:paraId="5F98D76B">
            <w:pPr>
              <w:widowControl/>
              <w:adjustRightInd/>
              <w:snapToGrid/>
              <w:spacing w:line="240" w:lineRule="auto"/>
              <w:ind w:firstLine="0" w:firstLineChars="0"/>
              <w:jc w:val="center"/>
              <w:rPr>
                <w:rFonts w:eastAsia="宋体" w:cs="宋体"/>
                <w:b/>
                <w:color w:val="000000" w:themeColor="text1"/>
                <w:kern w:val="0"/>
                <w:sz w:val="21"/>
                <w:szCs w:val="21"/>
                <w14:textFill>
                  <w14:solidFill>
                    <w14:schemeClr w14:val="tx1"/>
                  </w14:solidFill>
                </w14:textFill>
              </w:rPr>
            </w:pPr>
            <w:r>
              <w:rPr>
                <w:rFonts w:eastAsia="宋体" w:cs="宋体"/>
                <w:b/>
                <w:color w:val="000000" w:themeColor="text1"/>
                <w:kern w:val="0"/>
                <w:sz w:val="21"/>
                <w:szCs w:val="21"/>
                <w14:textFill>
                  <w14:solidFill>
                    <w14:schemeClr w14:val="tx1"/>
                  </w14:solidFill>
                </w14:textFill>
              </w:rPr>
              <w:t>新增灌溉面积</w:t>
            </w:r>
            <w:r>
              <w:rPr>
                <w:rFonts w:eastAsia="宋体" w:cs="宋体"/>
                <w:b/>
                <w:color w:val="000000" w:themeColor="text1"/>
                <w:kern w:val="0"/>
                <w:sz w:val="21"/>
                <w:szCs w:val="21"/>
                <w14:textFill>
                  <w14:solidFill>
                    <w14:schemeClr w14:val="tx1"/>
                  </w14:solidFill>
                </w14:textFill>
              </w:rPr>
              <w:br w:type="textWrapping"/>
            </w:r>
            <w:r>
              <w:rPr>
                <w:rFonts w:eastAsia="宋体" w:cs="宋体"/>
                <w:b/>
                <w:color w:val="000000" w:themeColor="text1"/>
                <w:kern w:val="0"/>
                <w:sz w:val="21"/>
                <w:szCs w:val="21"/>
                <w14:textFill>
                  <w14:solidFill>
                    <w14:schemeClr w14:val="tx1"/>
                  </w14:solidFill>
                </w14:textFill>
              </w:rPr>
              <w:t>（万亩）</w:t>
            </w:r>
          </w:p>
        </w:tc>
        <w:tc>
          <w:tcPr>
            <w:tcW w:w="939" w:type="dxa"/>
            <w:tcBorders>
              <w:top w:val="nil"/>
              <w:left w:val="nil"/>
              <w:bottom w:val="single" w:color="auto" w:sz="4" w:space="0"/>
              <w:right w:val="single" w:color="auto" w:sz="4" w:space="0"/>
            </w:tcBorders>
            <w:shd w:val="clear" w:color="auto" w:fill="auto"/>
            <w:vAlign w:val="center"/>
          </w:tcPr>
          <w:p w14:paraId="72664D2C">
            <w:pPr>
              <w:widowControl/>
              <w:adjustRightInd/>
              <w:snapToGrid/>
              <w:spacing w:line="240" w:lineRule="auto"/>
              <w:ind w:firstLine="0" w:firstLineChars="0"/>
              <w:jc w:val="center"/>
              <w:rPr>
                <w:rFonts w:eastAsia="宋体" w:cs="宋体"/>
                <w:b/>
                <w:color w:val="000000" w:themeColor="text1"/>
                <w:kern w:val="0"/>
                <w:sz w:val="21"/>
                <w:szCs w:val="21"/>
                <w14:textFill>
                  <w14:solidFill>
                    <w14:schemeClr w14:val="tx1"/>
                  </w14:solidFill>
                </w14:textFill>
              </w:rPr>
            </w:pPr>
            <w:r>
              <w:rPr>
                <w:rFonts w:eastAsia="宋体" w:cs="宋体"/>
                <w:b/>
                <w:color w:val="000000" w:themeColor="text1"/>
                <w:kern w:val="0"/>
                <w:sz w:val="21"/>
                <w:szCs w:val="21"/>
                <w14:textFill>
                  <w14:solidFill>
                    <w14:schemeClr w14:val="tx1"/>
                  </w14:solidFill>
                </w14:textFill>
              </w:rPr>
              <w:t>改善灌溉面积</w:t>
            </w:r>
            <w:r>
              <w:rPr>
                <w:rFonts w:eastAsia="宋体" w:cs="宋体"/>
                <w:b/>
                <w:color w:val="000000" w:themeColor="text1"/>
                <w:kern w:val="0"/>
                <w:sz w:val="21"/>
                <w:szCs w:val="21"/>
                <w14:textFill>
                  <w14:solidFill>
                    <w14:schemeClr w14:val="tx1"/>
                  </w14:solidFill>
                </w14:textFill>
              </w:rPr>
              <w:br w:type="textWrapping"/>
            </w:r>
            <w:r>
              <w:rPr>
                <w:rFonts w:eastAsia="宋体" w:cs="宋体"/>
                <w:b/>
                <w:color w:val="000000" w:themeColor="text1"/>
                <w:kern w:val="0"/>
                <w:sz w:val="21"/>
                <w:szCs w:val="21"/>
                <w14:textFill>
                  <w14:solidFill>
                    <w14:schemeClr w14:val="tx1"/>
                  </w14:solidFill>
                </w14:textFill>
              </w:rPr>
              <w:t>（万亩）</w:t>
            </w:r>
          </w:p>
        </w:tc>
        <w:tc>
          <w:tcPr>
            <w:tcW w:w="976" w:type="dxa"/>
            <w:vMerge w:val="continue"/>
            <w:tcBorders>
              <w:top w:val="single" w:color="auto" w:sz="4" w:space="0"/>
              <w:left w:val="single" w:color="auto" w:sz="4" w:space="0"/>
              <w:bottom w:val="single" w:color="000000" w:sz="4" w:space="0"/>
              <w:right w:val="nil"/>
            </w:tcBorders>
            <w:vAlign w:val="center"/>
          </w:tcPr>
          <w:p w14:paraId="5DDE999F">
            <w:pPr>
              <w:widowControl/>
              <w:adjustRightInd/>
              <w:snapToGrid/>
              <w:spacing w:line="240" w:lineRule="auto"/>
              <w:ind w:firstLine="0" w:firstLineChars="0"/>
              <w:jc w:val="left"/>
              <w:rPr>
                <w:rFonts w:eastAsia="宋体" w:cs="宋体"/>
                <w:b/>
                <w:color w:val="000000" w:themeColor="text1"/>
                <w:kern w:val="0"/>
                <w:sz w:val="21"/>
                <w:szCs w:val="21"/>
                <w14:textFill>
                  <w14:solidFill>
                    <w14:schemeClr w14:val="tx1"/>
                  </w14:solidFill>
                </w14:textFill>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0FB8532E">
            <w:pPr>
              <w:widowControl/>
              <w:adjustRightInd/>
              <w:snapToGrid/>
              <w:spacing w:line="240" w:lineRule="auto"/>
              <w:ind w:firstLine="0" w:firstLineChars="0"/>
              <w:jc w:val="left"/>
              <w:rPr>
                <w:rFonts w:eastAsia="宋体" w:cs="宋体"/>
                <w:b/>
                <w:color w:val="000000" w:themeColor="text1"/>
                <w:kern w:val="0"/>
                <w:sz w:val="21"/>
                <w:szCs w:val="21"/>
                <w14:textFill>
                  <w14:solidFill>
                    <w14:schemeClr w14:val="tx1"/>
                  </w14:solidFill>
                </w14:textFill>
              </w:rPr>
            </w:pPr>
          </w:p>
        </w:tc>
      </w:tr>
      <w:tr w14:paraId="775A8018">
        <w:tblPrEx>
          <w:tblCellMar>
            <w:top w:w="0" w:type="dxa"/>
            <w:left w:w="0" w:type="dxa"/>
            <w:bottom w:w="0" w:type="dxa"/>
            <w:right w:w="0" w:type="dxa"/>
          </w:tblCellMar>
        </w:tblPrEx>
        <w:trPr>
          <w:trHeight w:val="57" w:hRule="atLeast"/>
        </w:trPr>
        <w:tc>
          <w:tcPr>
            <w:tcW w:w="520" w:type="dxa"/>
            <w:vMerge w:val="restart"/>
            <w:tcBorders>
              <w:top w:val="nil"/>
              <w:left w:val="single" w:color="auto" w:sz="4" w:space="0"/>
              <w:bottom w:val="single" w:color="auto" w:sz="4" w:space="0"/>
              <w:right w:val="single" w:color="auto" w:sz="4" w:space="0"/>
            </w:tcBorders>
            <w:shd w:val="clear" w:color="auto" w:fill="auto"/>
            <w:vAlign w:val="center"/>
          </w:tcPr>
          <w:p w14:paraId="73D86867">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防洪类</w:t>
            </w:r>
          </w:p>
        </w:tc>
        <w:tc>
          <w:tcPr>
            <w:tcW w:w="966" w:type="dxa"/>
            <w:tcBorders>
              <w:top w:val="nil"/>
              <w:left w:val="nil"/>
              <w:bottom w:val="single" w:color="auto" w:sz="4" w:space="0"/>
              <w:right w:val="single" w:color="auto" w:sz="4" w:space="0"/>
            </w:tcBorders>
            <w:shd w:val="clear" w:color="auto" w:fill="auto"/>
            <w:noWrap/>
            <w:vAlign w:val="center"/>
          </w:tcPr>
          <w:p w14:paraId="2FD6717E">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附表1-1</w:t>
            </w:r>
          </w:p>
        </w:tc>
        <w:tc>
          <w:tcPr>
            <w:tcW w:w="3517" w:type="dxa"/>
            <w:tcBorders>
              <w:top w:val="nil"/>
              <w:left w:val="nil"/>
              <w:bottom w:val="single" w:color="auto" w:sz="4" w:space="0"/>
              <w:right w:val="single" w:color="auto" w:sz="4" w:space="0"/>
            </w:tcBorders>
            <w:shd w:val="clear" w:color="auto" w:fill="auto"/>
            <w:noWrap/>
            <w:vAlign w:val="center"/>
          </w:tcPr>
          <w:p w14:paraId="08E688A3">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大江大河（大湖）堤防建设项目表</w:t>
            </w:r>
          </w:p>
        </w:tc>
        <w:tc>
          <w:tcPr>
            <w:tcW w:w="945" w:type="dxa"/>
            <w:tcBorders>
              <w:top w:val="nil"/>
              <w:left w:val="nil"/>
              <w:bottom w:val="single" w:color="auto" w:sz="4" w:space="0"/>
              <w:right w:val="single" w:color="auto" w:sz="4" w:space="0"/>
            </w:tcBorders>
            <w:shd w:val="clear" w:color="auto" w:fill="auto"/>
            <w:noWrap/>
            <w:vAlign w:val="center"/>
          </w:tcPr>
          <w:p w14:paraId="333C30CE">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2B6C2A2F">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24" w:type="dxa"/>
            <w:tcBorders>
              <w:top w:val="nil"/>
              <w:left w:val="nil"/>
              <w:bottom w:val="single" w:color="auto" w:sz="4" w:space="0"/>
              <w:right w:val="single" w:color="auto" w:sz="4" w:space="0"/>
            </w:tcBorders>
            <w:shd w:val="clear" w:color="auto" w:fill="auto"/>
            <w:noWrap/>
            <w:vAlign w:val="center"/>
          </w:tcPr>
          <w:p w14:paraId="47C0C43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7B4E651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588D23E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528F4F48">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61CA17D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2589FBF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027DD4A1">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76" w:type="dxa"/>
            <w:tcBorders>
              <w:top w:val="nil"/>
              <w:left w:val="nil"/>
              <w:bottom w:val="single" w:color="auto" w:sz="4" w:space="0"/>
              <w:right w:val="single" w:color="auto" w:sz="4" w:space="0"/>
            </w:tcBorders>
            <w:shd w:val="clear" w:color="auto" w:fill="auto"/>
            <w:noWrap/>
            <w:vAlign w:val="center"/>
          </w:tcPr>
          <w:p w14:paraId="4E5C620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7" w:type="dxa"/>
            <w:tcBorders>
              <w:top w:val="nil"/>
              <w:left w:val="nil"/>
              <w:bottom w:val="single" w:color="auto" w:sz="4" w:space="0"/>
              <w:right w:val="single" w:color="auto" w:sz="4" w:space="0"/>
            </w:tcBorders>
            <w:shd w:val="clear" w:color="auto" w:fill="auto"/>
            <w:noWrap/>
            <w:vAlign w:val="center"/>
          </w:tcPr>
          <w:p w14:paraId="2B0F2CAE">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r>
      <w:tr w14:paraId="14EB30BE">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auto" w:sz="4" w:space="0"/>
              <w:right w:val="single" w:color="auto" w:sz="4" w:space="0"/>
            </w:tcBorders>
            <w:vAlign w:val="center"/>
          </w:tcPr>
          <w:p w14:paraId="0722E06A">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73B522AE">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附表1-2</w:t>
            </w:r>
          </w:p>
        </w:tc>
        <w:tc>
          <w:tcPr>
            <w:tcW w:w="3517" w:type="dxa"/>
            <w:tcBorders>
              <w:top w:val="nil"/>
              <w:left w:val="nil"/>
              <w:bottom w:val="single" w:color="auto" w:sz="4" w:space="0"/>
              <w:right w:val="single" w:color="auto" w:sz="4" w:space="0"/>
            </w:tcBorders>
            <w:shd w:val="clear" w:color="auto" w:fill="auto"/>
            <w:vAlign w:val="center"/>
          </w:tcPr>
          <w:p w14:paraId="085586CC">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主要支流治理项目表（3000km²以上）</w:t>
            </w:r>
          </w:p>
        </w:tc>
        <w:tc>
          <w:tcPr>
            <w:tcW w:w="945" w:type="dxa"/>
            <w:tcBorders>
              <w:top w:val="nil"/>
              <w:left w:val="nil"/>
              <w:bottom w:val="single" w:color="auto" w:sz="4" w:space="0"/>
              <w:right w:val="single" w:color="auto" w:sz="4" w:space="0"/>
            </w:tcBorders>
            <w:shd w:val="clear" w:color="auto" w:fill="auto"/>
            <w:noWrap/>
            <w:vAlign w:val="center"/>
          </w:tcPr>
          <w:p w14:paraId="5F3905E7">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5F6007FF">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 </w:t>
            </w:r>
          </w:p>
        </w:tc>
        <w:tc>
          <w:tcPr>
            <w:tcW w:w="924" w:type="dxa"/>
            <w:tcBorders>
              <w:top w:val="nil"/>
              <w:left w:val="nil"/>
              <w:bottom w:val="single" w:color="auto" w:sz="4" w:space="0"/>
              <w:right w:val="single" w:color="auto" w:sz="4" w:space="0"/>
            </w:tcBorders>
            <w:shd w:val="clear" w:color="auto" w:fill="auto"/>
            <w:noWrap/>
            <w:vAlign w:val="center"/>
          </w:tcPr>
          <w:p w14:paraId="3F331C0D">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6E755C60">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468F86C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58D70982">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24.00 </w:t>
            </w:r>
          </w:p>
        </w:tc>
        <w:tc>
          <w:tcPr>
            <w:tcW w:w="782" w:type="dxa"/>
            <w:tcBorders>
              <w:top w:val="nil"/>
              <w:left w:val="nil"/>
              <w:bottom w:val="single" w:color="auto" w:sz="4" w:space="0"/>
              <w:right w:val="single" w:color="auto" w:sz="4" w:space="0"/>
            </w:tcBorders>
            <w:shd w:val="clear" w:color="auto" w:fill="auto"/>
            <w:noWrap/>
            <w:vAlign w:val="center"/>
          </w:tcPr>
          <w:p w14:paraId="766A199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35B31F3E">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666CB3B7">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76" w:type="dxa"/>
            <w:tcBorders>
              <w:top w:val="nil"/>
              <w:left w:val="nil"/>
              <w:bottom w:val="single" w:color="auto" w:sz="4" w:space="0"/>
              <w:right w:val="single" w:color="auto" w:sz="4" w:space="0"/>
            </w:tcBorders>
            <w:shd w:val="clear" w:color="auto" w:fill="auto"/>
            <w:noWrap/>
            <w:vAlign w:val="center"/>
          </w:tcPr>
          <w:p w14:paraId="382353CC">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1.7280 </w:t>
            </w:r>
          </w:p>
        </w:tc>
        <w:tc>
          <w:tcPr>
            <w:tcW w:w="937" w:type="dxa"/>
            <w:tcBorders>
              <w:top w:val="nil"/>
              <w:left w:val="nil"/>
              <w:bottom w:val="single" w:color="auto" w:sz="4" w:space="0"/>
              <w:right w:val="single" w:color="auto" w:sz="4" w:space="0"/>
            </w:tcBorders>
            <w:shd w:val="clear" w:color="auto" w:fill="auto"/>
            <w:noWrap/>
            <w:vAlign w:val="center"/>
          </w:tcPr>
          <w:p w14:paraId="3C6D0C7C">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1.7280 </w:t>
            </w:r>
          </w:p>
        </w:tc>
      </w:tr>
      <w:tr w14:paraId="50F29E7B">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auto" w:sz="4" w:space="0"/>
              <w:right w:val="single" w:color="auto" w:sz="4" w:space="0"/>
            </w:tcBorders>
            <w:vAlign w:val="center"/>
          </w:tcPr>
          <w:p w14:paraId="0490BB2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6C71AB0A">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附表1-3</w:t>
            </w:r>
          </w:p>
        </w:tc>
        <w:tc>
          <w:tcPr>
            <w:tcW w:w="3517" w:type="dxa"/>
            <w:tcBorders>
              <w:top w:val="nil"/>
              <w:left w:val="nil"/>
              <w:bottom w:val="single" w:color="auto" w:sz="4" w:space="0"/>
              <w:right w:val="single" w:color="auto" w:sz="4" w:space="0"/>
            </w:tcBorders>
            <w:shd w:val="clear" w:color="auto" w:fill="auto"/>
            <w:vAlign w:val="center"/>
          </w:tcPr>
          <w:p w14:paraId="208F4BAC">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中小河流治理项目表（3000km²以下）</w:t>
            </w:r>
          </w:p>
        </w:tc>
        <w:tc>
          <w:tcPr>
            <w:tcW w:w="945" w:type="dxa"/>
            <w:tcBorders>
              <w:top w:val="nil"/>
              <w:left w:val="nil"/>
              <w:bottom w:val="single" w:color="auto" w:sz="4" w:space="0"/>
              <w:right w:val="single" w:color="auto" w:sz="4" w:space="0"/>
            </w:tcBorders>
            <w:shd w:val="clear" w:color="auto" w:fill="auto"/>
            <w:noWrap/>
            <w:vAlign w:val="center"/>
          </w:tcPr>
          <w:p w14:paraId="22994EA0">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7799DAB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14 </w:t>
            </w:r>
          </w:p>
        </w:tc>
        <w:tc>
          <w:tcPr>
            <w:tcW w:w="924" w:type="dxa"/>
            <w:tcBorders>
              <w:top w:val="nil"/>
              <w:left w:val="nil"/>
              <w:bottom w:val="single" w:color="auto" w:sz="4" w:space="0"/>
              <w:right w:val="single" w:color="auto" w:sz="4" w:space="0"/>
            </w:tcBorders>
            <w:shd w:val="clear" w:color="auto" w:fill="auto"/>
            <w:noWrap/>
            <w:vAlign w:val="center"/>
          </w:tcPr>
          <w:p w14:paraId="0835063F">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72B4FEE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280AB48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0B6DC7D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88.60 </w:t>
            </w:r>
          </w:p>
        </w:tc>
        <w:tc>
          <w:tcPr>
            <w:tcW w:w="782" w:type="dxa"/>
            <w:tcBorders>
              <w:top w:val="nil"/>
              <w:left w:val="nil"/>
              <w:bottom w:val="single" w:color="auto" w:sz="4" w:space="0"/>
              <w:right w:val="single" w:color="auto" w:sz="4" w:space="0"/>
            </w:tcBorders>
            <w:shd w:val="clear" w:color="auto" w:fill="auto"/>
            <w:noWrap/>
            <w:vAlign w:val="center"/>
          </w:tcPr>
          <w:p w14:paraId="522FA5DD">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612D61F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357015A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76" w:type="dxa"/>
            <w:tcBorders>
              <w:top w:val="nil"/>
              <w:left w:val="nil"/>
              <w:bottom w:val="single" w:color="auto" w:sz="4" w:space="0"/>
              <w:right w:val="single" w:color="auto" w:sz="4" w:space="0"/>
            </w:tcBorders>
            <w:shd w:val="clear" w:color="auto" w:fill="auto"/>
            <w:noWrap/>
            <w:vAlign w:val="center"/>
          </w:tcPr>
          <w:p w14:paraId="4AF1191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2.8580 </w:t>
            </w:r>
          </w:p>
        </w:tc>
        <w:tc>
          <w:tcPr>
            <w:tcW w:w="937" w:type="dxa"/>
            <w:tcBorders>
              <w:top w:val="nil"/>
              <w:left w:val="nil"/>
              <w:bottom w:val="single" w:color="auto" w:sz="4" w:space="0"/>
              <w:right w:val="single" w:color="auto" w:sz="4" w:space="0"/>
            </w:tcBorders>
            <w:shd w:val="clear" w:color="auto" w:fill="auto"/>
            <w:noWrap/>
            <w:vAlign w:val="center"/>
          </w:tcPr>
          <w:p w14:paraId="2305E5B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2.8580 </w:t>
            </w:r>
          </w:p>
        </w:tc>
      </w:tr>
      <w:tr w14:paraId="52C81EB8">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auto" w:sz="4" w:space="0"/>
              <w:right w:val="single" w:color="auto" w:sz="4" w:space="0"/>
            </w:tcBorders>
            <w:vAlign w:val="center"/>
          </w:tcPr>
          <w:p w14:paraId="1DD4137F">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4C92E5A9">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附表1-4</w:t>
            </w:r>
          </w:p>
        </w:tc>
        <w:tc>
          <w:tcPr>
            <w:tcW w:w="3517" w:type="dxa"/>
            <w:tcBorders>
              <w:top w:val="nil"/>
              <w:left w:val="nil"/>
              <w:bottom w:val="single" w:color="auto" w:sz="4" w:space="0"/>
              <w:right w:val="single" w:color="auto" w:sz="4" w:space="0"/>
            </w:tcBorders>
            <w:shd w:val="clear" w:color="auto" w:fill="auto"/>
            <w:vAlign w:val="center"/>
          </w:tcPr>
          <w:p w14:paraId="5349E859">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山洪沟治理</w:t>
            </w:r>
          </w:p>
        </w:tc>
        <w:tc>
          <w:tcPr>
            <w:tcW w:w="945" w:type="dxa"/>
            <w:tcBorders>
              <w:top w:val="nil"/>
              <w:left w:val="nil"/>
              <w:bottom w:val="single" w:color="auto" w:sz="4" w:space="0"/>
              <w:right w:val="single" w:color="auto" w:sz="4" w:space="0"/>
            </w:tcBorders>
            <w:shd w:val="clear" w:color="auto" w:fill="auto"/>
            <w:noWrap/>
            <w:vAlign w:val="center"/>
          </w:tcPr>
          <w:p w14:paraId="37BF38B9">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64259D2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10 </w:t>
            </w:r>
          </w:p>
        </w:tc>
        <w:tc>
          <w:tcPr>
            <w:tcW w:w="924" w:type="dxa"/>
            <w:tcBorders>
              <w:top w:val="nil"/>
              <w:left w:val="nil"/>
              <w:bottom w:val="single" w:color="auto" w:sz="4" w:space="0"/>
              <w:right w:val="single" w:color="auto" w:sz="4" w:space="0"/>
            </w:tcBorders>
            <w:shd w:val="clear" w:color="auto" w:fill="auto"/>
            <w:noWrap/>
            <w:vAlign w:val="center"/>
          </w:tcPr>
          <w:p w14:paraId="4501392F">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41BED98D">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12690E4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1E7A819E">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38.00 </w:t>
            </w:r>
          </w:p>
        </w:tc>
        <w:tc>
          <w:tcPr>
            <w:tcW w:w="782" w:type="dxa"/>
            <w:tcBorders>
              <w:top w:val="nil"/>
              <w:left w:val="nil"/>
              <w:bottom w:val="single" w:color="auto" w:sz="4" w:space="0"/>
              <w:right w:val="single" w:color="auto" w:sz="4" w:space="0"/>
            </w:tcBorders>
            <w:shd w:val="clear" w:color="auto" w:fill="auto"/>
            <w:noWrap/>
            <w:vAlign w:val="center"/>
          </w:tcPr>
          <w:p w14:paraId="56A4FC18">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029380A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372FD68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76" w:type="dxa"/>
            <w:tcBorders>
              <w:top w:val="nil"/>
              <w:left w:val="nil"/>
              <w:bottom w:val="single" w:color="auto" w:sz="4" w:space="0"/>
              <w:right w:val="single" w:color="auto" w:sz="4" w:space="0"/>
            </w:tcBorders>
            <w:shd w:val="clear" w:color="auto" w:fill="auto"/>
            <w:noWrap/>
            <w:vAlign w:val="center"/>
          </w:tcPr>
          <w:p w14:paraId="0BEA43B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1.1049 </w:t>
            </w:r>
          </w:p>
        </w:tc>
        <w:tc>
          <w:tcPr>
            <w:tcW w:w="937" w:type="dxa"/>
            <w:tcBorders>
              <w:top w:val="nil"/>
              <w:left w:val="nil"/>
              <w:bottom w:val="single" w:color="auto" w:sz="4" w:space="0"/>
              <w:right w:val="single" w:color="auto" w:sz="4" w:space="0"/>
            </w:tcBorders>
            <w:shd w:val="clear" w:color="auto" w:fill="auto"/>
            <w:noWrap/>
            <w:vAlign w:val="center"/>
          </w:tcPr>
          <w:p w14:paraId="38D0E3C8">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1.1049 </w:t>
            </w:r>
          </w:p>
        </w:tc>
      </w:tr>
      <w:tr w14:paraId="6BD8BDAE">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auto" w:sz="4" w:space="0"/>
              <w:right w:val="single" w:color="auto" w:sz="4" w:space="0"/>
            </w:tcBorders>
            <w:vAlign w:val="center"/>
          </w:tcPr>
          <w:p w14:paraId="4E3E59EF">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1C74082F">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附表1-5</w:t>
            </w:r>
          </w:p>
        </w:tc>
        <w:tc>
          <w:tcPr>
            <w:tcW w:w="3517" w:type="dxa"/>
            <w:tcBorders>
              <w:top w:val="nil"/>
              <w:left w:val="nil"/>
              <w:bottom w:val="single" w:color="auto" w:sz="4" w:space="0"/>
              <w:right w:val="single" w:color="auto" w:sz="4" w:space="0"/>
            </w:tcBorders>
            <w:shd w:val="clear" w:color="auto" w:fill="auto"/>
            <w:vAlign w:val="center"/>
          </w:tcPr>
          <w:p w14:paraId="10774241">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病险水库除险加固项目表</w:t>
            </w:r>
          </w:p>
        </w:tc>
        <w:tc>
          <w:tcPr>
            <w:tcW w:w="945" w:type="dxa"/>
            <w:tcBorders>
              <w:top w:val="nil"/>
              <w:left w:val="nil"/>
              <w:bottom w:val="single" w:color="auto" w:sz="4" w:space="0"/>
              <w:right w:val="single" w:color="auto" w:sz="4" w:space="0"/>
            </w:tcBorders>
            <w:shd w:val="clear" w:color="auto" w:fill="auto"/>
            <w:noWrap/>
            <w:vAlign w:val="center"/>
          </w:tcPr>
          <w:p w14:paraId="2467A74E">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21DD92F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18 </w:t>
            </w:r>
          </w:p>
        </w:tc>
        <w:tc>
          <w:tcPr>
            <w:tcW w:w="924" w:type="dxa"/>
            <w:tcBorders>
              <w:top w:val="nil"/>
              <w:left w:val="nil"/>
              <w:bottom w:val="single" w:color="auto" w:sz="4" w:space="0"/>
              <w:right w:val="single" w:color="auto" w:sz="4" w:space="0"/>
            </w:tcBorders>
            <w:shd w:val="clear" w:color="auto" w:fill="auto"/>
            <w:noWrap/>
            <w:vAlign w:val="center"/>
          </w:tcPr>
          <w:p w14:paraId="3EA7091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6580.60 </w:t>
            </w:r>
          </w:p>
        </w:tc>
        <w:tc>
          <w:tcPr>
            <w:tcW w:w="933" w:type="dxa"/>
            <w:tcBorders>
              <w:top w:val="nil"/>
              <w:left w:val="nil"/>
              <w:bottom w:val="single" w:color="auto" w:sz="4" w:space="0"/>
              <w:right w:val="single" w:color="auto" w:sz="4" w:space="0"/>
            </w:tcBorders>
            <w:shd w:val="clear" w:color="auto" w:fill="auto"/>
            <w:noWrap/>
            <w:vAlign w:val="center"/>
          </w:tcPr>
          <w:p w14:paraId="6883884F">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4888.69 </w:t>
            </w:r>
          </w:p>
        </w:tc>
        <w:tc>
          <w:tcPr>
            <w:tcW w:w="1002" w:type="dxa"/>
            <w:tcBorders>
              <w:top w:val="nil"/>
              <w:left w:val="nil"/>
              <w:bottom w:val="single" w:color="auto" w:sz="4" w:space="0"/>
              <w:right w:val="single" w:color="auto" w:sz="4" w:space="0"/>
            </w:tcBorders>
            <w:shd w:val="clear" w:color="auto" w:fill="auto"/>
            <w:noWrap/>
            <w:vAlign w:val="center"/>
          </w:tcPr>
          <w:p w14:paraId="039B372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6DD5B13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05F5554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8.42 </w:t>
            </w:r>
          </w:p>
        </w:tc>
        <w:tc>
          <w:tcPr>
            <w:tcW w:w="895" w:type="dxa"/>
            <w:tcBorders>
              <w:top w:val="nil"/>
              <w:left w:val="nil"/>
              <w:bottom w:val="single" w:color="auto" w:sz="4" w:space="0"/>
              <w:right w:val="single" w:color="auto" w:sz="4" w:space="0"/>
            </w:tcBorders>
            <w:shd w:val="clear" w:color="auto" w:fill="auto"/>
            <w:noWrap/>
            <w:vAlign w:val="center"/>
          </w:tcPr>
          <w:p w14:paraId="548F6D66">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286A269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3.37 </w:t>
            </w:r>
          </w:p>
        </w:tc>
        <w:tc>
          <w:tcPr>
            <w:tcW w:w="976" w:type="dxa"/>
            <w:tcBorders>
              <w:top w:val="nil"/>
              <w:left w:val="nil"/>
              <w:bottom w:val="single" w:color="auto" w:sz="4" w:space="0"/>
              <w:right w:val="single" w:color="auto" w:sz="4" w:space="0"/>
            </w:tcBorders>
            <w:shd w:val="clear" w:color="auto" w:fill="auto"/>
            <w:noWrap/>
            <w:vAlign w:val="center"/>
          </w:tcPr>
          <w:p w14:paraId="4F74A35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2.1023 </w:t>
            </w:r>
          </w:p>
        </w:tc>
        <w:tc>
          <w:tcPr>
            <w:tcW w:w="937" w:type="dxa"/>
            <w:tcBorders>
              <w:top w:val="nil"/>
              <w:left w:val="nil"/>
              <w:bottom w:val="single" w:color="auto" w:sz="4" w:space="0"/>
              <w:right w:val="single" w:color="auto" w:sz="4" w:space="0"/>
            </w:tcBorders>
            <w:shd w:val="clear" w:color="auto" w:fill="auto"/>
            <w:noWrap/>
            <w:vAlign w:val="center"/>
          </w:tcPr>
          <w:p w14:paraId="3F1996B7">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2.1023 </w:t>
            </w:r>
          </w:p>
        </w:tc>
      </w:tr>
      <w:tr w14:paraId="7AEAD975">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auto" w:sz="4" w:space="0"/>
              <w:right w:val="single" w:color="auto" w:sz="4" w:space="0"/>
            </w:tcBorders>
            <w:vAlign w:val="center"/>
          </w:tcPr>
          <w:p w14:paraId="2559354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17481908">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附表1-6</w:t>
            </w:r>
          </w:p>
        </w:tc>
        <w:tc>
          <w:tcPr>
            <w:tcW w:w="3517" w:type="dxa"/>
            <w:tcBorders>
              <w:top w:val="nil"/>
              <w:left w:val="nil"/>
              <w:bottom w:val="single" w:color="auto" w:sz="4" w:space="0"/>
              <w:right w:val="single" w:color="auto" w:sz="4" w:space="0"/>
            </w:tcBorders>
            <w:shd w:val="clear" w:color="auto" w:fill="auto"/>
            <w:vAlign w:val="center"/>
          </w:tcPr>
          <w:p w14:paraId="59545F05">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病险闸除险加固项目表</w:t>
            </w:r>
          </w:p>
        </w:tc>
        <w:tc>
          <w:tcPr>
            <w:tcW w:w="945" w:type="dxa"/>
            <w:tcBorders>
              <w:top w:val="nil"/>
              <w:left w:val="nil"/>
              <w:bottom w:val="single" w:color="auto" w:sz="4" w:space="0"/>
              <w:right w:val="single" w:color="auto" w:sz="4" w:space="0"/>
            </w:tcBorders>
            <w:shd w:val="clear" w:color="auto" w:fill="auto"/>
            <w:noWrap/>
            <w:vAlign w:val="center"/>
          </w:tcPr>
          <w:p w14:paraId="078FAE9E">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5DE6216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2 </w:t>
            </w:r>
          </w:p>
        </w:tc>
        <w:tc>
          <w:tcPr>
            <w:tcW w:w="924" w:type="dxa"/>
            <w:tcBorders>
              <w:top w:val="nil"/>
              <w:left w:val="nil"/>
              <w:bottom w:val="single" w:color="auto" w:sz="4" w:space="0"/>
              <w:right w:val="single" w:color="auto" w:sz="4" w:space="0"/>
            </w:tcBorders>
            <w:shd w:val="clear" w:color="auto" w:fill="auto"/>
            <w:noWrap/>
            <w:vAlign w:val="center"/>
          </w:tcPr>
          <w:p w14:paraId="3ABE408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2D372B2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306E1C4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73D4959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293C5CB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4F601250">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2678ECE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76" w:type="dxa"/>
            <w:tcBorders>
              <w:top w:val="nil"/>
              <w:left w:val="nil"/>
              <w:bottom w:val="single" w:color="auto" w:sz="4" w:space="0"/>
              <w:right w:val="single" w:color="auto" w:sz="4" w:space="0"/>
            </w:tcBorders>
            <w:shd w:val="clear" w:color="auto" w:fill="auto"/>
            <w:noWrap/>
            <w:vAlign w:val="center"/>
          </w:tcPr>
          <w:p w14:paraId="0A26240F">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0.2000 </w:t>
            </w:r>
          </w:p>
        </w:tc>
        <w:tc>
          <w:tcPr>
            <w:tcW w:w="937" w:type="dxa"/>
            <w:tcBorders>
              <w:top w:val="nil"/>
              <w:left w:val="nil"/>
              <w:bottom w:val="single" w:color="auto" w:sz="4" w:space="0"/>
              <w:right w:val="single" w:color="auto" w:sz="4" w:space="0"/>
            </w:tcBorders>
            <w:shd w:val="clear" w:color="auto" w:fill="auto"/>
            <w:noWrap/>
            <w:vAlign w:val="center"/>
          </w:tcPr>
          <w:p w14:paraId="0E7C1448">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0.2000 </w:t>
            </w:r>
          </w:p>
        </w:tc>
      </w:tr>
      <w:tr w14:paraId="6083B2DB">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auto" w:sz="4" w:space="0"/>
              <w:right w:val="single" w:color="auto" w:sz="4" w:space="0"/>
            </w:tcBorders>
            <w:vAlign w:val="center"/>
          </w:tcPr>
          <w:p w14:paraId="09B265C5">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0597519A">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附表1-7</w:t>
            </w:r>
          </w:p>
        </w:tc>
        <w:tc>
          <w:tcPr>
            <w:tcW w:w="3517" w:type="dxa"/>
            <w:tcBorders>
              <w:top w:val="nil"/>
              <w:left w:val="nil"/>
              <w:bottom w:val="single" w:color="auto" w:sz="4" w:space="0"/>
              <w:right w:val="single" w:color="auto" w:sz="4" w:space="0"/>
            </w:tcBorders>
            <w:shd w:val="clear" w:color="auto" w:fill="auto"/>
            <w:vAlign w:val="center"/>
          </w:tcPr>
          <w:p w14:paraId="4CE17372">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水库清淤增效工程</w:t>
            </w:r>
          </w:p>
        </w:tc>
        <w:tc>
          <w:tcPr>
            <w:tcW w:w="945" w:type="dxa"/>
            <w:tcBorders>
              <w:top w:val="nil"/>
              <w:left w:val="nil"/>
              <w:bottom w:val="single" w:color="auto" w:sz="4" w:space="0"/>
              <w:right w:val="single" w:color="auto" w:sz="4" w:space="0"/>
            </w:tcBorders>
            <w:shd w:val="clear" w:color="auto" w:fill="auto"/>
            <w:noWrap/>
            <w:vAlign w:val="center"/>
          </w:tcPr>
          <w:p w14:paraId="5668A4CA">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68F4E0F0">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22 </w:t>
            </w:r>
          </w:p>
        </w:tc>
        <w:tc>
          <w:tcPr>
            <w:tcW w:w="924" w:type="dxa"/>
            <w:tcBorders>
              <w:top w:val="nil"/>
              <w:left w:val="nil"/>
              <w:bottom w:val="single" w:color="auto" w:sz="4" w:space="0"/>
              <w:right w:val="single" w:color="auto" w:sz="4" w:space="0"/>
            </w:tcBorders>
            <w:shd w:val="clear" w:color="auto" w:fill="auto"/>
            <w:noWrap/>
            <w:vAlign w:val="center"/>
          </w:tcPr>
          <w:p w14:paraId="37CBE49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7998.49 </w:t>
            </w:r>
          </w:p>
        </w:tc>
        <w:tc>
          <w:tcPr>
            <w:tcW w:w="933" w:type="dxa"/>
            <w:tcBorders>
              <w:top w:val="nil"/>
              <w:left w:val="nil"/>
              <w:bottom w:val="single" w:color="auto" w:sz="4" w:space="0"/>
              <w:right w:val="single" w:color="auto" w:sz="4" w:space="0"/>
            </w:tcBorders>
            <w:shd w:val="clear" w:color="auto" w:fill="auto"/>
            <w:noWrap/>
            <w:vAlign w:val="center"/>
          </w:tcPr>
          <w:p w14:paraId="3983DD3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5960.94 </w:t>
            </w:r>
          </w:p>
        </w:tc>
        <w:tc>
          <w:tcPr>
            <w:tcW w:w="1002" w:type="dxa"/>
            <w:tcBorders>
              <w:top w:val="nil"/>
              <w:left w:val="nil"/>
              <w:bottom w:val="single" w:color="auto" w:sz="4" w:space="0"/>
              <w:right w:val="single" w:color="auto" w:sz="4" w:space="0"/>
            </w:tcBorders>
            <w:shd w:val="clear" w:color="auto" w:fill="auto"/>
            <w:noWrap/>
            <w:vAlign w:val="center"/>
          </w:tcPr>
          <w:p w14:paraId="4081A51F">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5969.22 </w:t>
            </w:r>
          </w:p>
        </w:tc>
        <w:tc>
          <w:tcPr>
            <w:tcW w:w="817" w:type="dxa"/>
            <w:tcBorders>
              <w:top w:val="nil"/>
              <w:left w:val="nil"/>
              <w:bottom w:val="single" w:color="auto" w:sz="4" w:space="0"/>
              <w:right w:val="single" w:color="auto" w:sz="4" w:space="0"/>
            </w:tcBorders>
            <w:shd w:val="clear" w:color="auto" w:fill="auto"/>
            <w:noWrap/>
            <w:vAlign w:val="center"/>
          </w:tcPr>
          <w:p w14:paraId="4F0B6A71">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7B7CE0A8">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22293FF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680194C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11.66 </w:t>
            </w:r>
          </w:p>
        </w:tc>
        <w:tc>
          <w:tcPr>
            <w:tcW w:w="976" w:type="dxa"/>
            <w:tcBorders>
              <w:top w:val="nil"/>
              <w:left w:val="nil"/>
              <w:bottom w:val="single" w:color="auto" w:sz="4" w:space="0"/>
              <w:right w:val="single" w:color="auto" w:sz="4" w:space="0"/>
            </w:tcBorders>
            <w:shd w:val="clear" w:color="auto" w:fill="auto"/>
            <w:noWrap/>
            <w:vAlign w:val="center"/>
          </w:tcPr>
          <w:p w14:paraId="07D18D3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1.9415 </w:t>
            </w:r>
          </w:p>
        </w:tc>
        <w:tc>
          <w:tcPr>
            <w:tcW w:w="937" w:type="dxa"/>
            <w:tcBorders>
              <w:top w:val="nil"/>
              <w:left w:val="nil"/>
              <w:bottom w:val="single" w:color="auto" w:sz="4" w:space="0"/>
              <w:right w:val="single" w:color="auto" w:sz="4" w:space="0"/>
            </w:tcBorders>
            <w:shd w:val="clear" w:color="auto" w:fill="auto"/>
            <w:noWrap/>
            <w:vAlign w:val="center"/>
          </w:tcPr>
          <w:p w14:paraId="1677A4F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1.9415 </w:t>
            </w:r>
          </w:p>
        </w:tc>
      </w:tr>
      <w:tr w14:paraId="5E3BEA4D">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auto" w:sz="4" w:space="0"/>
              <w:right w:val="single" w:color="auto" w:sz="4" w:space="0"/>
            </w:tcBorders>
            <w:vAlign w:val="center"/>
          </w:tcPr>
          <w:p w14:paraId="0353499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520B5D31">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附表1-8</w:t>
            </w:r>
          </w:p>
        </w:tc>
        <w:tc>
          <w:tcPr>
            <w:tcW w:w="3517" w:type="dxa"/>
            <w:tcBorders>
              <w:top w:val="nil"/>
              <w:left w:val="nil"/>
              <w:bottom w:val="single" w:color="auto" w:sz="4" w:space="0"/>
              <w:right w:val="single" w:color="auto" w:sz="4" w:space="0"/>
            </w:tcBorders>
            <w:shd w:val="clear" w:color="auto" w:fill="auto"/>
            <w:vAlign w:val="center"/>
          </w:tcPr>
          <w:p w14:paraId="694FD7FF">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重点城市防洪排涝提升工程</w:t>
            </w:r>
          </w:p>
        </w:tc>
        <w:tc>
          <w:tcPr>
            <w:tcW w:w="945" w:type="dxa"/>
            <w:tcBorders>
              <w:top w:val="nil"/>
              <w:left w:val="nil"/>
              <w:bottom w:val="single" w:color="auto" w:sz="4" w:space="0"/>
              <w:right w:val="single" w:color="auto" w:sz="4" w:space="0"/>
            </w:tcBorders>
            <w:shd w:val="clear" w:color="auto" w:fill="auto"/>
            <w:noWrap/>
            <w:vAlign w:val="center"/>
          </w:tcPr>
          <w:p w14:paraId="7B74C88D">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052DB842">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 </w:t>
            </w:r>
          </w:p>
        </w:tc>
        <w:tc>
          <w:tcPr>
            <w:tcW w:w="924" w:type="dxa"/>
            <w:tcBorders>
              <w:top w:val="nil"/>
              <w:left w:val="nil"/>
              <w:bottom w:val="single" w:color="auto" w:sz="4" w:space="0"/>
              <w:right w:val="single" w:color="auto" w:sz="4" w:space="0"/>
            </w:tcBorders>
            <w:shd w:val="clear" w:color="auto" w:fill="auto"/>
            <w:noWrap/>
            <w:vAlign w:val="center"/>
          </w:tcPr>
          <w:p w14:paraId="05D494B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6F9E8CE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2DE336D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765617DD">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37B261B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5FEE80E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7C3313B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76" w:type="dxa"/>
            <w:tcBorders>
              <w:top w:val="nil"/>
              <w:left w:val="nil"/>
              <w:bottom w:val="single" w:color="auto" w:sz="4" w:space="0"/>
              <w:right w:val="single" w:color="auto" w:sz="4" w:space="0"/>
            </w:tcBorders>
            <w:shd w:val="clear" w:color="auto" w:fill="auto"/>
            <w:noWrap/>
            <w:vAlign w:val="center"/>
          </w:tcPr>
          <w:p w14:paraId="5ABAE11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0.3000 </w:t>
            </w:r>
          </w:p>
        </w:tc>
        <w:tc>
          <w:tcPr>
            <w:tcW w:w="937" w:type="dxa"/>
            <w:tcBorders>
              <w:top w:val="nil"/>
              <w:left w:val="nil"/>
              <w:bottom w:val="single" w:color="auto" w:sz="4" w:space="0"/>
              <w:right w:val="single" w:color="auto" w:sz="4" w:space="0"/>
            </w:tcBorders>
            <w:shd w:val="clear" w:color="auto" w:fill="auto"/>
            <w:noWrap/>
            <w:vAlign w:val="center"/>
          </w:tcPr>
          <w:p w14:paraId="2265862F">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0.3000 </w:t>
            </w:r>
          </w:p>
        </w:tc>
      </w:tr>
      <w:tr w14:paraId="1FC4175F">
        <w:tblPrEx>
          <w:tblCellMar>
            <w:top w:w="0" w:type="dxa"/>
            <w:left w:w="0" w:type="dxa"/>
            <w:bottom w:w="0" w:type="dxa"/>
            <w:right w:w="0" w:type="dxa"/>
          </w:tblCellMar>
        </w:tblPrEx>
        <w:trPr>
          <w:trHeight w:val="57" w:hRule="atLeast"/>
        </w:trPr>
        <w:tc>
          <w:tcPr>
            <w:tcW w:w="520" w:type="dxa"/>
            <w:vMerge w:val="restart"/>
            <w:tcBorders>
              <w:top w:val="nil"/>
              <w:left w:val="single" w:color="auto" w:sz="4" w:space="0"/>
              <w:bottom w:val="single" w:color="000000" w:sz="4" w:space="0"/>
              <w:right w:val="single" w:color="auto" w:sz="4" w:space="0"/>
            </w:tcBorders>
            <w:shd w:val="clear" w:color="auto" w:fill="auto"/>
            <w:vAlign w:val="center"/>
          </w:tcPr>
          <w:p w14:paraId="531024E1">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供水类</w:t>
            </w:r>
          </w:p>
        </w:tc>
        <w:tc>
          <w:tcPr>
            <w:tcW w:w="966" w:type="dxa"/>
            <w:vMerge w:val="restart"/>
            <w:tcBorders>
              <w:top w:val="nil"/>
              <w:left w:val="single" w:color="auto" w:sz="4" w:space="0"/>
              <w:bottom w:val="single" w:color="auto" w:sz="4" w:space="0"/>
              <w:right w:val="single" w:color="auto" w:sz="4" w:space="0"/>
            </w:tcBorders>
            <w:shd w:val="clear" w:color="auto" w:fill="auto"/>
            <w:noWrap/>
            <w:vAlign w:val="center"/>
          </w:tcPr>
          <w:p w14:paraId="692B42F6">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附表2-1</w:t>
            </w:r>
          </w:p>
        </w:tc>
        <w:tc>
          <w:tcPr>
            <w:tcW w:w="3517" w:type="dxa"/>
            <w:vMerge w:val="restart"/>
            <w:tcBorders>
              <w:top w:val="nil"/>
              <w:left w:val="single" w:color="auto" w:sz="4" w:space="0"/>
              <w:bottom w:val="single" w:color="auto" w:sz="4" w:space="0"/>
              <w:right w:val="single" w:color="auto" w:sz="4" w:space="0"/>
            </w:tcBorders>
            <w:shd w:val="clear" w:color="auto" w:fill="auto"/>
            <w:vAlign w:val="center"/>
          </w:tcPr>
          <w:p w14:paraId="5E42969C">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重点水源工程建设项目表</w:t>
            </w:r>
          </w:p>
        </w:tc>
        <w:tc>
          <w:tcPr>
            <w:tcW w:w="945" w:type="dxa"/>
            <w:tcBorders>
              <w:top w:val="nil"/>
              <w:left w:val="nil"/>
              <w:bottom w:val="single" w:color="auto" w:sz="4" w:space="0"/>
              <w:right w:val="single" w:color="auto" w:sz="4" w:space="0"/>
            </w:tcBorders>
            <w:shd w:val="clear" w:color="auto" w:fill="auto"/>
            <w:noWrap/>
            <w:vAlign w:val="center"/>
          </w:tcPr>
          <w:p w14:paraId="18B8C96F">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中型水库</w:t>
            </w:r>
          </w:p>
        </w:tc>
        <w:tc>
          <w:tcPr>
            <w:tcW w:w="710" w:type="dxa"/>
            <w:tcBorders>
              <w:top w:val="nil"/>
              <w:left w:val="nil"/>
              <w:bottom w:val="single" w:color="auto" w:sz="4" w:space="0"/>
              <w:right w:val="single" w:color="auto" w:sz="4" w:space="0"/>
            </w:tcBorders>
            <w:shd w:val="clear" w:color="auto" w:fill="auto"/>
            <w:noWrap/>
            <w:vAlign w:val="center"/>
          </w:tcPr>
          <w:p w14:paraId="3BE14B8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24" w:type="dxa"/>
            <w:tcBorders>
              <w:top w:val="nil"/>
              <w:left w:val="nil"/>
              <w:bottom w:val="single" w:color="auto" w:sz="4" w:space="0"/>
              <w:right w:val="single" w:color="auto" w:sz="4" w:space="0"/>
            </w:tcBorders>
            <w:shd w:val="clear" w:color="auto" w:fill="auto"/>
            <w:noWrap/>
            <w:vAlign w:val="center"/>
          </w:tcPr>
          <w:p w14:paraId="7DF1E2C2">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4481AAF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7EE164F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4F58AB9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6BF3E0A7">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60EB6EF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123B2B81">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76" w:type="dxa"/>
            <w:tcBorders>
              <w:top w:val="nil"/>
              <w:left w:val="nil"/>
              <w:bottom w:val="single" w:color="auto" w:sz="4" w:space="0"/>
              <w:right w:val="single" w:color="auto" w:sz="4" w:space="0"/>
            </w:tcBorders>
            <w:shd w:val="clear" w:color="auto" w:fill="auto"/>
            <w:noWrap/>
            <w:vAlign w:val="center"/>
          </w:tcPr>
          <w:p w14:paraId="3CAF8E5E">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7" w:type="dxa"/>
            <w:tcBorders>
              <w:top w:val="nil"/>
              <w:left w:val="nil"/>
              <w:bottom w:val="single" w:color="auto" w:sz="4" w:space="0"/>
              <w:right w:val="single" w:color="auto" w:sz="4" w:space="0"/>
            </w:tcBorders>
            <w:shd w:val="clear" w:color="auto" w:fill="auto"/>
            <w:noWrap/>
            <w:vAlign w:val="center"/>
          </w:tcPr>
          <w:p w14:paraId="358C6378">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r>
      <w:tr w14:paraId="756F6AB9">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000000" w:sz="4" w:space="0"/>
              <w:right w:val="single" w:color="auto" w:sz="4" w:space="0"/>
            </w:tcBorders>
            <w:vAlign w:val="center"/>
          </w:tcPr>
          <w:p w14:paraId="16CD6412">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vMerge w:val="continue"/>
            <w:tcBorders>
              <w:top w:val="nil"/>
              <w:left w:val="single" w:color="auto" w:sz="4" w:space="0"/>
              <w:bottom w:val="single" w:color="auto" w:sz="4" w:space="0"/>
              <w:right w:val="single" w:color="auto" w:sz="4" w:space="0"/>
            </w:tcBorders>
            <w:vAlign w:val="center"/>
          </w:tcPr>
          <w:p w14:paraId="6BD78B8E">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p>
        </w:tc>
        <w:tc>
          <w:tcPr>
            <w:tcW w:w="3517" w:type="dxa"/>
            <w:vMerge w:val="continue"/>
            <w:tcBorders>
              <w:top w:val="nil"/>
              <w:left w:val="single" w:color="auto" w:sz="4" w:space="0"/>
              <w:bottom w:val="single" w:color="auto" w:sz="4" w:space="0"/>
              <w:right w:val="single" w:color="auto" w:sz="4" w:space="0"/>
            </w:tcBorders>
            <w:vAlign w:val="center"/>
          </w:tcPr>
          <w:p w14:paraId="694E452B">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p>
        </w:tc>
        <w:tc>
          <w:tcPr>
            <w:tcW w:w="945" w:type="dxa"/>
            <w:tcBorders>
              <w:top w:val="nil"/>
              <w:left w:val="nil"/>
              <w:bottom w:val="single" w:color="auto" w:sz="4" w:space="0"/>
              <w:right w:val="single" w:color="auto" w:sz="4" w:space="0"/>
            </w:tcBorders>
            <w:shd w:val="clear" w:color="auto" w:fill="auto"/>
            <w:noWrap/>
            <w:vAlign w:val="center"/>
          </w:tcPr>
          <w:p w14:paraId="2A72FA12">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小型水库 </w:t>
            </w:r>
          </w:p>
        </w:tc>
        <w:tc>
          <w:tcPr>
            <w:tcW w:w="710" w:type="dxa"/>
            <w:tcBorders>
              <w:top w:val="nil"/>
              <w:left w:val="nil"/>
              <w:bottom w:val="single" w:color="auto" w:sz="4" w:space="0"/>
              <w:right w:val="single" w:color="auto" w:sz="4" w:space="0"/>
            </w:tcBorders>
            <w:shd w:val="clear" w:color="auto" w:fill="auto"/>
            <w:noWrap/>
            <w:vAlign w:val="center"/>
          </w:tcPr>
          <w:p w14:paraId="075CEB47">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6 </w:t>
            </w:r>
          </w:p>
        </w:tc>
        <w:tc>
          <w:tcPr>
            <w:tcW w:w="924" w:type="dxa"/>
            <w:tcBorders>
              <w:top w:val="nil"/>
              <w:left w:val="nil"/>
              <w:bottom w:val="single" w:color="auto" w:sz="4" w:space="0"/>
              <w:right w:val="single" w:color="auto" w:sz="4" w:space="0"/>
            </w:tcBorders>
            <w:shd w:val="clear" w:color="auto" w:fill="auto"/>
            <w:noWrap/>
            <w:vAlign w:val="center"/>
          </w:tcPr>
          <w:p w14:paraId="792B3E78">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1260.00 </w:t>
            </w:r>
          </w:p>
        </w:tc>
        <w:tc>
          <w:tcPr>
            <w:tcW w:w="933" w:type="dxa"/>
            <w:tcBorders>
              <w:top w:val="nil"/>
              <w:left w:val="nil"/>
              <w:bottom w:val="single" w:color="auto" w:sz="4" w:space="0"/>
              <w:right w:val="single" w:color="auto" w:sz="4" w:space="0"/>
            </w:tcBorders>
            <w:shd w:val="clear" w:color="auto" w:fill="auto"/>
            <w:noWrap/>
            <w:vAlign w:val="center"/>
          </w:tcPr>
          <w:p w14:paraId="19CB2310">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735.00 </w:t>
            </w:r>
          </w:p>
        </w:tc>
        <w:tc>
          <w:tcPr>
            <w:tcW w:w="1002" w:type="dxa"/>
            <w:tcBorders>
              <w:top w:val="nil"/>
              <w:left w:val="nil"/>
              <w:bottom w:val="single" w:color="auto" w:sz="4" w:space="0"/>
              <w:right w:val="single" w:color="auto" w:sz="4" w:space="0"/>
            </w:tcBorders>
            <w:shd w:val="clear" w:color="auto" w:fill="auto"/>
            <w:noWrap/>
            <w:vAlign w:val="center"/>
          </w:tcPr>
          <w:p w14:paraId="77479D3E">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1088.70 </w:t>
            </w:r>
          </w:p>
        </w:tc>
        <w:tc>
          <w:tcPr>
            <w:tcW w:w="817" w:type="dxa"/>
            <w:tcBorders>
              <w:top w:val="nil"/>
              <w:left w:val="nil"/>
              <w:bottom w:val="single" w:color="auto" w:sz="4" w:space="0"/>
              <w:right w:val="single" w:color="auto" w:sz="4" w:space="0"/>
            </w:tcBorders>
            <w:shd w:val="clear" w:color="auto" w:fill="auto"/>
            <w:noWrap/>
            <w:vAlign w:val="center"/>
          </w:tcPr>
          <w:p w14:paraId="4F2888A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73EFB4BE">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78CABBAC">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1.01 </w:t>
            </w:r>
          </w:p>
        </w:tc>
        <w:tc>
          <w:tcPr>
            <w:tcW w:w="939" w:type="dxa"/>
            <w:tcBorders>
              <w:top w:val="nil"/>
              <w:left w:val="nil"/>
              <w:bottom w:val="single" w:color="auto" w:sz="4" w:space="0"/>
              <w:right w:val="single" w:color="auto" w:sz="4" w:space="0"/>
            </w:tcBorders>
            <w:shd w:val="clear" w:color="auto" w:fill="auto"/>
            <w:noWrap/>
            <w:vAlign w:val="center"/>
          </w:tcPr>
          <w:p w14:paraId="11FBC23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1.59 </w:t>
            </w:r>
          </w:p>
        </w:tc>
        <w:tc>
          <w:tcPr>
            <w:tcW w:w="976" w:type="dxa"/>
            <w:tcBorders>
              <w:top w:val="nil"/>
              <w:left w:val="nil"/>
              <w:bottom w:val="single" w:color="auto" w:sz="4" w:space="0"/>
              <w:right w:val="single" w:color="auto" w:sz="4" w:space="0"/>
            </w:tcBorders>
            <w:shd w:val="clear" w:color="auto" w:fill="auto"/>
            <w:noWrap/>
            <w:vAlign w:val="center"/>
          </w:tcPr>
          <w:p w14:paraId="476D4B77">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5.7300 </w:t>
            </w:r>
          </w:p>
        </w:tc>
        <w:tc>
          <w:tcPr>
            <w:tcW w:w="937" w:type="dxa"/>
            <w:tcBorders>
              <w:top w:val="nil"/>
              <w:left w:val="nil"/>
              <w:bottom w:val="single" w:color="auto" w:sz="4" w:space="0"/>
              <w:right w:val="single" w:color="auto" w:sz="4" w:space="0"/>
            </w:tcBorders>
            <w:shd w:val="clear" w:color="auto" w:fill="auto"/>
            <w:noWrap/>
            <w:vAlign w:val="center"/>
          </w:tcPr>
          <w:p w14:paraId="21CDE01D">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5.7300 </w:t>
            </w:r>
          </w:p>
        </w:tc>
      </w:tr>
      <w:tr w14:paraId="50CE2825">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000000" w:sz="4" w:space="0"/>
              <w:right w:val="single" w:color="auto" w:sz="4" w:space="0"/>
            </w:tcBorders>
            <w:vAlign w:val="center"/>
          </w:tcPr>
          <w:p w14:paraId="4FDA121F">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vMerge w:val="continue"/>
            <w:tcBorders>
              <w:top w:val="nil"/>
              <w:left w:val="single" w:color="auto" w:sz="4" w:space="0"/>
              <w:bottom w:val="single" w:color="auto" w:sz="4" w:space="0"/>
              <w:right w:val="single" w:color="auto" w:sz="4" w:space="0"/>
            </w:tcBorders>
            <w:vAlign w:val="center"/>
          </w:tcPr>
          <w:p w14:paraId="296AEA58">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p>
        </w:tc>
        <w:tc>
          <w:tcPr>
            <w:tcW w:w="3517" w:type="dxa"/>
            <w:vMerge w:val="continue"/>
            <w:tcBorders>
              <w:top w:val="nil"/>
              <w:left w:val="single" w:color="auto" w:sz="4" w:space="0"/>
              <w:bottom w:val="single" w:color="auto" w:sz="4" w:space="0"/>
              <w:right w:val="single" w:color="auto" w:sz="4" w:space="0"/>
            </w:tcBorders>
            <w:vAlign w:val="center"/>
          </w:tcPr>
          <w:p w14:paraId="0A8DA5C5">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p>
        </w:tc>
        <w:tc>
          <w:tcPr>
            <w:tcW w:w="945" w:type="dxa"/>
            <w:tcBorders>
              <w:top w:val="nil"/>
              <w:left w:val="nil"/>
              <w:bottom w:val="single" w:color="auto" w:sz="4" w:space="0"/>
              <w:right w:val="single" w:color="auto" w:sz="4" w:space="0"/>
            </w:tcBorders>
            <w:shd w:val="clear" w:color="auto" w:fill="auto"/>
            <w:noWrap/>
            <w:vAlign w:val="center"/>
          </w:tcPr>
          <w:p w14:paraId="6C332B2C">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小计</w:t>
            </w:r>
          </w:p>
        </w:tc>
        <w:tc>
          <w:tcPr>
            <w:tcW w:w="710" w:type="dxa"/>
            <w:tcBorders>
              <w:top w:val="nil"/>
              <w:left w:val="nil"/>
              <w:bottom w:val="single" w:color="auto" w:sz="4" w:space="0"/>
              <w:right w:val="single" w:color="auto" w:sz="4" w:space="0"/>
            </w:tcBorders>
            <w:shd w:val="clear" w:color="auto" w:fill="auto"/>
            <w:noWrap/>
            <w:vAlign w:val="center"/>
          </w:tcPr>
          <w:p w14:paraId="639DE49C">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6 </w:t>
            </w:r>
          </w:p>
        </w:tc>
        <w:tc>
          <w:tcPr>
            <w:tcW w:w="924" w:type="dxa"/>
            <w:tcBorders>
              <w:top w:val="nil"/>
              <w:left w:val="nil"/>
              <w:bottom w:val="single" w:color="auto" w:sz="4" w:space="0"/>
              <w:right w:val="single" w:color="auto" w:sz="4" w:space="0"/>
            </w:tcBorders>
            <w:shd w:val="clear" w:color="auto" w:fill="auto"/>
            <w:noWrap/>
            <w:vAlign w:val="center"/>
          </w:tcPr>
          <w:p w14:paraId="4219501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1260.00 </w:t>
            </w:r>
          </w:p>
        </w:tc>
        <w:tc>
          <w:tcPr>
            <w:tcW w:w="933" w:type="dxa"/>
            <w:tcBorders>
              <w:top w:val="nil"/>
              <w:left w:val="nil"/>
              <w:bottom w:val="single" w:color="auto" w:sz="4" w:space="0"/>
              <w:right w:val="single" w:color="auto" w:sz="4" w:space="0"/>
            </w:tcBorders>
            <w:shd w:val="clear" w:color="auto" w:fill="auto"/>
            <w:noWrap/>
            <w:vAlign w:val="center"/>
          </w:tcPr>
          <w:p w14:paraId="593294A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735.00 </w:t>
            </w:r>
          </w:p>
        </w:tc>
        <w:tc>
          <w:tcPr>
            <w:tcW w:w="1002" w:type="dxa"/>
            <w:tcBorders>
              <w:top w:val="nil"/>
              <w:left w:val="nil"/>
              <w:bottom w:val="single" w:color="auto" w:sz="4" w:space="0"/>
              <w:right w:val="single" w:color="auto" w:sz="4" w:space="0"/>
            </w:tcBorders>
            <w:shd w:val="clear" w:color="auto" w:fill="auto"/>
            <w:noWrap/>
            <w:vAlign w:val="center"/>
          </w:tcPr>
          <w:p w14:paraId="05E14D27">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1088.70 </w:t>
            </w:r>
          </w:p>
        </w:tc>
        <w:tc>
          <w:tcPr>
            <w:tcW w:w="817" w:type="dxa"/>
            <w:tcBorders>
              <w:top w:val="nil"/>
              <w:left w:val="nil"/>
              <w:bottom w:val="single" w:color="auto" w:sz="4" w:space="0"/>
              <w:right w:val="single" w:color="auto" w:sz="4" w:space="0"/>
            </w:tcBorders>
            <w:shd w:val="clear" w:color="auto" w:fill="auto"/>
            <w:noWrap/>
            <w:vAlign w:val="center"/>
          </w:tcPr>
          <w:p w14:paraId="308A27D3">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27A3A230">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4B7A438C">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1.01 </w:t>
            </w:r>
          </w:p>
        </w:tc>
        <w:tc>
          <w:tcPr>
            <w:tcW w:w="939" w:type="dxa"/>
            <w:tcBorders>
              <w:top w:val="nil"/>
              <w:left w:val="nil"/>
              <w:bottom w:val="single" w:color="auto" w:sz="4" w:space="0"/>
              <w:right w:val="single" w:color="auto" w:sz="4" w:space="0"/>
            </w:tcBorders>
            <w:shd w:val="clear" w:color="auto" w:fill="auto"/>
            <w:noWrap/>
            <w:vAlign w:val="center"/>
          </w:tcPr>
          <w:p w14:paraId="1641D27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1.59 </w:t>
            </w:r>
          </w:p>
        </w:tc>
        <w:tc>
          <w:tcPr>
            <w:tcW w:w="976" w:type="dxa"/>
            <w:tcBorders>
              <w:top w:val="nil"/>
              <w:left w:val="nil"/>
              <w:bottom w:val="single" w:color="auto" w:sz="4" w:space="0"/>
              <w:right w:val="single" w:color="auto" w:sz="4" w:space="0"/>
            </w:tcBorders>
            <w:shd w:val="clear" w:color="auto" w:fill="auto"/>
            <w:noWrap/>
            <w:vAlign w:val="center"/>
          </w:tcPr>
          <w:p w14:paraId="20FF40DF">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5.7300 </w:t>
            </w:r>
          </w:p>
        </w:tc>
        <w:tc>
          <w:tcPr>
            <w:tcW w:w="937" w:type="dxa"/>
            <w:tcBorders>
              <w:top w:val="nil"/>
              <w:left w:val="nil"/>
              <w:bottom w:val="single" w:color="auto" w:sz="4" w:space="0"/>
              <w:right w:val="single" w:color="auto" w:sz="4" w:space="0"/>
            </w:tcBorders>
            <w:shd w:val="clear" w:color="auto" w:fill="auto"/>
            <w:noWrap/>
            <w:vAlign w:val="center"/>
          </w:tcPr>
          <w:p w14:paraId="63021F6D">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5.7300 </w:t>
            </w:r>
          </w:p>
        </w:tc>
      </w:tr>
      <w:tr w14:paraId="68A097B7">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000000" w:sz="4" w:space="0"/>
              <w:right w:val="single" w:color="auto" w:sz="4" w:space="0"/>
            </w:tcBorders>
            <w:vAlign w:val="center"/>
          </w:tcPr>
          <w:p w14:paraId="024CE86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0DDDBB4B">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附表2-2</w:t>
            </w:r>
          </w:p>
        </w:tc>
        <w:tc>
          <w:tcPr>
            <w:tcW w:w="3517" w:type="dxa"/>
            <w:tcBorders>
              <w:top w:val="nil"/>
              <w:left w:val="nil"/>
              <w:bottom w:val="single" w:color="auto" w:sz="4" w:space="0"/>
              <w:right w:val="single" w:color="auto" w:sz="4" w:space="0"/>
            </w:tcBorders>
            <w:shd w:val="clear" w:color="auto" w:fill="auto"/>
            <w:vAlign w:val="center"/>
          </w:tcPr>
          <w:p w14:paraId="494429B0">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重点水系连通工程建设项目表</w:t>
            </w:r>
          </w:p>
        </w:tc>
        <w:tc>
          <w:tcPr>
            <w:tcW w:w="945" w:type="dxa"/>
            <w:tcBorders>
              <w:top w:val="nil"/>
              <w:left w:val="nil"/>
              <w:bottom w:val="single" w:color="auto" w:sz="4" w:space="0"/>
              <w:right w:val="single" w:color="auto" w:sz="4" w:space="0"/>
            </w:tcBorders>
            <w:shd w:val="clear" w:color="auto" w:fill="auto"/>
            <w:noWrap/>
            <w:vAlign w:val="center"/>
          </w:tcPr>
          <w:p w14:paraId="1BA09A62">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76955AF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2 </w:t>
            </w:r>
          </w:p>
        </w:tc>
        <w:tc>
          <w:tcPr>
            <w:tcW w:w="924" w:type="dxa"/>
            <w:tcBorders>
              <w:top w:val="nil"/>
              <w:left w:val="nil"/>
              <w:bottom w:val="single" w:color="auto" w:sz="4" w:space="0"/>
              <w:right w:val="single" w:color="auto" w:sz="4" w:space="0"/>
            </w:tcBorders>
            <w:shd w:val="clear" w:color="auto" w:fill="auto"/>
            <w:noWrap/>
            <w:vAlign w:val="center"/>
          </w:tcPr>
          <w:p w14:paraId="711822E1">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66EB41A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4737EDC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4800.00 </w:t>
            </w:r>
          </w:p>
        </w:tc>
        <w:tc>
          <w:tcPr>
            <w:tcW w:w="817" w:type="dxa"/>
            <w:tcBorders>
              <w:top w:val="nil"/>
              <w:left w:val="nil"/>
              <w:bottom w:val="single" w:color="auto" w:sz="4" w:space="0"/>
              <w:right w:val="single" w:color="auto" w:sz="4" w:space="0"/>
            </w:tcBorders>
            <w:shd w:val="clear" w:color="auto" w:fill="auto"/>
            <w:noWrap/>
            <w:vAlign w:val="center"/>
          </w:tcPr>
          <w:p w14:paraId="191645BD">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0EB058C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14.00 </w:t>
            </w:r>
          </w:p>
        </w:tc>
        <w:tc>
          <w:tcPr>
            <w:tcW w:w="895" w:type="dxa"/>
            <w:tcBorders>
              <w:top w:val="nil"/>
              <w:left w:val="nil"/>
              <w:bottom w:val="single" w:color="auto" w:sz="4" w:space="0"/>
              <w:right w:val="single" w:color="auto" w:sz="4" w:space="0"/>
            </w:tcBorders>
            <w:shd w:val="clear" w:color="auto" w:fill="auto"/>
            <w:noWrap/>
            <w:vAlign w:val="center"/>
          </w:tcPr>
          <w:p w14:paraId="128C092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2.50 </w:t>
            </w:r>
          </w:p>
        </w:tc>
        <w:tc>
          <w:tcPr>
            <w:tcW w:w="939" w:type="dxa"/>
            <w:tcBorders>
              <w:top w:val="nil"/>
              <w:left w:val="nil"/>
              <w:bottom w:val="single" w:color="auto" w:sz="4" w:space="0"/>
              <w:right w:val="single" w:color="auto" w:sz="4" w:space="0"/>
            </w:tcBorders>
            <w:shd w:val="clear" w:color="auto" w:fill="auto"/>
            <w:noWrap/>
            <w:vAlign w:val="center"/>
          </w:tcPr>
          <w:p w14:paraId="39198D92">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8.10 </w:t>
            </w:r>
          </w:p>
        </w:tc>
        <w:tc>
          <w:tcPr>
            <w:tcW w:w="976" w:type="dxa"/>
            <w:tcBorders>
              <w:top w:val="nil"/>
              <w:left w:val="nil"/>
              <w:bottom w:val="single" w:color="auto" w:sz="4" w:space="0"/>
              <w:right w:val="single" w:color="auto" w:sz="4" w:space="0"/>
            </w:tcBorders>
            <w:shd w:val="clear" w:color="auto" w:fill="auto"/>
            <w:noWrap/>
            <w:vAlign w:val="center"/>
          </w:tcPr>
          <w:p w14:paraId="108C39D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13.1720 </w:t>
            </w:r>
          </w:p>
        </w:tc>
        <w:tc>
          <w:tcPr>
            <w:tcW w:w="937" w:type="dxa"/>
            <w:tcBorders>
              <w:top w:val="nil"/>
              <w:left w:val="nil"/>
              <w:bottom w:val="single" w:color="auto" w:sz="4" w:space="0"/>
              <w:right w:val="single" w:color="auto" w:sz="4" w:space="0"/>
            </w:tcBorders>
            <w:shd w:val="clear" w:color="auto" w:fill="auto"/>
            <w:noWrap/>
            <w:vAlign w:val="center"/>
          </w:tcPr>
          <w:p w14:paraId="1843CFD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13.1720 </w:t>
            </w:r>
          </w:p>
        </w:tc>
      </w:tr>
      <w:tr w14:paraId="654A2D50">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000000" w:sz="4" w:space="0"/>
              <w:right w:val="single" w:color="auto" w:sz="4" w:space="0"/>
            </w:tcBorders>
            <w:vAlign w:val="center"/>
          </w:tcPr>
          <w:p w14:paraId="2FEF786A">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4E0262C6">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附表2-3</w:t>
            </w:r>
          </w:p>
        </w:tc>
        <w:tc>
          <w:tcPr>
            <w:tcW w:w="3517" w:type="dxa"/>
            <w:tcBorders>
              <w:top w:val="nil"/>
              <w:left w:val="nil"/>
              <w:bottom w:val="single" w:color="auto" w:sz="4" w:space="0"/>
              <w:right w:val="single" w:color="auto" w:sz="4" w:space="0"/>
            </w:tcBorders>
            <w:shd w:val="clear" w:color="auto" w:fill="auto"/>
            <w:vAlign w:val="center"/>
          </w:tcPr>
          <w:p w14:paraId="7A80F49E">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新建大型灌区项目表</w:t>
            </w:r>
          </w:p>
        </w:tc>
        <w:tc>
          <w:tcPr>
            <w:tcW w:w="945" w:type="dxa"/>
            <w:tcBorders>
              <w:top w:val="nil"/>
              <w:left w:val="nil"/>
              <w:bottom w:val="single" w:color="auto" w:sz="4" w:space="0"/>
              <w:right w:val="single" w:color="auto" w:sz="4" w:space="0"/>
            </w:tcBorders>
            <w:shd w:val="clear" w:color="auto" w:fill="auto"/>
            <w:noWrap/>
            <w:vAlign w:val="center"/>
          </w:tcPr>
          <w:p w14:paraId="7B57373D">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6982914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24" w:type="dxa"/>
            <w:tcBorders>
              <w:top w:val="nil"/>
              <w:left w:val="nil"/>
              <w:bottom w:val="single" w:color="auto" w:sz="4" w:space="0"/>
              <w:right w:val="single" w:color="auto" w:sz="4" w:space="0"/>
            </w:tcBorders>
            <w:shd w:val="clear" w:color="auto" w:fill="auto"/>
            <w:noWrap/>
            <w:vAlign w:val="center"/>
          </w:tcPr>
          <w:p w14:paraId="5C25771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50A7E070">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36500E23">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1CD457F0">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2BD44FD3">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3E35DD6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3EA13A4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76" w:type="dxa"/>
            <w:tcBorders>
              <w:top w:val="nil"/>
              <w:left w:val="nil"/>
              <w:bottom w:val="single" w:color="auto" w:sz="4" w:space="0"/>
              <w:right w:val="single" w:color="auto" w:sz="4" w:space="0"/>
            </w:tcBorders>
            <w:shd w:val="clear" w:color="auto" w:fill="auto"/>
            <w:noWrap/>
            <w:vAlign w:val="center"/>
          </w:tcPr>
          <w:p w14:paraId="674461BF">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7" w:type="dxa"/>
            <w:tcBorders>
              <w:top w:val="nil"/>
              <w:left w:val="nil"/>
              <w:bottom w:val="single" w:color="auto" w:sz="4" w:space="0"/>
              <w:right w:val="single" w:color="auto" w:sz="4" w:space="0"/>
            </w:tcBorders>
            <w:shd w:val="clear" w:color="auto" w:fill="auto"/>
            <w:noWrap/>
            <w:vAlign w:val="center"/>
          </w:tcPr>
          <w:p w14:paraId="439A1230">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r>
      <w:tr w14:paraId="68543336">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000000" w:sz="4" w:space="0"/>
              <w:right w:val="single" w:color="auto" w:sz="4" w:space="0"/>
            </w:tcBorders>
            <w:vAlign w:val="center"/>
          </w:tcPr>
          <w:p w14:paraId="11DE137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0E4F0383">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附表2-4</w:t>
            </w:r>
          </w:p>
        </w:tc>
        <w:tc>
          <w:tcPr>
            <w:tcW w:w="3517" w:type="dxa"/>
            <w:tcBorders>
              <w:top w:val="nil"/>
              <w:left w:val="nil"/>
              <w:bottom w:val="single" w:color="auto" w:sz="4" w:space="0"/>
              <w:right w:val="single" w:color="auto" w:sz="4" w:space="0"/>
            </w:tcBorders>
            <w:shd w:val="clear" w:color="auto" w:fill="auto"/>
            <w:vAlign w:val="center"/>
          </w:tcPr>
          <w:p w14:paraId="4A7F13FC">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乡镇抗旱水源工程建设项目表</w:t>
            </w:r>
          </w:p>
        </w:tc>
        <w:tc>
          <w:tcPr>
            <w:tcW w:w="945" w:type="dxa"/>
            <w:tcBorders>
              <w:top w:val="nil"/>
              <w:left w:val="nil"/>
              <w:bottom w:val="single" w:color="auto" w:sz="4" w:space="0"/>
              <w:right w:val="single" w:color="auto" w:sz="4" w:space="0"/>
            </w:tcBorders>
            <w:shd w:val="clear" w:color="auto" w:fill="auto"/>
            <w:noWrap/>
            <w:vAlign w:val="center"/>
          </w:tcPr>
          <w:p w14:paraId="560F8500">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673BFCC8">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33 </w:t>
            </w:r>
          </w:p>
        </w:tc>
        <w:tc>
          <w:tcPr>
            <w:tcW w:w="924" w:type="dxa"/>
            <w:tcBorders>
              <w:top w:val="nil"/>
              <w:left w:val="nil"/>
              <w:bottom w:val="single" w:color="auto" w:sz="4" w:space="0"/>
              <w:right w:val="single" w:color="auto" w:sz="4" w:space="0"/>
            </w:tcBorders>
            <w:shd w:val="clear" w:color="auto" w:fill="auto"/>
            <w:noWrap/>
            <w:vAlign w:val="center"/>
          </w:tcPr>
          <w:p w14:paraId="672EDEC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1842.20 </w:t>
            </w:r>
          </w:p>
        </w:tc>
        <w:tc>
          <w:tcPr>
            <w:tcW w:w="933" w:type="dxa"/>
            <w:tcBorders>
              <w:top w:val="nil"/>
              <w:left w:val="nil"/>
              <w:bottom w:val="single" w:color="auto" w:sz="4" w:space="0"/>
              <w:right w:val="single" w:color="auto" w:sz="4" w:space="0"/>
            </w:tcBorders>
            <w:shd w:val="clear" w:color="auto" w:fill="auto"/>
            <w:noWrap/>
            <w:vAlign w:val="center"/>
          </w:tcPr>
          <w:p w14:paraId="28E6C1BE">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1E00EE02">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526.39 </w:t>
            </w:r>
          </w:p>
        </w:tc>
        <w:tc>
          <w:tcPr>
            <w:tcW w:w="817" w:type="dxa"/>
            <w:tcBorders>
              <w:top w:val="nil"/>
              <w:left w:val="nil"/>
              <w:bottom w:val="single" w:color="auto" w:sz="4" w:space="0"/>
              <w:right w:val="single" w:color="auto" w:sz="4" w:space="0"/>
            </w:tcBorders>
            <w:shd w:val="clear" w:color="auto" w:fill="auto"/>
            <w:noWrap/>
            <w:vAlign w:val="center"/>
          </w:tcPr>
          <w:p w14:paraId="5A4739AC">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3C04CFA1">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17.47 </w:t>
            </w:r>
          </w:p>
        </w:tc>
        <w:tc>
          <w:tcPr>
            <w:tcW w:w="895" w:type="dxa"/>
            <w:tcBorders>
              <w:top w:val="nil"/>
              <w:left w:val="nil"/>
              <w:bottom w:val="single" w:color="auto" w:sz="4" w:space="0"/>
              <w:right w:val="single" w:color="auto" w:sz="4" w:space="0"/>
            </w:tcBorders>
            <w:shd w:val="clear" w:color="auto" w:fill="auto"/>
            <w:noWrap/>
            <w:vAlign w:val="center"/>
          </w:tcPr>
          <w:p w14:paraId="1006988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503CF970">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11.70 </w:t>
            </w:r>
          </w:p>
        </w:tc>
        <w:tc>
          <w:tcPr>
            <w:tcW w:w="976" w:type="dxa"/>
            <w:tcBorders>
              <w:top w:val="nil"/>
              <w:left w:val="nil"/>
              <w:bottom w:val="single" w:color="auto" w:sz="4" w:space="0"/>
              <w:right w:val="single" w:color="auto" w:sz="4" w:space="0"/>
            </w:tcBorders>
            <w:shd w:val="clear" w:color="auto" w:fill="auto"/>
            <w:noWrap/>
            <w:vAlign w:val="center"/>
          </w:tcPr>
          <w:p w14:paraId="3F0096EF">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3.4853 </w:t>
            </w:r>
          </w:p>
        </w:tc>
        <w:tc>
          <w:tcPr>
            <w:tcW w:w="937" w:type="dxa"/>
            <w:tcBorders>
              <w:top w:val="nil"/>
              <w:left w:val="nil"/>
              <w:bottom w:val="single" w:color="auto" w:sz="4" w:space="0"/>
              <w:right w:val="single" w:color="auto" w:sz="4" w:space="0"/>
            </w:tcBorders>
            <w:shd w:val="clear" w:color="auto" w:fill="auto"/>
            <w:noWrap/>
            <w:vAlign w:val="center"/>
          </w:tcPr>
          <w:p w14:paraId="7717C061">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3.4853 </w:t>
            </w:r>
          </w:p>
        </w:tc>
      </w:tr>
      <w:tr w14:paraId="2574AC50">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000000" w:sz="4" w:space="0"/>
              <w:right w:val="single" w:color="auto" w:sz="4" w:space="0"/>
            </w:tcBorders>
            <w:vAlign w:val="center"/>
          </w:tcPr>
          <w:p w14:paraId="109DA4E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27B31F57">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附表2-5</w:t>
            </w:r>
          </w:p>
        </w:tc>
        <w:tc>
          <w:tcPr>
            <w:tcW w:w="3517" w:type="dxa"/>
            <w:tcBorders>
              <w:top w:val="nil"/>
              <w:left w:val="nil"/>
              <w:bottom w:val="single" w:color="auto" w:sz="4" w:space="0"/>
              <w:right w:val="single" w:color="auto" w:sz="4" w:space="0"/>
            </w:tcBorders>
            <w:shd w:val="clear" w:color="auto" w:fill="auto"/>
            <w:vAlign w:val="center"/>
          </w:tcPr>
          <w:p w14:paraId="495B7749">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城市备用水源工程建设项目表</w:t>
            </w:r>
          </w:p>
        </w:tc>
        <w:tc>
          <w:tcPr>
            <w:tcW w:w="945" w:type="dxa"/>
            <w:tcBorders>
              <w:top w:val="nil"/>
              <w:left w:val="nil"/>
              <w:bottom w:val="single" w:color="auto" w:sz="4" w:space="0"/>
              <w:right w:val="single" w:color="auto" w:sz="4" w:space="0"/>
            </w:tcBorders>
            <w:shd w:val="clear" w:color="auto" w:fill="auto"/>
            <w:noWrap/>
            <w:vAlign w:val="center"/>
          </w:tcPr>
          <w:p w14:paraId="6EEF5373">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1A922B82">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2 </w:t>
            </w:r>
          </w:p>
        </w:tc>
        <w:tc>
          <w:tcPr>
            <w:tcW w:w="924" w:type="dxa"/>
            <w:tcBorders>
              <w:top w:val="nil"/>
              <w:left w:val="nil"/>
              <w:bottom w:val="single" w:color="auto" w:sz="4" w:space="0"/>
              <w:right w:val="single" w:color="auto" w:sz="4" w:space="0"/>
            </w:tcBorders>
            <w:shd w:val="clear" w:color="auto" w:fill="auto"/>
            <w:noWrap/>
            <w:vAlign w:val="center"/>
          </w:tcPr>
          <w:p w14:paraId="1AE1421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49F0F17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272C175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77C5A74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2F4D2230">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3.20 </w:t>
            </w:r>
          </w:p>
        </w:tc>
        <w:tc>
          <w:tcPr>
            <w:tcW w:w="895" w:type="dxa"/>
            <w:tcBorders>
              <w:top w:val="nil"/>
              <w:left w:val="nil"/>
              <w:bottom w:val="single" w:color="auto" w:sz="4" w:space="0"/>
              <w:right w:val="single" w:color="auto" w:sz="4" w:space="0"/>
            </w:tcBorders>
            <w:shd w:val="clear" w:color="auto" w:fill="auto"/>
            <w:noWrap/>
            <w:vAlign w:val="center"/>
          </w:tcPr>
          <w:p w14:paraId="229AD721">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4012B8F3">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76" w:type="dxa"/>
            <w:tcBorders>
              <w:top w:val="nil"/>
              <w:left w:val="nil"/>
              <w:bottom w:val="single" w:color="auto" w:sz="4" w:space="0"/>
              <w:right w:val="single" w:color="auto" w:sz="4" w:space="0"/>
            </w:tcBorders>
            <w:shd w:val="clear" w:color="auto" w:fill="auto"/>
            <w:noWrap/>
            <w:vAlign w:val="center"/>
          </w:tcPr>
          <w:p w14:paraId="7752FF6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0.5882 </w:t>
            </w:r>
          </w:p>
        </w:tc>
        <w:tc>
          <w:tcPr>
            <w:tcW w:w="937" w:type="dxa"/>
            <w:tcBorders>
              <w:top w:val="nil"/>
              <w:left w:val="nil"/>
              <w:bottom w:val="single" w:color="auto" w:sz="4" w:space="0"/>
              <w:right w:val="single" w:color="auto" w:sz="4" w:space="0"/>
            </w:tcBorders>
            <w:shd w:val="clear" w:color="auto" w:fill="auto"/>
            <w:noWrap/>
            <w:vAlign w:val="center"/>
          </w:tcPr>
          <w:p w14:paraId="3FF04977">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0.5882 </w:t>
            </w:r>
          </w:p>
        </w:tc>
      </w:tr>
      <w:tr w14:paraId="486309C2">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000000" w:sz="4" w:space="0"/>
              <w:right w:val="single" w:color="auto" w:sz="4" w:space="0"/>
            </w:tcBorders>
            <w:vAlign w:val="center"/>
          </w:tcPr>
          <w:p w14:paraId="6626BE7A">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041C8C05">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附表2-6</w:t>
            </w:r>
          </w:p>
        </w:tc>
        <w:tc>
          <w:tcPr>
            <w:tcW w:w="3517" w:type="dxa"/>
            <w:tcBorders>
              <w:top w:val="nil"/>
              <w:left w:val="nil"/>
              <w:bottom w:val="single" w:color="auto" w:sz="4" w:space="0"/>
              <w:right w:val="single" w:color="auto" w:sz="4" w:space="0"/>
            </w:tcBorders>
            <w:shd w:val="clear" w:color="auto" w:fill="auto"/>
            <w:vAlign w:val="center"/>
          </w:tcPr>
          <w:p w14:paraId="097F3A0A">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滇中引水及配套工程建设项目表</w:t>
            </w:r>
          </w:p>
        </w:tc>
        <w:tc>
          <w:tcPr>
            <w:tcW w:w="945" w:type="dxa"/>
            <w:tcBorders>
              <w:top w:val="nil"/>
              <w:left w:val="nil"/>
              <w:bottom w:val="single" w:color="auto" w:sz="4" w:space="0"/>
              <w:right w:val="single" w:color="auto" w:sz="4" w:space="0"/>
            </w:tcBorders>
            <w:shd w:val="clear" w:color="auto" w:fill="auto"/>
            <w:noWrap/>
            <w:vAlign w:val="center"/>
          </w:tcPr>
          <w:p w14:paraId="2ED63386">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588FBCF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 </w:t>
            </w:r>
          </w:p>
        </w:tc>
        <w:tc>
          <w:tcPr>
            <w:tcW w:w="924" w:type="dxa"/>
            <w:tcBorders>
              <w:top w:val="nil"/>
              <w:left w:val="nil"/>
              <w:bottom w:val="single" w:color="auto" w:sz="4" w:space="0"/>
              <w:right w:val="single" w:color="auto" w:sz="4" w:space="0"/>
            </w:tcBorders>
            <w:shd w:val="clear" w:color="auto" w:fill="auto"/>
            <w:noWrap/>
            <w:vAlign w:val="center"/>
          </w:tcPr>
          <w:p w14:paraId="69DB2348">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5C91C1E7">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0BBCE277">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1DAD4382">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3DB81E83">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4.85 </w:t>
            </w:r>
          </w:p>
        </w:tc>
        <w:tc>
          <w:tcPr>
            <w:tcW w:w="895" w:type="dxa"/>
            <w:tcBorders>
              <w:top w:val="nil"/>
              <w:left w:val="nil"/>
              <w:bottom w:val="single" w:color="auto" w:sz="4" w:space="0"/>
              <w:right w:val="single" w:color="auto" w:sz="4" w:space="0"/>
            </w:tcBorders>
            <w:shd w:val="clear" w:color="auto" w:fill="auto"/>
            <w:noWrap/>
            <w:vAlign w:val="center"/>
          </w:tcPr>
          <w:p w14:paraId="79810003">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67B3861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76" w:type="dxa"/>
            <w:tcBorders>
              <w:top w:val="nil"/>
              <w:left w:val="nil"/>
              <w:bottom w:val="single" w:color="auto" w:sz="4" w:space="0"/>
              <w:right w:val="single" w:color="auto" w:sz="4" w:space="0"/>
            </w:tcBorders>
            <w:shd w:val="clear" w:color="auto" w:fill="auto"/>
            <w:noWrap/>
            <w:vAlign w:val="center"/>
          </w:tcPr>
          <w:p w14:paraId="2536800F">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4.0000 </w:t>
            </w:r>
          </w:p>
        </w:tc>
        <w:tc>
          <w:tcPr>
            <w:tcW w:w="937" w:type="dxa"/>
            <w:tcBorders>
              <w:top w:val="nil"/>
              <w:left w:val="nil"/>
              <w:bottom w:val="single" w:color="auto" w:sz="4" w:space="0"/>
              <w:right w:val="single" w:color="auto" w:sz="4" w:space="0"/>
            </w:tcBorders>
            <w:shd w:val="clear" w:color="auto" w:fill="auto"/>
            <w:noWrap/>
            <w:vAlign w:val="center"/>
          </w:tcPr>
          <w:p w14:paraId="363FCFC1">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4.0000 </w:t>
            </w:r>
          </w:p>
        </w:tc>
      </w:tr>
      <w:tr w14:paraId="6A35EC0D">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000000" w:sz="4" w:space="0"/>
              <w:right w:val="single" w:color="auto" w:sz="4" w:space="0"/>
            </w:tcBorders>
            <w:vAlign w:val="center"/>
          </w:tcPr>
          <w:p w14:paraId="0B3CA14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29CECC8A">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附表2-9</w:t>
            </w:r>
          </w:p>
        </w:tc>
        <w:tc>
          <w:tcPr>
            <w:tcW w:w="3517" w:type="dxa"/>
            <w:tcBorders>
              <w:top w:val="nil"/>
              <w:left w:val="nil"/>
              <w:bottom w:val="single" w:color="auto" w:sz="4" w:space="0"/>
              <w:right w:val="single" w:color="auto" w:sz="4" w:space="0"/>
            </w:tcBorders>
            <w:shd w:val="clear" w:color="auto" w:fill="auto"/>
            <w:vAlign w:val="center"/>
          </w:tcPr>
          <w:p w14:paraId="51AE3702">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中型灌区续建配套与现代化改造项目表</w:t>
            </w:r>
          </w:p>
        </w:tc>
        <w:tc>
          <w:tcPr>
            <w:tcW w:w="945" w:type="dxa"/>
            <w:tcBorders>
              <w:top w:val="nil"/>
              <w:left w:val="nil"/>
              <w:bottom w:val="single" w:color="auto" w:sz="4" w:space="0"/>
              <w:right w:val="single" w:color="auto" w:sz="4" w:space="0"/>
            </w:tcBorders>
            <w:shd w:val="clear" w:color="auto" w:fill="auto"/>
            <w:noWrap/>
            <w:vAlign w:val="center"/>
          </w:tcPr>
          <w:p w14:paraId="0E8C4686">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60451F4D">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 </w:t>
            </w:r>
          </w:p>
        </w:tc>
        <w:tc>
          <w:tcPr>
            <w:tcW w:w="924" w:type="dxa"/>
            <w:tcBorders>
              <w:top w:val="nil"/>
              <w:left w:val="nil"/>
              <w:bottom w:val="single" w:color="auto" w:sz="4" w:space="0"/>
              <w:right w:val="single" w:color="auto" w:sz="4" w:space="0"/>
            </w:tcBorders>
            <w:shd w:val="clear" w:color="auto" w:fill="auto"/>
            <w:noWrap/>
            <w:vAlign w:val="center"/>
          </w:tcPr>
          <w:p w14:paraId="6A1D840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2EA4523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21ABAE02">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059E8A9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053D04B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12943C2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0.45 </w:t>
            </w:r>
          </w:p>
        </w:tc>
        <w:tc>
          <w:tcPr>
            <w:tcW w:w="939" w:type="dxa"/>
            <w:tcBorders>
              <w:top w:val="nil"/>
              <w:left w:val="nil"/>
              <w:bottom w:val="single" w:color="auto" w:sz="4" w:space="0"/>
              <w:right w:val="single" w:color="auto" w:sz="4" w:space="0"/>
            </w:tcBorders>
            <w:shd w:val="clear" w:color="auto" w:fill="auto"/>
            <w:noWrap/>
            <w:vAlign w:val="center"/>
          </w:tcPr>
          <w:p w14:paraId="5684582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4.98 </w:t>
            </w:r>
          </w:p>
        </w:tc>
        <w:tc>
          <w:tcPr>
            <w:tcW w:w="976" w:type="dxa"/>
            <w:tcBorders>
              <w:top w:val="nil"/>
              <w:left w:val="nil"/>
              <w:bottom w:val="single" w:color="auto" w:sz="4" w:space="0"/>
              <w:right w:val="single" w:color="auto" w:sz="4" w:space="0"/>
            </w:tcBorders>
            <w:shd w:val="clear" w:color="auto" w:fill="auto"/>
            <w:noWrap/>
            <w:vAlign w:val="center"/>
          </w:tcPr>
          <w:p w14:paraId="7CF0816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4.9478 </w:t>
            </w:r>
          </w:p>
        </w:tc>
        <w:tc>
          <w:tcPr>
            <w:tcW w:w="937" w:type="dxa"/>
            <w:tcBorders>
              <w:top w:val="nil"/>
              <w:left w:val="nil"/>
              <w:bottom w:val="single" w:color="auto" w:sz="4" w:space="0"/>
              <w:right w:val="single" w:color="auto" w:sz="4" w:space="0"/>
            </w:tcBorders>
            <w:shd w:val="clear" w:color="auto" w:fill="auto"/>
            <w:noWrap/>
            <w:vAlign w:val="center"/>
          </w:tcPr>
          <w:p w14:paraId="57ACB66F">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4.9478 </w:t>
            </w:r>
          </w:p>
        </w:tc>
      </w:tr>
      <w:tr w14:paraId="5A3AC76B">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000000" w:sz="4" w:space="0"/>
              <w:right w:val="single" w:color="auto" w:sz="4" w:space="0"/>
            </w:tcBorders>
            <w:vAlign w:val="center"/>
          </w:tcPr>
          <w:p w14:paraId="668E11AF">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06476E02">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附表2-10</w:t>
            </w:r>
          </w:p>
        </w:tc>
        <w:tc>
          <w:tcPr>
            <w:tcW w:w="3517" w:type="dxa"/>
            <w:tcBorders>
              <w:top w:val="nil"/>
              <w:left w:val="nil"/>
              <w:bottom w:val="single" w:color="auto" w:sz="4" w:space="0"/>
              <w:right w:val="single" w:color="auto" w:sz="4" w:space="0"/>
            </w:tcBorders>
            <w:shd w:val="clear" w:color="auto" w:fill="auto"/>
            <w:vAlign w:val="center"/>
          </w:tcPr>
          <w:p w14:paraId="530D3272">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农村人饮专项规划项目</w:t>
            </w:r>
          </w:p>
        </w:tc>
        <w:tc>
          <w:tcPr>
            <w:tcW w:w="945" w:type="dxa"/>
            <w:tcBorders>
              <w:top w:val="nil"/>
              <w:left w:val="nil"/>
              <w:bottom w:val="single" w:color="auto" w:sz="4" w:space="0"/>
              <w:right w:val="single" w:color="auto" w:sz="4" w:space="0"/>
            </w:tcBorders>
            <w:shd w:val="clear" w:color="auto" w:fill="auto"/>
            <w:noWrap/>
            <w:vAlign w:val="center"/>
          </w:tcPr>
          <w:p w14:paraId="0B34DFAE">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2F553187">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169 </w:t>
            </w:r>
          </w:p>
        </w:tc>
        <w:tc>
          <w:tcPr>
            <w:tcW w:w="924" w:type="dxa"/>
            <w:tcBorders>
              <w:top w:val="nil"/>
              <w:left w:val="nil"/>
              <w:bottom w:val="single" w:color="auto" w:sz="4" w:space="0"/>
              <w:right w:val="single" w:color="auto" w:sz="4" w:space="0"/>
            </w:tcBorders>
            <w:shd w:val="clear" w:color="auto" w:fill="auto"/>
            <w:noWrap/>
            <w:vAlign w:val="center"/>
          </w:tcPr>
          <w:p w14:paraId="0A58B97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6EEB50F2">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4FA9971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124391ED">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247288CD">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10.4525 </w:t>
            </w:r>
          </w:p>
        </w:tc>
        <w:tc>
          <w:tcPr>
            <w:tcW w:w="895" w:type="dxa"/>
            <w:tcBorders>
              <w:top w:val="nil"/>
              <w:left w:val="nil"/>
              <w:bottom w:val="single" w:color="auto" w:sz="4" w:space="0"/>
              <w:right w:val="single" w:color="auto" w:sz="4" w:space="0"/>
            </w:tcBorders>
            <w:shd w:val="clear" w:color="auto" w:fill="auto"/>
            <w:noWrap/>
            <w:vAlign w:val="center"/>
          </w:tcPr>
          <w:p w14:paraId="3084032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2C17F9B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76" w:type="dxa"/>
            <w:tcBorders>
              <w:top w:val="nil"/>
              <w:left w:val="nil"/>
              <w:bottom w:val="single" w:color="auto" w:sz="4" w:space="0"/>
              <w:right w:val="single" w:color="auto" w:sz="4" w:space="0"/>
            </w:tcBorders>
            <w:shd w:val="clear" w:color="auto" w:fill="auto"/>
            <w:noWrap/>
            <w:vAlign w:val="center"/>
          </w:tcPr>
          <w:p w14:paraId="15A7AED7">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1.3099 </w:t>
            </w:r>
          </w:p>
        </w:tc>
        <w:tc>
          <w:tcPr>
            <w:tcW w:w="937" w:type="dxa"/>
            <w:tcBorders>
              <w:top w:val="nil"/>
              <w:left w:val="nil"/>
              <w:bottom w:val="single" w:color="auto" w:sz="4" w:space="0"/>
              <w:right w:val="single" w:color="auto" w:sz="4" w:space="0"/>
            </w:tcBorders>
            <w:shd w:val="clear" w:color="auto" w:fill="auto"/>
            <w:noWrap/>
            <w:vAlign w:val="center"/>
          </w:tcPr>
          <w:p w14:paraId="4D613567">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1.3099 </w:t>
            </w:r>
          </w:p>
        </w:tc>
      </w:tr>
      <w:tr w14:paraId="019BCBA8">
        <w:tblPrEx>
          <w:tblCellMar>
            <w:top w:w="0" w:type="dxa"/>
            <w:left w:w="0" w:type="dxa"/>
            <w:bottom w:w="0" w:type="dxa"/>
            <w:right w:w="0" w:type="dxa"/>
          </w:tblCellMar>
        </w:tblPrEx>
        <w:trPr>
          <w:trHeight w:val="57" w:hRule="atLeast"/>
        </w:trPr>
        <w:tc>
          <w:tcPr>
            <w:tcW w:w="520" w:type="dxa"/>
            <w:vMerge w:val="restart"/>
            <w:tcBorders>
              <w:top w:val="nil"/>
              <w:left w:val="single" w:color="auto" w:sz="4" w:space="0"/>
              <w:bottom w:val="single" w:color="auto" w:sz="4" w:space="0"/>
              <w:right w:val="single" w:color="auto" w:sz="4" w:space="0"/>
            </w:tcBorders>
            <w:shd w:val="clear" w:color="auto" w:fill="auto"/>
            <w:vAlign w:val="center"/>
          </w:tcPr>
          <w:p w14:paraId="0B9F5BFE">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水生</w:t>
            </w:r>
            <w:r>
              <w:rPr>
                <w:rFonts w:eastAsia="宋体" w:cs="宋体"/>
                <w:b/>
                <w:bCs/>
                <w:color w:val="000000" w:themeColor="text1"/>
                <w:kern w:val="0"/>
                <w:sz w:val="21"/>
                <w:szCs w:val="21"/>
                <w14:textFill>
                  <w14:solidFill>
                    <w14:schemeClr w14:val="tx1"/>
                  </w14:solidFill>
                </w14:textFill>
              </w:rPr>
              <w:br w:type="textWrapping"/>
            </w:r>
            <w:r>
              <w:rPr>
                <w:rFonts w:eastAsia="宋体" w:cs="宋体"/>
                <w:b/>
                <w:bCs/>
                <w:color w:val="000000" w:themeColor="text1"/>
                <w:kern w:val="0"/>
                <w:sz w:val="21"/>
                <w:szCs w:val="21"/>
                <w14:textFill>
                  <w14:solidFill>
                    <w14:schemeClr w14:val="tx1"/>
                  </w14:solidFill>
                </w14:textFill>
              </w:rPr>
              <w:t>态类</w:t>
            </w:r>
          </w:p>
        </w:tc>
        <w:tc>
          <w:tcPr>
            <w:tcW w:w="966" w:type="dxa"/>
            <w:tcBorders>
              <w:top w:val="nil"/>
              <w:left w:val="nil"/>
              <w:bottom w:val="single" w:color="auto" w:sz="4" w:space="0"/>
              <w:right w:val="single" w:color="auto" w:sz="4" w:space="0"/>
            </w:tcBorders>
            <w:shd w:val="clear" w:color="auto" w:fill="auto"/>
            <w:noWrap/>
            <w:vAlign w:val="center"/>
          </w:tcPr>
          <w:p w14:paraId="10CA76E8">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附表3-1</w:t>
            </w:r>
          </w:p>
        </w:tc>
        <w:tc>
          <w:tcPr>
            <w:tcW w:w="3517" w:type="dxa"/>
            <w:tcBorders>
              <w:top w:val="nil"/>
              <w:left w:val="nil"/>
              <w:bottom w:val="single" w:color="auto" w:sz="4" w:space="0"/>
              <w:right w:val="single" w:color="auto" w:sz="4" w:space="0"/>
            </w:tcBorders>
            <w:shd w:val="clear" w:color="auto" w:fill="auto"/>
            <w:vAlign w:val="center"/>
          </w:tcPr>
          <w:p w14:paraId="7E74067C">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水源涵养与水土保持项目表</w:t>
            </w:r>
          </w:p>
        </w:tc>
        <w:tc>
          <w:tcPr>
            <w:tcW w:w="945" w:type="dxa"/>
            <w:tcBorders>
              <w:top w:val="nil"/>
              <w:left w:val="nil"/>
              <w:bottom w:val="single" w:color="auto" w:sz="4" w:space="0"/>
              <w:right w:val="single" w:color="auto" w:sz="4" w:space="0"/>
            </w:tcBorders>
            <w:shd w:val="clear" w:color="auto" w:fill="auto"/>
            <w:noWrap/>
            <w:vAlign w:val="center"/>
          </w:tcPr>
          <w:p w14:paraId="76CFD8BE">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64C00F6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12 </w:t>
            </w:r>
          </w:p>
        </w:tc>
        <w:tc>
          <w:tcPr>
            <w:tcW w:w="924" w:type="dxa"/>
            <w:tcBorders>
              <w:top w:val="nil"/>
              <w:left w:val="nil"/>
              <w:bottom w:val="single" w:color="auto" w:sz="4" w:space="0"/>
              <w:right w:val="single" w:color="auto" w:sz="4" w:space="0"/>
            </w:tcBorders>
            <w:shd w:val="clear" w:color="auto" w:fill="auto"/>
            <w:noWrap/>
            <w:vAlign w:val="center"/>
          </w:tcPr>
          <w:p w14:paraId="431BC1CC">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5FA5E85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3551405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2DD1F0C1">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299F4075">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03E3D5D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39EA5B2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76" w:type="dxa"/>
            <w:tcBorders>
              <w:top w:val="nil"/>
              <w:left w:val="nil"/>
              <w:bottom w:val="single" w:color="auto" w:sz="4" w:space="0"/>
              <w:right w:val="single" w:color="auto" w:sz="4" w:space="0"/>
            </w:tcBorders>
            <w:shd w:val="clear" w:color="auto" w:fill="auto"/>
            <w:noWrap/>
            <w:vAlign w:val="center"/>
          </w:tcPr>
          <w:p w14:paraId="4BB9026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1.5000 </w:t>
            </w:r>
          </w:p>
        </w:tc>
        <w:tc>
          <w:tcPr>
            <w:tcW w:w="937" w:type="dxa"/>
            <w:tcBorders>
              <w:top w:val="nil"/>
              <w:left w:val="nil"/>
              <w:bottom w:val="single" w:color="auto" w:sz="4" w:space="0"/>
              <w:right w:val="single" w:color="auto" w:sz="4" w:space="0"/>
            </w:tcBorders>
            <w:shd w:val="clear" w:color="auto" w:fill="auto"/>
            <w:noWrap/>
            <w:vAlign w:val="center"/>
          </w:tcPr>
          <w:p w14:paraId="2BD6FA3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1.5000 </w:t>
            </w:r>
          </w:p>
        </w:tc>
      </w:tr>
      <w:tr w14:paraId="50FE2934">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auto" w:sz="4" w:space="0"/>
              <w:right w:val="single" w:color="auto" w:sz="4" w:space="0"/>
            </w:tcBorders>
            <w:vAlign w:val="center"/>
          </w:tcPr>
          <w:p w14:paraId="5D07C52B">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008049C5">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附表3-2</w:t>
            </w:r>
          </w:p>
        </w:tc>
        <w:tc>
          <w:tcPr>
            <w:tcW w:w="3517" w:type="dxa"/>
            <w:tcBorders>
              <w:top w:val="nil"/>
              <w:left w:val="nil"/>
              <w:bottom w:val="single" w:color="auto" w:sz="4" w:space="0"/>
              <w:right w:val="single" w:color="auto" w:sz="4" w:space="0"/>
            </w:tcBorders>
            <w:shd w:val="clear" w:color="auto" w:fill="auto"/>
            <w:vAlign w:val="center"/>
          </w:tcPr>
          <w:p w14:paraId="7C2F30DA">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重点河湖生态治理与修复项目表</w:t>
            </w:r>
          </w:p>
        </w:tc>
        <w:tc>
          <w:tcPr>
            <w:tcW w:w="945" w:type="dxa"/>
            <w:tcBorders>
              <w:top w:val="nil"/>
              <w:left w:val="nil"/>
              <w:bottom w:val="single" w:color="auto" w:sz="4" w:space="0"/>
              <w:right w:val="single" w:color="auto" w:sz="4" w:space="0"/>
            </w:tcBorders>
            <w:shd w:val="clear" w:color="auto" w:fill="auto"/>
            <w:noWrap/>
            <w:vAlign w:val="center"/>
          </w:tcPr>
          <w:p w14:paraId="2F7936D0">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713C231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4 </w:t>
            </w:r>
          </w:p>
        </w:tc>
        <w:tc>
          <w:tcPr>
            <w:tcW w:w="924" w:type="dxa"/>
            <w:tcBorders>
              <w:top w:val="nil"/>
              <w:left w:val="nil"/>
              <w:bottom w:val="single" w:color="auto" w:sz="4" w:space="0"/>
              <w:right w:val="single" w:color="auto" w:sz="4" w:space="0"/>
            </w:tcBorders>
            <w:shd w:val="clear" w:color="auto" w:fill="auto"/>
            <w:noWrap/>
            <w:vAlign w:val="center"/>
          </w:tcPr>
          <w:p w14:paraId="324122CD">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6A42B7DD">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0B5B47EC">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57DA605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7F4598F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625B01C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288C93AE">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76" w:type="dxa"/>
            <w:tcBorders>
              <w:top w:val="nil"/>
              <w:left w:val="nil"/>
              <w:bottom w:val="single" w:color="auto" w:sz="4" w:space="0"/>
              <w:right w:val="single" w:color="auto" w:sz="4" w:space="0"/>
            </w:tcBorders>
            <w:shd w:val="clear" w:color="auto" w:fill="auto"/>
            <w:noWrap/>
            <w:vAlign w:val="center"/>
          </w:tcPr>
          <w:p w14:paraId="538175A3">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8.1410 </w:t>
            </w:r>
          </w:p>
        </w:tc>
        <w:tc>
          <w:tcPr>
            <w:tcW w:w="937" w:type="dxa"/>
            <w:tcBorders>
              <w:top w:val="nil"/>
              <w:left w:val="nil"/>
              <w:bottom w:val="single" w:color="auto" w:sz="4" w:space="0"/>
              <w:right w:val="single" w:color="auto" w:sz="4" w:space="0"/>
            </w:tcBorders>
            <w:shd w:val="clear" w:color="auto" w:fill="auto"/>
            <w:noWrap/>
            <w:vAlign w:val="center"/>
          </w:tcPr>
          <w:p w14:paraId="514365E3">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8.1410 </w:t>
            </w:r>
          </w:p>
        </w:tc>
      </w:tr>
      <w:tr w14:paraId="5FEEEEEC">
        <w:tblPrEx>
          <w:tblCellMar>
            <w:top w:w="0" w:type="dxa"/>
            <w:left w:w="0" w:type="dxa"/>
            <w:bottom w:w="0" w:type="dxa"/>
            <w:right w:w="0" w:type="dxa"/>
          </w:tblCellMar>
        </w:tblPrEx>
        <w:trPr>
          <w:trHeight w:val="57" w:hRule="atLeast"/>
        </w:trPr>
        <w:tc>
          <w:tcPr>
            <w:tcW w:w="520" w:type="dxa"/>
            <w:vMerge w:val="continue"/>
            <w:tcBorders>
              <w:top w:val="nil"/>
              <w:left w:val="single" w:color="auto" w:sz="4" w:space="0"/>
              <w:bottom w:val="single" w:color="auto" w:sz="4" w:space="0"/>
              <w:right w:val="single" w:color="auto" w:sz="4" w:space="0"/>
            </w:tcBorders>
            <w:vAlign w:val="center"/>
          </w:tcPr>
          <w:p w14:paraId="0C98E506">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966" w:type="dxa"/>
            <w:tcBorders>
              <w:top w:val="nil"/>
              <w:left w:val="nil"/>
              <w:bottom w:val="single" w:color="auto" w:sz="4" w:space="0"/>
              <w:right w:val="single" w:color="auto" w:sz="4" w:space="0"/>
            </w:tcBorders>
            <w:shd w:val="clear" w:color="auto" w:fill="auto"/>
            <w:noWrap/>
            <w:vAlign w:val="center"/>
          </w:tcPr>
          <w:p w14:paraId="59A2A268">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附表3-3</w:t>
            </w:r>
          </w:p>
        </w:tc>
        <w:tc>
          <w:tcPr>
            <w:tcW w:w="3517" w:type="dxa"/>
            <w:tcBorders>
              <w:top w:val="nil"/>
              <w:left w:val="nil"/>
              <w:bottom w:val="single" w:color="auto" w:sz="4" w:space="0"/>
              <w:right w:val="single" w:color="auto" w:sz="4" w:space="0"/>
            </w:tcBorders>
            <w:shd w:val="clear" w:color="auto" w:fill="auto"/>
            <w:vAlign w:val="center"/>
          </w:tcPr>
          <w:p w14:paraId="39855A21">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水系连通及农村水系综合整治</w:t>
            </w:r>
          </w:p>
        </w:tc>
        <w:tc>
          <w:tcPr>
            <w:tcW w:w="945" w:type="dxa"/>
            <w:tcBorders>
              <w:top w:val="nil"/>
              <w:left w:val="nil"/>
              <w:bottom w:val="single" w:color="auto" w:sz="4" w:space="0"/>
              <w:right w:val="single" w:color="auto" w:sz="4" w:space="0"/>
            </w:tcBorders>
            <w:shd w:val="clear" w:color="auto" w:fill="auto"/>
            <w:noWrap/>
            <w:vAlign w:val="center"/>
          </w:tcPr>
          <w:p w14:paraId="083E732C">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2F8E5B1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7 </w:t>
            </w:r>
          </w:p>
        </w:tc>
        <w:tc>
          <w:tcPr>
            <w:tcW w:w="924" w:type="dxa"/>
            <w:tcBorders>
              <w:top w:val="nil"/>
              <w:left w:val="nil"/>
              <w:bottom w:val="single" w:color="auto" w:sz="4" w:space="0"/>
              <w:right w:val="single" w:color="auto" w:sz="4" w:space="0"/>
            </w:tcBorders>
            <w:shd w:val="clear" w:color="auto" w:fill="auto"/>
            <w:noWrap/>
            <w:vAlign w:val="center"/>
          </w:tcPr>
          <w:p w14:paraId="64FC80B2">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237E66ED">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5A8EC89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7743DA20">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601AB1EC">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2D812F4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5EE9EB12">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76" w:type="dxa"/>
            <w:tcBorders>
              <w:top w:val="nil"/>
              <w:left w:val="nil"/>
              <w:bottom w:val="single" w:color="auto" w:sz="4" w:space="0"/>
              <w:right w:val="single" w:color="auto" w:sz="4" w:space="0"/>
            </w:tcBorders>
            <w:shd w:val="clear" w:color="auto" w:fill="auto"/>
            <w:noWrap/>
            <w:vAlign w:val="center"/>
          </w:tcPr>
          <w:p w14:paraId="416C5FB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2.6900 </w:t>
            </w:r>
          </w:p>
        </w:tc>
        <w:tc>
          <w:tcPr>
            <w:tcW w:w="937" w:type="dxa"/>
            <w:tcBorders>
              <w:top w:val="nil"/>
              <w:left w:val="nil"/>
              <w:bottom w:val="single" w:color="auto" w:sz="4" w:space="0"/>
              <w:right w:val="single" w:color="auto" w:sz="4" w:space="0"/>
            </w:tcBorders>
            <w:shd w:val="clear" w:color="auto" w:fill="auto"/>
            <w:noWrap/>
            <w:vAlign w:val="center"/>
          </w:tcPr>
          <w:p w14:paraId="1F492129">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2.6900 </w:t>
            </w:r>
          </w:p>
        </w:tc>
      </w:tr>
      <w:tr w14:paraId="6B28134B">
        <w:tblPrEx>
          <w:tblCellMar>
            <w:top w:w="0" w:type="dxa"/>
            <w:left w:w="0" w:type="dxa"/>
            <w:bottom w:w="0" w:type="dxa"/>
            <w:right w:w="0" w:type="dxa"/>
          </w:tblCellMar>
        </w:tblPrEx>
        <w:trPr>
          <w:trHeight w:val="57"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036E1E7D">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信息化</w:t>
            </w:r>
          </w:p>
        </w:tc>
        <w:tc>
          <w:tcPr>
            <w:tcW w:w="966" w:type="dxa"/>
            <w:tcBorders>
              <w:top w:val="nil"/>
              <w:left w:val="nil"/>
              <w:bottom w:val="single" w:color="auto" w:sz="4" w:space="0"/>
              <w:right w:val="single" w:color="auto" w:sz="4" w:space="0"/>
            </w:tcBorders>
            <w:shd w:val="clear" w:color="auto" w:fill="auto"/>
            <w:noWrap/>
            <w:vAlign w:val="center"/>
          </w:tcPr>
          <w:p w14:paraId="0CE84924">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附表5</w:t>
            </w:r>
          </w:p>
        </w:tc>
        <w:tc>
          <w:tcPr>
            <w:tcW w:w="3517" w:type="dxa"/>
            <w:tcBorders>
              <w:top w:val="nil"/>
              <w:left w:val="nil"/>
              <w:bottom w:val="single" w:color="auto" w:sz="4" w:space="0"/>
              <w:right w:val="single" w:color="auto" w:sz="4" w:space="0"/>
            </w:tcBorders>
            <w:shd w:val="clear" w:color="auto" w:fill="auto"/>
            <w:vAlign w:val="center"/>
          </w:tcPr>
          <w:p w14:paraId="3D6DCC34">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水利信息化建设项目表</w:t>
            </w:r>
          </w:p>
        </w:tc>
        <w:tc>
          <w:tcPr>
            <w:tcW w:w="945" w:type="dxa"/>
            <w:tcBorders>
              <w:top w:val="nil"/>
              <w:left w:val="nil"/>
              <w:bottom w:val="single" w:color="auto" w:sz="4" w:space="0"/>
              <w:right w:val="single" w:color="auto" w:sz="4" w:space="0"/>
            </w:tcBorders>
            <w:shd w:val="clear" w:color="auto" w:fill="auto"/>
            <w:noWrap/>
            <w:vAlign w:val="center"/>
          </w:tcPr>
          <w:p w14:paraId="4803BDEB">
            <w:pPr>
              <w:widowControl/>
              <w:adjustRightInd/>
              <w:snapToGrid/>
              <w:spacing w:line="240" w:lineRule="auto"/>
              <w:ind w:firstLine="0" w:firstLineChars="0"/>
              <w:jc w:val="left"/>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55D7109D">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7 </w:t>
            </w:r>
          </w:p>
        </w:tc>
        <w:tc>
          <w:tcPr>
            <w:tcW w:w="924" w:type="dxa"/>
            <w:tcBorders>
              <w:top w:val="nil"/>
              <w:left w:val="nil"/>
              <w:bottom w:val="single" w:color="auto" w:sz="4" w:space="0"/>
              <w:right w:val="single" w:color="auto" w:sz="4" w:space="0"/>
            </w:tcBorders>
            <w:shd w:val="clear" w:color="auto" w:fill="auto"/>
            <w:noWrap/>
            <w:vAlign w:val="center"/>
          </w:tcPr>
          <w:p w14:paraId="194B43D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3" w:type="dxa"/>
            <w:tcBorders>
              <w:top w:val="nil"/>
              <w:left w:val="nil"/>
              <w:bottom w:val="single" w:color="auto" w:sz="4" w:space="0"/>
              <w:right w:val="single" w:color="auto" w:sz="4" w:space="0"/>
            </w:tcBorders>
            <w:shd w:val="clear" w:color="auto" w:fill="auto"/>
            <w:noWrap/>
            <w:vAlign w:val="center"/>
          </w:tcPr>
          <w:p w14:paraId="0D4A6B1A">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1002" w:type="dxa"/>
            <w:tcBorders>
              <w:top w:val="nil"/>
              <w:left w:val="nil"/>
              <w:bottom w:val="single" w:color="auto" w:sz="4" w:space="0"/>
              <w:right w:val="single" w:color="auto" w:sz="4" w:space="0"/>
            </w:tcBorders>
            <w:shd w:val="clear" w:color="auto" w:fill="auto"/>
            <w:noWrap/>
            <w:vAlign w:val="center"/>
          </w:tcPr>
          <w:p w14:paraId="0C53282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17" w:type="dxa"/>
            <w:tcBorders>
              <w:top w:val="nil"/>
              <w:left w:val="nil"/>
              <w:bottom w:val="single" w:color="auto" w:sz="4" w:space="0"/>
              <w:right w:val="single" w:color="auto" w:sz="4" w:space="0"/>
            </w:tcBorders>
            <w:shd w:val="clear" w:color="auto" w:fill="auto"/>
            <w:noWrap/>
            <w:vAlign w:val="center"/>
          </w:tcPr>
          <w:p w14:paraId="6D6C8CD6">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782" w:type="dxa"/>
            <w:tcBorders>
              <w:top w:val="nil"/>
              <w:left w:val="nil"/>
              <w:bottom w:val="single" w:color="auto" w:sz="4" w:space="0"/>
              <w:right w:val="single" w:color="auto" w:sz="4" w:space="0"/>
            </w:tcBorders>
            <w:shd w:val="clear" w:color="auto" w:fill="auto"/>
            <w:noWrap/>
            <w:vAlign w:val="center"/>
          </w:tcPr>
          <w:p w14:paraId="3CEE7924">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895" w:type="dxa"/>
            <w:tcBorders>
              <w:top w:val="nil"/>
              <w:left w:val="nil"/>
              <w:bottom w:val="single" w:color="auto" w:sz="4" w:space="0"/>
              <w:right w:val="single" w:color="auto" w:sz="4" w:space="0"/>
            </w:tcBorders>
            <w:shd w:val="clear" w:color="auto" w:fill="auto"/>
            <w:noWrap/>
            <w:vAlign w:val="center"/>
          </w:tcPr>
          <w:p w14:paraId="179950E1">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39" w:type="dxa"/>
            <w:tcBorders>
              <w:top w:val="nil"/>
              <w:left w:val="nil"/>
              <w:bottom w:val="single" w:color="auto" w:sz="4" w:space="0"/>
              <w:right w:val="single" w:color="auto" w:sz="4" w:space="0"/>
            </w:tcBorders>
            <w:shd w:val="clear" w:color="auto" w:fill="auto"/>
            <w:noWrap/>
            <w:vAlign w:val="center"/>
          </w:tcPr>
          <w:p w14:paraId="0E3C98B3">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w:t>
            </w:r>
          </w:p>
        </w:tc>
        <w:tc>
          <w:tcPr>
            <w:tcW w:w="976" w:type="dxa"/>
            <w:tcBorders>
              <w:top w:val="nil"/>
              <w:left w:val="nil"/>
              <w:bottom w:val="single" w:color="auto" w:sz="4" w:space="0"/>
              <w:right w:val="single" w:color="auto" w:sz="4" w:space="0"/>
            </w:tcBorders>
            <w:shd w:val="clear" w:color="auto" w:fill="auto"/>
            <w:noWrap/>
            <w:vAlign w:val="center"/>
          </w:tcPr>
          <w:p w14:paraId="7222CC0B">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8.3568 </w:t>
            </w:r>
          </w:p>
        </w:tc>
        <w:tc>
          <w:tcPr>
            <w:tcW w:w="937" w:type="dxa"/>
            <w:tcBorders>
              <w:top w:val="nil"/>
              <w:left w:val="nil"/>
              <w:bottom w:val="single" w:color="auto" w:sz="4" w:space="0"/>
              <w:right w:val="single" w:color="auto" w:sz="4" w:space="0"/>
            </w:tcBorders>
            <w:shd w:val="clear" w:color="auto" w:fill="auto"/>
            <w:noWrap/>
            <w:vAlign w:val="center"/>
          </w:tcPr>
          <w:p w14:paraId="66B74E87">
            <w:pPr>
              <w:widowControl/>
              <w:adjustRightInd/>
              <w:snapToGrid/>
              <w:spacing w:line="240" w:lineRule="auto"/>
              <w:ind w:firstLine="0" w:firstLineChars="0"/>
              <w:jc w:val="center"/>
              <w:rPr>
                <w:rFonts w:eastAsia="宋体" w:cs="宋体"/>
                <w:color w:val="000000" w:themeColor="text1"/>
                <w:kern w:val="0"/>
                <w:sz w:val="21"/>
                <w:szCs w:val="21"/>
                <w14:textFill>
                  <w14:solidFill>
                    <w14:schemeClr w14:val="tx1"/>
                  </w14:solidFill>
                </w14:textFill>
              </w:rPr>
            </w:pPr>
            <w:r>
              <w:rPr>
                <w:rFonts w:eastAsia="宋体" w:cs="宋体"/>
                <w:color w:val="000000" w:themeColor="text1"/>
                <w:kern w:val="0"/>
                <w:sz w:val="21"/>
                <w:szCs w:val="21"/>
                <w14:textFill>
                  <w14:solidFill>
                    <w14:schemeClr w14:val="tx1"/>
                  </w14:solidFill>
                </w14:textFill>
              </w:rPr>
              <w:t xml:space="preserve">8.3568 </w:t>
            </w:r>
          </w:p>
        </w:tc>
      </w:tr>
      <w:tr w14:paraId="6E382019">
        <w:tblPrEx>
          <w:tblCellMar>
            <w:top w:w="0" w:type="dxa"/>
            <w:left w:w="0" w:type="dxa"/>
            <w:bottom w:w="0" w:type="dxa"/>
            <w:right w:w="0" w:type="dxa"/>
          </w:tblCellMar>
        </w:tblPrEx>
        <w:trPr>
          <w:trHeight w:val="57" w:hRule="atLeast"/>
        </w:trPr>
        <w:tc>
          <w:tcPr>
            <w:tcW w:w="50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57D07A">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易门县合计</w:t>
            </w:r>
          </w:p>
        </w:tc>
        <w:tc>
          <w:tcPr>
            <w:tcW w:w="945" w:type="dxa"/>
            <w:tcBorders>
              <w:top w:val="nil"/>
              <w:left w:val="nil"/>
              <w:bottom w:val="single" w:color="auto" w:sz="4" w:space="0"/>
              <w:right w:val="single" w:color="auto" w:sz="4" w:space="0"/>
            </w:tcBorders>
            <w:shd w:val="clear" w:color="auto" w:fill="auto"/>
            <w:noWrap/>
            <w:vAlign w:val="bottom"/>
          </w:tcPr>
          <w:p w14:paraId="31BC2BC5">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　</w:t>
            </w:r>
          </w:p>
        </w:tc>
        <w:tc>
          <w:tcPr>
            <w:tcW w:w="710" w:type="dxa"/>
            <w:tcBorders>
              <w:top w:val="nil"/>
              <w:left w:val="nil"/>
              <w:bottom w:val="single" w:color="auto" w:sz="4" w:space="0"/>
              <w:right w:val="single" w:color="auto" w:sz="4" w:space="0"/>
            </w:tcBorders>
            <w:shd w:val="clear" w:color="auto" w:fill="auto"/>
            <w:noWrap/>
            <w:vAlign w:val="center"/>
          </w:tcPr>
          <w:p w14:paraId="4ECBAA8F">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 xml:space="preserve">312 </w:t>
            </w:r>
          </w:p>
        </w:tc>
        <w:tc>
          <w:tcPr>
            <w:tcW w:w="924" w:type="dxa"/>
            <w:tcBorders>
              <w:top w:val="nil"/>
              <w:left w:val="nil"/>
              <w:bottom w:val="single" w:color="auto" w:sz="4" w:space="0"/>
              <w:right w:val="single" w:color="auto" w:sz="4" w:space="0"/>
            </w:tcBorders>
            <w:shd w:val="clear" w:color="auto" w:fill="auto"/>
            <w:noWrap/>
            <w:vAlign w:val="center"/>
          </w:tcPr>
          <w:p w14:paraId="308ACFCF">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 xml:space="preserve">17681.3 </w:t>
            </w:r>
          </w:p>
        </w:tc>
        <w:tc>
          <w:tcPr>
            <w:tcW w:w="933" w:type="dxa"/>
            <w:tcBorders>
              <w:top w:val="nil"/>
              <w:left w:val="nil"/>
              <w:bottom w:val="single" w:color="auto" w:sz="4" w:space="0"/>
              <w:right w:val="single" w:color="auto" w:sz="4" w:space="0"/>
            </w:tcBorders>
            <w:shd w:val="clear" w:color="auto" w:fill="auto"/>
            <w:noWrap/>
            <w:vAlign w:val="center"/>
          </w:tcPr>
          <w:p w14:paraId="5D43B581">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 xml:space="preserve">11584.6 </w:t>
            </w:r>
          </w:p>
        </w:tc>
        <w:tc>
          <w:tcPr>
            <w:tcW w:w="1002" w:type="dxa"/>
            <w:tcBorders>
              <w:top w:val="nil"/>
              <w:left w:val="nil"/>
              <w:bottom w:val="single" w:color="auto" w:sz="4" w:space="0"/>
              <w:right w:val="single" w:color="auto" w:sz="4" w:space="0"/>
            </w:tcBorders>
            <w:shd w:val="clear" w:color="auto" w:fill="auto"/>
            <w:noWrap/>
            <w:vAlign w:val="center"/>
          </w:tcPr>
          <w:p w14:paraId="1C42C55B">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 xml:space="preserve">12384.3 </w:t>
            </w:r>
          </w:p>
        </w:tc>
        <w:tc>
          <w:tcPr>
            <w:tcW w:w="817" w:type="dxa"/>
            <w:tcBorders>
              <w:top w:val="nil"/>
              <w:left w:val="nil"/>
              <w:bottom w:val="single" w:color="auto" w:sz="4" w:space="0"/>
              <w:right w:val="single" w:color="auto" w:sz="4" w:space="0"/>
            </w:tcBorders>
            <w:shd w:val="clear" w:color="auto" w:fill="auto"/>
            <w:noWrap/>
            <w:vAlign w:val="center"/>
          </w:tcPr>
          <w:p w14:paraId="08266C83">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 xml:space="preserve">150.6 </w:t>
            </w:r>
          </w:p>
        </w:tc>
        <w:tc>
          <w:tcPr>
            <w:tcW w:w="782" w:type="dxa"/>
            <w:tcBorders>
              <w:top w:val="nil"/>
              <w:left w:val="nil"/>
              <w:bottom w:val="single" w:color="auto" w:sz="4" w:space="0"/>
              <w:right w:val="single" w:color="auto" w:sz="4" w:space="0"/>
            </w:tcBorders>
            <w:shd w:val="clear" w:color="auto" w:fill="auto"/>
            <w:noWrap/>
            <w:vAlign w:val="center"/>
          </w:tcPr>
          <w:p w14:paraId="031E5163">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 xml:space="preserve">58.4 </w:t>
            </w:r>
          </w:p>
        </w:tc>
        <w:tc>
          <w:tcPr>
            <w:tcW w:w="895" w:type="dxa"/>
            <w:tcBorders>
              <w:top w:val="nil"/>
              <w:left w:val="nil"/>
              <w:bottom w:val="single" w:color="auto" w:sz="4" w:space="0"/>
              <w:right w:val="single" w:color="auto" w:sz="4" w:space="0"/>
            </w:tcBorders>
            <w:shd w:val="clear" w:color="auto" w:fill="auto"/>
            <w:noWrap/>
            <w:vAlign w:val="center"/>
          </w:tcPr>
          <w:p w14:paraId="62B5DA63">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 xml:space="preserve">4.0 </w:t>
            </w:r>
          </w:p>
        </w:tc>
        <w:tc>
          <w:tcPr>
            <w:tcW w:w="939" w:type="dxa"/>
            <w:tcBorders>
              <w:top w:val="nil"/>
              <w:left w:val="nil"/>
              <w:bottom w:val="single" w:color="auto" w:sz="4" w:space="0"/>
              <w:right w:val="single" w:color="auto" w:sz="4" w:space="0"/>
            </w:tcBorders>
            <w:shd w:val="clear" w:color="auto" w:fill="auto"/>
            <w:noWrap/>
            <w:vAlign w:val="center"/>
          </w:tcPr>
          <w:p w14:paraId="7747D825">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 xml:space="preserve">41.4 </w:t>
            </w:r>
          </w:p>
        </w:tc>
        <w:tc>
          <w:tcPr>
            <w:tcW w:w="976" w:type="dxa"/>
            <w:tcBorders>
              <w:top w:val="nil"/>
              <w:left w:val="nil"/>
              <w:bottom w:val="single" w:color="auto" w:sz="4" w:space="0"/>
              <w:right w:val="single" w:color="auto" w:sz="4" w:space="0"/>
            </w:tcBorders>
            <w:shd w:val="clear" w:color="auto" w:fill="auto"/>
            <w:noWrap/>
            <w:vAlign w:val="center"/>
          </w:tcPr>
          <w:p w14:paraId="4E0A5427">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 xml:space="preserve">64.1557 </w:t>
            </w:r>
          </w:p>
        </w:tc>
        <w:tc>
          <w:tcPr>
            <w:tcW w:w="937" w:type="dxa"/>
            <w:tcBorders>
              <w:top w:val="nil"/>
              <w:left w:val="nil"/>
              <w:bottom w:val="single" w:color="auto" w:sz="4" w:space="0"/>
              <w:right w:val="single" w:color="auto" w:sz="4" w:space="0"/>
            </w:tcBorders>
            <w:shd w:val="clear" w:color="auto" w:fill="auto"/>
            <w:noWrap/>
            <w:vAlign w:val="center"/>
          </w:tcPr>
          <w:p w14:paraId="08205542">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 xml:space="preserve">64.1557 </w:t>
            </w:r>
          </w:p>
        </w:tc>
      </w:tr>
    </w:tbl>
    <w:p w14:paraId="4473EE3B">
      <w:pPr>
        <w:ind w:firstLine="720"/>
        <w:rPr>
          <w:rFonts w:cs="黑体"/>
          <w:color w:val="000000" w:themeColor="text1"/>
          <w:sz w:val="36"/>
          <w:szCs w:val="36"/>
          <w14:textFill>
            <w14:solidFill>
              <w14:schemeClr w14:val="tx1"/>
            </w14:solidFill>
          </w14:textFill>
        </w:rPr>
        <w:sectPr>
          <w:pgSz w:w="16838" w:h="11906" w:orient="landscape"/>
          <w:pgMar w:top="1134" w:right="851" w:bottom="1134" w:left="1134" w:header="851" w:footer="680" w:gutter="0"/>
          <w:pgNumType w:fmt="numberInDash"/>
          <w:cols w:space="425" w:num="1"/>
          <w:docGrid w:linePitch="381" w:charSpace="0"/>
        </w:sectPr>
      </w:pPr>
    </w:p>
    <w:p w14:paraId="754B0089">
      <w:pPr>
        <w:pStyle w:val="45"/>
        <w:rPr>
          <w:color w:val="000000" w:themeColor="text1"/>
          <w14:textFill>
            <w14:solidFill>
              <w14:schemeClr w14:val="tx1"/>
            </w14:solidFill>
          </w14:textFill>
        </w:rPr>
      </w:pPr>
      <w:r>
        <w:rPr>
          <w:color w:val="000000" w:themeColor="text1"/>
          <w14:textFill>
            <w14:solidFill>
              <w14:schemeClr w14:val="tx1"/>
            </w14:solidFill>
          </w14:textFill>
        </w:rPr>
        <w:t>分年度投资计划</w:t>
      </w:r>
    </w:p>
    <w:p w14:paraId="7C7F05CB">
      <w:pPr>
        <w:ind w:firstLine="640"/>
        <w:rPr>
          <w:color w:val="000000" w:themeColor="text1"/>
          <w14:textFill>
            <w14:solidFill>
              <w14:schemeClr w14:val="tx1"/>
            </w14:solidFill>
          </w14:textFill>
        </w:rPr>
      </w:pPr>
      <w:r>
        <w:rPr>
          <w:color w:val="000000" w:themeColor="text1"/>
          <w14:textFill>
            <w14:solidFill>
              <w14:schemeClr w14:val="tx1"/>
            </w14:solidFill>
          </w14:textFill>
        </w:rPr>
        <w:t>易门县</w:t>
      </w:r>
      <w:r>
        <w:rPr>
          <w:rFonts w:hint="eastAsia"/>
          <w:color w:val="000000" w:themeColor="text1"/>
          <w:lang w:eastAsia="zh-CN"/>
          <w14:textFill>
            <w14:solidFill>
              <w14:schemeClr w14:val="tx1"/>
            </w14:solidFill>
          </w14:textFill>
        </w:rPr>
        <w:t>“十四五”</w:t>
      </w:r>
      <w:r>
        <w:rPr>
          <w:color w:val="000000" w:themeColor="text1"/>
          <w14:textFill>
            <w14:solidFill>
              <w14:schemeClr w14:val="tx1"/>
            </w14:solidFill>
          </w14:textFill>
        </w:rPr>
        <w:t>水安全保障规划312件项目，包含 “防洪、供水、水生态、信息化” 四大板块内容，工程总投资约64.1557亿元。</w:t>
      </w:r>
    </w:p>
    <w:p w14:paraId="6D4A5F3D">
      <w:pPr>
        <w:ind w:firstLine="640"/>
        <w:jc w:val="left"/>
        <w:rPr>
          <w:color w:val="000000" w:themeColor="text1"/>
          <w14:textFill>
            <w14:solidFill>
              <w14:schemeClr w14:val="tx1"/>
            </w14:solidFill>
          </w14:textFill>
        </w:rPr>
        <w:sectPr>
          <w:pgSz w:w="11906" w:h="16838"/>
          <w:pgMar w:top="1418" w:right="1304" w:bottom="1418" w:left="1304" w:header="851" w:footer="680" w:gutter="0"/>
          <w:pgNumType w:fmt="numberInDash"/>
          <w:cols w:space="425" w:num="1"/>
          <w:docGrid w:linePitch="381" w:charSpace="0"/>
        </w:sectPr>
      </w:pPr>
      <w:r>
        <w:rPr>
          <w:color w:val="000000" w:themeColor="text1"/>
          <w14:textFill>
            <w14:solidFill>
              <w14:schemeClr w14:val="tx1"/>
            </w14:solidFill>
          </w14:textFill>
        </w:rPr>
        <w:t>结合易门实际情况，将易门县</w:t>
      </w:r>
      <w:r>
        <w:rPr>
          <w:rFonts w:hint="eastAsia"/>
          <w:color w:val="000000" w:themeColor="text1"/>
          <w:lang w:eastAsia="zh-CN"/>
          <w14:textFill>
            <w14:solidFill>
              <w14:schemeClr w14:val="tx1"/>
            </w14:solidFill>
          </w14:textFill>
        </w:rPr>
        <w:t>“十四五”</w:t>
      </w:r>
      <w:r>
        <w:rPr>
          <w:color w:val="000000" w:themeColor="text1"/>
          <w14:textFill>
            <w14:solidFill>
              <w14:schemeClr w14:val="tx1"/>
            </w14:solidFill>
          </w14:textFill>
        </w:rPr>
        <w:t>水安全保障规划312件项目按照时间节点分年度投资计划，其中2020～2021年计划79件，完成14.7283亿元、2022～2023年计划161件，完成25.0848亿元、2024～2025年计划72件，完成24.3326亿元。详见下表13-2。</w:t>
      </w:r>
    </w:p>
    <w:p w14:paraId="7FF39C0F">
      <w:pPr>
        <w:pStyle w:val="51"/>
        <w:rPr>
          <w:color w:val="000000" w:themeColor="text1"/>
          <w14:textFill>
            <w14:solidFill>
              <w14:schemeClr w14:val="tx1"/>
            </w14:solidFill>
          </w14:textFill>
        </w:rPr>
      </w:pPr>
      <w:r>
        <w:rPr>
          <w:color w:val="000000" w:themeColor="text1"/>
          <w14:textFill>
            <w14:solidFill>
              <w14:schemeClr w14:val="tx1"/>
            </w14:solidFill>
          </w14:textFill>
        </w:rPr>
        <w:t>表13-2               易门县“十四五”水安全保障规划分年度投资计划表</w:t>
      </w:r>
    </w:p>
    <w:tbl>
      <w:tblPr>
        <w:tblStyle w:val="24"/>
        <w:tblW w:w="14043" w:type="dxa"/>
        <w:tblInd w:w="-5" w:type="dxa"/>
        <w:tblLayout w:type="fixed"/>
        <w:tblCellMar>
          <w:top w:w="0" w:type="dxa"/>
          <w:left w:w="0" w:type="dxa"/>
          <w:bottom w:w="0" w:type="dxa"/>
          <w:right w:w="0" w:type="dxa"/>
        </w:tblCellMar>
      </w:tblPr>
      <w:tblGrid>
        <w:gridCol w:w="873"/>
        <w:gridCol w:w="873"/>
        <w:gridCol w:w="1446"/>
        <w:gridCol w:w="1702"/>
        <w:gridCol w:w="1430"/>
        <w:gridCol w:w="1396"/>
        <w:gridCol w:w="1584"/>
        <w:gridCol w:w="1292"/>
        <w:gridCol w:w="1359"/>
        <w:gridCol w:w="1346"/>
        <w:gridCol w:w="742"/>
      </w:tblGrid>
      <w:tr w14:paraId="7223236B">
        <w:tblPrEx>
          <w:tblCellMar>
            <w:top w:w="0" w:type="dxa"/>
            <w:left w:w="0" w:type="dxa"/>
            <w:bottom w:w="0" w:type="dxa"/>
            <w:right w:w="0" w:type="dxa"/>
          </w:tblCellMar>
        </w:tblPrEx>
        <w:trPr>
          <w:trHeight w:val="642" w:hRule="atLeast"/>
          <w:tblHeader/>
        </w:trPr>
        <w:tc>
          <w:tcPr>
            <w:tcW w:w="8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640C8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行业类别</w:t>
            </w:r>
          </w:p>
        </w:tc>
        <w:tc>
          <w:tcPr>
            <w:tcW w:w="87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5F8EA">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工程件数</w:t>
            </w:r>
          </w:p>
        </w:tc>
        <w:tc>
          <w:tcPr>
            <w:tcW w:w="14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F06C7">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项目名称</w:t>
            </w:r>
          </w:p>
        </w:tc>
        <w:tc>
          <w:tcPr>
            <w:tcW w:w="170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A22AA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建设规模和内容</w:t>
            </w:r>
          </w:p>
        </w:tc>
        <w:tc>
          <w:tcPr>
            <w:tcW w:w="143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485C4">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建设地点</w:t>
            </w:r>
          </w:p>
        </w:tc>
        <w:tc>
          <w:tcPr>
            <w:tcW w:w="139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F92AA">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预计开工时间</w:t>
            </w:r>
          </w:p>
        </w:tc>
        <w:tc>
          <w:tcPr>
            <w:tcW w:w="158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8350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总投资</w:t>
            </w:r>
          </w:p>
        </w:tc>
        <w:tc>
          <w:tcPr>
            <w:tcW w:w="129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BDE8A">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2020-2021</w:t>
            </w:r>
          </w:p>
        </w:tc>
        <w:tc>
          <w:tcPr>
            <w:tcW w:w="135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6B808">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2022-2023</w:t>
            </w:r>
          </w:p>
        </w:tc>
        <w:tc>
          <w:tcPr>
            <w:tcW w:w="13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A7948">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2024-2025</w:t>
            </w:r>
          </w:p>
        </w:tc>
        <w:tc>
          <w:tcPr>
            <w:tcW w:w="74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E040D">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备注</w:t>
            </w:r>
          </w:p>
        </w:tc>
      </w:tr>
      <w:tr w14:paraId="037E40F7">
        <w:tblPrEx>
          <w:tblCellMar>
            <w:top w:w="0" w:type="dxa"/>
            <w:left w:w="0" w:type="dxa"/>
            <w:bottom w:w="0" w:type="dxa"/>
            <w:right w:w="0" w:type="dxa"/>
          </w:tblCellMar>
        </w:tblPrEx>
        <w:trPr>
          <w:trHeight w:val="285" w:hRule="atLeast"/>
        </w:trPr>
        <w:tc>
          <w:tcPr>
            <w:tcW w:w="87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D514FB">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合计</w:t>
            </w: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3D00C5">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312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7AF65C">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DB694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39964F">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51E0FA">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713075">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xml:space="preserve">641557 </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07BD44">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147283</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FEC22B">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250848</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D0D50E">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243325.95</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8580F8">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205D656F">
        <w:tblPrEx>
          <w:tblCellMar>
            <w:top w:w="0" w:type="dxa"/>
            <w:left w:w="0" w:type="dxa"/>
            <w:bottom w:w="0" w:type="dxa"/>
            <w:right w:w="0" w:type="dxa"/>
          </w:tblCellMar>
        </w:tblPrEx>
        <w:trPr>
          <w:trHeight w:val="765" w:hRule="atLeast"/>
        </w:trPr>
        <w:tc>
          <w:tcPr>
            <w:tcW w:w="873" w:type="dxa"/>
            <w:vMerge w:val="restart"/>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14:paraId="179E6412">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防洪类</w:t>
            </w: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3A2DEA">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E6F6B3">
            <w:pPr>
              <w:widowControl/>
              <w:adjustRightInd/>
              <w:snapToGrid/>
              <w:spacing w:line="240" w:lineRule="auto"/>
              <w:ind w:firstLine="0" w:firstLineChars="0"/>
              <w:jc w:val="left"/>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(一)主要支流治理项目表（3000km²以上）</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9DEBF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553D53">
            <w:pPr>
              <w:widowControl/>
              <w:adjustRightInd/>
              <w:snapToGrid/>
              <w:spacing w:line="240" w:lineRule="auto"/>
              <w:ind w:firstLine="0" w:firstLineChars="0"/>
              <w:jc w:val="left"/>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F733B1">
            <w:pPr>
              <w:widowControl/>
              <w:adjustRightInd/>
              <w:snapToGrid/>
              <w:spacing w:line="240" w:lineRule="auto"/>
              <w:ind w:firstLine="0" w:firstLineChars="0"/>
              <w:jc w:val="left"/>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CC2ED2">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17280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FB628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4685CB">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1B7F5E">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17280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9A3E3E">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63BAF08F">
        <w:tblPrEx>
          <w:tblCellMar>
            <w:top w:w="0" w:type="dxa"/>
            <w:left w:w="0" w:type="dxa"/>
            <w:bottom w:w="0" w:type="dxa"/>
            <w:right w:w="0" w:type="dxa"/>
          </w:tblCellMar>
        </w:tblPrEx>
        <w:trPr>
          <w:trHeight w:val="559" w:hRule="atLeast"/>
        </w:trPr>
        <w:tc>
          <w:tcPr>
            <w:tcW w:w="873" w:type="dxa"/>
            <w:vMerge w:val="continue"/>
            <w:tcBorders>
              <w:top w:val="nil"/>
              <w:left w:val="single" w:color="auto" w:sz="4" w:space="0"/>
              <w:bottom w:val="single" w:color="000000" w:sz="4" w:space="0"/>
              <w:right w:val="single" w:color="auto" w:sz="4" w:space="0"/>
            </w:tcBorders>
            <w:vAlign w:val="center"/>
          </w:tcPr>
          <w:p w14:paraId="662A34D5">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0DFD9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81AD2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绿汁江易门县上游段治理工程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3BFD2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河道疏浚和清淤、堤防护岸24公里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224C8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易门县铜厂乡、绿汁镇</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89B5B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5F7D9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17280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0FE66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B60A1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E76B6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17280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C1EC9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B79FBA5">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0F360958">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6FA2E2">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14</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B08872">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(二)中小河流治理项目表（3000km²以下）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C2A25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9DF98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D99E7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C362AA">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28580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AFB2B8">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6480</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75E6DC">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13400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646FB6">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8700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597547">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40024D69">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7E3983E1">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A233D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F7D4A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扒河十街段治理（金田段）</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D4606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新建堤防长度30公里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F0A80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8EE79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005FF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7A13A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D555B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3000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40984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53781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EA0F11B">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3A611B8B">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AC2A8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6D76C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扒河十街段治理（占马田段）</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83ECD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新建堤防长度30公里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50A86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70434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3E9CF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2C74E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0395F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1B87B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3000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510CF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7C7BE479">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713F8318">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A5F0C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95EC8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扒河浦贝上段治理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818EC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新建堤防长度24.2公里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8D6C3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F7E56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2021年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C465F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1640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F4125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1640</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F33EE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737FC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9D4FB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979331F">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395B78EF">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ADAEC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638D2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扒河浦贝下段治理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58A79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新建堤防长度24.2公里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6AFAB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1614E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2021年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27091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1640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78CFE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1640</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FF238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05927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15E36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41A87352">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70352F5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56378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36F40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扒河十街段治理（着母旧段）</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6B7FC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新建堤防长度24公里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E3EF4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75E0E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2021年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CE489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4B7AF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1600</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9407F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FB3BF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B9363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19CFBF4">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6E00DF00">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CAC28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F4009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扒河十街段治理（魏所段）</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BD756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新建堤防长度24公里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098D5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C8F22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2021年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235A5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726C2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1600</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2602A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C6BEB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32878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299D55D">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41DD32EF">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F0BD7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7</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38E1D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贾姑河河道治理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13619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新建堤防长度16公里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A5A09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46E8D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027A4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18B90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F5D65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DA35B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FA217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3291FB2">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27185F3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A9F35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24B1A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扒河小街罗尹河上段治理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E52F1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新建堤防长度28公里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66E0E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24245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A15A7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E1CD3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AB8DA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19B17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1A7E9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4441A820">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7DECB011">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ADF17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DB531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扒河小街罗尹河下段治理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EA05A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新建堤防长度28公里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1D3F9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5FAD2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11F6A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5AC42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B8DD2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D2F80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1D7B5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CB6B728">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5C4F8980">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01296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4F8E5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白龙河治理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DAC40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新建堤防长度13公里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77950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53DE4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E4F4E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1900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62C2A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A08C8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B729B7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1900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CD575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B5DB520">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0ABE6E0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E9024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9BE1B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浦贝河治理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0715D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新建堤防长度12公里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69F7A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25063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833FB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82FF7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E8589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D605B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69F0E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40610A81">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7F76EEC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9DA0C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0DDE2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双龙河治理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EC3AB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新建堤防长度8公里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83F7A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2A6CF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CFC0B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1400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7BE40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A115C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F345C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1400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18163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22F605F">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1F3BA097">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7279B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BC076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绿汁大田河治理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28C65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新建堤防长度16公里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B2C97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绿汁镇</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1A103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E8004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2400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171CD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6954D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AC520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2400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7F7CF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42377D39">
        <w:tblPrEx>
          <w:tblCellMar>
            <w:top w:w="0" w:type="dxa"/>
            <w:left w:w="0" w:type="dxa"/>
            <w:bottom w:w="0" w:type="dxa"/>
            <w:right w:w="0" w:type="dxa"/>
          </w:tblCellMar>
        </w:tblPrEx>
        <w:trPr>
          <w:trHeight w:val="315" w:hRule="atLeast"/>
        </w:trPr>
        <w:tc>
          <w:tcPr>
            <w:tcW w:w="873" w:type="dxa"/>
            <w:vMerge w:val="continue"/>
            <w:tcBorders>
              <w:top w:val="nil"/>
              <w:left w:val="single" w:color="auto" w:sz="4" w:space="0"/>
              <w:bottom w:val="single" w:color="000000" w:sz="4" w:space="0"/>
              <w:right w:val="single" w:color="auto" w:sz="4" w:space="0"/>
            </w:tcBorders>
            <w:vAlign w:val="center"/>
          </w:tcPr>
          <w:p w14:paraId="21E279B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D3A2C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14</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59FC4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三五大河治理工程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EE065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新建堤防长度14公里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096DA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E9A4C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69EA4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72A58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E869C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3000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65040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9CBD6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1AAEAF5">
        <w:tblPrEx>
          <w:tblCellMar>
            <w:top w:w="0" w:type="dxa"/>
            <w:left w:w="0" w:type="dxa"/>
            <w:bottom w:w="0" w:type="dxa"/>
            <w:right w:w="0" w:type="dxa"/>
          </w:tblCellMar>
        </w:tblPrEx>
        <w:trPr>
          <w:trHeight w:val="285" w:hRule="atLeast"/>
        </w:trPr>
        <w:tc>
          <w:tcPr>
            <w:tcW w:w="873" w:type="dxa"/>
            <w:vMerge w:val="continue"/>
            <w:tcBorders>
              <w:top w:val="nil"/>
              <w:left w:val="single" w:color="auto" w:sz="4" w:space="0"/>
              <w:bottom w:val="single" w:color="000000" w:sz="4" w:space="0"/>
              <w:right w:val="single" w:color="auto" w:sz="4" w:space="0"/>
            </w:tcBorders>
            <w:vAlign w:val="center"/>
          </w:tcPr>
          <w:p w14:paraId="27E1516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21F64">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10</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139D5A">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（三）山洪沟治理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FE2162">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E995E3">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8146D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FD5E3E">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11049</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9D24EB">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EA1E22">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9041</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9E3308">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2008</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A551AE">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7CD4E289">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7028B4AA">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4A937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3414E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苗茂河山洪沟治理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92135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新建护岸及堤防长度9公里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2C3CE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4B1E0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BC9D2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1300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07DBC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589C9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1300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7687F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AC09F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49FC946F">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120D145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3C737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B56A2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冷水箐河山洪沟治理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1D14C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新建护岸及堤防长度10.4公里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DB934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26FB3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5A36B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1540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CC07D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2CA0F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1540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5BF65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2A444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9FA2302">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5544DDCF">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B5AA2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CAEF0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绿汁芭蕉箐山洪沟治理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8555C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新建护岸及堤防长度7.2公里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CE042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绿汁镇</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27E0C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000E1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780FB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527B0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2985B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C00F6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DE6F2C5">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0DE41A6A">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2214E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3B006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芦柴冲山洪沟治理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6A7B1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新建护岸及堤防长度9.6公里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B8085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591B8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B771D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1400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C031D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681F4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1400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82131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76CBF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7DBFE484">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63E09441">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BE308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14309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木冲河山洪沟治理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B597F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新建护岸及堤防长度4.8公里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9FD5A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D748B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E5092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648</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64B88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98D13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B90A2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648</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CBC23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BC7F055">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34FA3B1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87017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7CC4A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米苴大箐山洪沟治理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EBF40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新建护岸及堤防长度5.4公里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94028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78526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6AABC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7651F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4B019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6BB8E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48B6F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24E5866">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009A9162">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96E44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7</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FA40B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顾家箐山洪沟治理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C644C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新建护岸及堤防长度4公里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A059E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A8766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1D0C5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560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687A1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98279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37AEF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560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0A5A6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D45322F">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08444081">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B3B2FC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61DFA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普厂河山洪沟治理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6D772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新建护岸及堤防长度6.6公里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684AC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DAF91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C5366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981</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5067D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33A32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981</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FDDBF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600DF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9F06CC3">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565981A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014A1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CBDC9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铜厂芭蕉箐山洪沟治理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D9DBA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新建护岸及堤防长度10.4公里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A4633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07A73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DAE35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1500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E5B94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AEFE1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1500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2B49F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65ED2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90570AA">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640B718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89D84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4FADE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罗所银河麻箐山洪沟治理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D359D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新建护岸及堤防长度8.6公里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2059F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9C6BC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3AB73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1270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4A19C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4C2E0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1270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CFC66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B3B82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765C124">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023589DD">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CA34A2">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18</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B000A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（四)病险水库除险加固项目表</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253CB6">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0A7786">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DA24C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E394A4">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21023</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A8503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4223</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A9D58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15000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59D40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1800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A40254">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3E2EE1E7">
        <w:tblPrEx>
          <w:tblCellMar>
            <w:top w:w="0" w:type="dxa"/>
            <w:left w:w="0" w:type="dxa"/>
            <w:bottom w:w="0" w:type="dxa"/>
            <w:right w:w="0" w:type="dxa"/>
          </w:tblCellMar>
        </w:tblPrEx>
        <w:trPr>
          <w:trHeight w:val="1530" w:hRule="atLeast"/>
        </w:trPr>
        <w:tc>
          <w:tcPr>
            <w:tcW w:w="873" w:type="dxa"/>
            <w:vMerge w:val="continue"/>
            <w:tcBorders>
              <w:top w:val="nil"/>
              <w:left w:val="single" w:color="auto" w:sz="4" w:space="0"/>
              <w:bottom w:val="single" w:color="000000" w:sz="4" w:space="0"/>
              <w:right w:val="single" w:color="auto" w:sz="4" w:space="0"/>
            </w:tcBorders>
            <w:vAlign w:val="center"/>
          </w:tcPr>
          <w:p w14:paraId="1CB04F4D">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90CF2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BBE62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大谷厂水库除险加固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05445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大坝坝体、坝基防渗处理；封堵原高输水低涵，新建高输水隧洞；左坝肩边坡加固；泄洪输水隧洞工作闸门更换；库岸边坡绿化。</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2DB66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52551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2021年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28EB3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4223</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1415E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4223</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EFF2E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2ED45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58BE9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0F2CA74">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04AFD94C">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single" w:color="000000" w:sz="4" w:space="0"/>
              <w:left w:val="nil"/>
              <w:bottom w:val="nil"/>
              <w:right w:val="nil"/>
            </w:tcBorders>
            <w:shd w:val="clear" w:color="auto" w:fill="auto"/>
            <w:tcMar>
              <w:top w:w="15" w:type="dxa"/>
              <w:left w:w="15" w:type="dxa"/>
              <w:bottom w:w="0" w:type="dxa"/>
              <w:right w:w="15" w:type="dxa"/>
            </w:tcMar>
            <w:vAlign w:val="center"/>
          </w:tcPr>
          <w:p w14:paraId="1BD49AB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w:t>
            </w:r>
          </w:p>
        </w:tc>
        <w:tc>
          <w:tcPr>
            <w:tcW w:w="1446" w:type="dxa"/>
            <w:tcBorders>
              <w:top w:val="single" w:color="000000" w:sz="4" w:space="0"/>
              <w:left w:val="single" w:color="auto" w:sz="4" w:space="0"/>
              <w:bottom w:val="nil"/>
              <w:right w:val="nil"/>
            </w:tcBorders>
            <w:shd w:val="clear" w:color="auto" w:fill="auto"/>
            <w:tcMar>
              <w:top w:w="15" w:type="dxa"/>
              <w:left w:w="15" w:type="dxa"/>
              <w:bottom w:w="0" w:type="dxa"/>
              <w:right w:w="15" w:type="dxa"/>
            </w:tcMar>
            <w:vAlign w:val="center"/>
          </w:tcPr>
          <w:p w14:paraId="5A765EF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岔河水库除险加固</w:t>
            </w:r>
          </w:p>
        </w:tc>
        <w:tc>
          <w:tcPr>
            <w:tcW w:w="1702"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CCC41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放水涵洞防渗处理</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7CCDB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3F356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5352E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5600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403C1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4B696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5600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A59DE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37F0A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FC57A9D">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0A5C6978">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601C7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w:t>
            </w:r>
          </w:p>
        </w:tc>
        <w:tc>
          <w:tcPr>
            <w:tcW w:w="1446"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F6222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芦柴冲水库除险加固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EEDE6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放水涵洞防渗处理。</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92DD2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1ED08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CA294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E6BA8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A2AFD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92608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B1C07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971A415">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7ED5C05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EFF03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w:t>
            </w:r>
          </w:p>
        </w:tc>
        <w:tc>
          <w:tcPr>
            <w:tcW w:w="1446" w:type="dxa"/>
            <w:tcBorders>
              <w:top w:val="single" w:color="000000" w:sz="4" w:space="0"/>
              <w:left w:val="nil"/>
              <w:bottom w:val="nil"/>
              <w:right w:val="nil"/>
            </w:tcBorders>
            <w:shd w:val="clear" w:color="auto" w:fill="auto"/>
            <w:tcMar>
              <w:top w:w="15" w:type="dxa"/>
              <w:left w:w="15" w:type="dxa"/>
              <w:bottom w:w="0" w:type="dxa"/>
              <w:right w:w="15" w:type="dxa"/>
            </w:tcMar>
            <w:vAlign w:val="center"/>
          </w:tcPr>
          <w:p w14:paraId="17D65AF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龙泉水库除险加固工程</w:t>
            </w:r>
          </w:p>
        </w:tc>
        <w:tc>
          <w:tcPr>
            <w:tcW w:w="1702"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52DC6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放水涵洞防渗处理。</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E0BEE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E1F41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EA0E3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56CA4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8DB77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F4096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C465A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9C8842D">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32FB702F">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single" w:color="000000" w:sz="4" w:space="0"/>
              <w:left w:val="nil"/>
              <w:bottom w:val="nil"/>
              <w:right w:val="nil"/>
            </w:tcBorders>
            <w:shd w:val="clear" w:color="auto" w:fill="auto"/>
            <w:tcMar>
              <w:top w:w="15" w:type="dxa"/>
              <w:left w:w="15" w:type="dxa"/>
              <w:bottom w:w="0" w:type="dxa"/>
              <w:right w:w="15" w:type="dxa"/>
            </w:tcMar>
            <w:vAlign w:val="center"/>
          </w:tcPr>
          <w:p w14:paraId="1499752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w:t>
            </w:r>
          </w:p>
        </w:tc>
        <w:tc>
          <w:tcPr>
            <w:tcW w:w="14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FD057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浦贝瓦窑坝除险加固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64E40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新建溢洪道，内外坝坡整形，放水设施改造。</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CE5C8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63964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55B8A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1A983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98914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9C81C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79605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B63284B">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6BDFF39B">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17624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91ECB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马头大坝除险加固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D7CCA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放水涵洞防渗处理。</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D9114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63033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F4A7B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446F4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555C4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9E101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AC6CF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DDDA651">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0611DFB4">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2B0AA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7</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3DD56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起富郎大箐坝水库除险加固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B3740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改造溢洪道、坝体防渗</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1C8EA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绿汁镇</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68373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C839E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6FA33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ADEDD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D65AC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CF481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A2300F3">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0DF600C0">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single" w:color="000000" w:sz="4" w:space="0"/>
              <w:left w:val="nil"/>
              <w:bottom w:val="nil"/>
              <w:right w:val="nil"/>
            </w:tcBorders>
            <w:shd w:val="clear" w:color="auto" w:fill="auto"/>
            <w:tcMar>
              <w:top w:w="15" w:type="dxa"/>
              <w:left w:w="15" w:type="dxa"/>
              <w:bottom w:w="0" w:type="dxa"/>
              <w:right w:w="15" w:type="dxa"/>
            </w:tcMar>
            <w:vAlign w:val="center"/>
          </w:tcPr>
          <w:p w14:paraId="53A1691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w:t>
            </w:r>
          </w:p>
        </w:tc>
        <w:tc>
          <w:tcPr>
            <w:tcW w:w="144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2314E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棕树箐水库除险加固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C8BDB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防渗处理</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C6490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绿汁镇</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E39D4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1192A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982D7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F31CB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3EAA6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F13ED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7D81E6E7">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53D1931C">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7EB02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9431A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铜厂一坝除险加固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4AE05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改造溢洪道、坝体防渗</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39C12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83162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36979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FC9B6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BA03A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F5793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9ED7A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EF39933">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0D4437D2">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0CCEC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17C69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米苴大湾坝除险加固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3FE2A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防渗处理、放水设施处理</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822C6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2EA2D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35C22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9EF97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092C0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485A0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7199C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DD3ACB3">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64EBCA52">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single" w:color="000000" w:sz="4" w:space="0"/>
              <w:left w:val="nil"/>
              <w:bottom w:val="nil"/>
              <w:right w:val="nil"/>
            </w:tcBorders>
            <w:shd w:val="clear" w:color="auto" w:fill="auto"/>
            <w:tcMar>
              <w:top w:w="15" w:type="dxa"/>
              <w:left w:w="15" w:type="dxa"/>
              <w:bottom w:w="0" w:type="dxa"/>
              <w:right w:w="15" w:type="dxa"/>
            </w:tcMar>
            <w:vAlign w:val="center"/>
          </w:tcPr>
          <w:p w14:paraId="0A61376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11</w:t>
            </w:r>
          </w:p>
        </w:tc>
        <w:tc>
          <w:tcPr>
            <w:tcW w:w="144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70312F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米苴窝么苴坝水库除险加固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5FB80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改造溢洪道、坝体防渗</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044AD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9E2E3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DB87A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D0DC0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7D00C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A28D9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84102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7E3C970B">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2894D8D7">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FDC05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01AD1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小街瓦窑坝除险加固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4B5DE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改造溢洪道、涵洞防渗</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AD27F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0C777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BD60B1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F6F24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47E35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D7E30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30DF3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813BA86">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3A4418F1">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37CB0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20572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杨保庄坝除险加固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F4C13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防渗处理、放水设施处理</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24963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98326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D90AF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0DA3E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81E99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F3F5C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25BCF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068E901">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58312BE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single" w:color="000000" w:sz="4" w:space="0"/>
              <w:left w:val="nil"/>
              <w:bottom w:val="nil"/>
              <w:right w:val="nil"/>
            </w:tcBorders>
            <w:shd w:val="clear" w:color="auto" w:fill="auto"/>
            <w:tcMar>
              <w:top w:w="15" w:type="dxa"/>
              <w:left w:w="15" w:type="dxa"/>
              <w:bottom w:w="0" w:type="dxa"/>
              <w:right w:w="15" w:type="dxa"/>
            </w:tcMar>
            <w:vAlign w:val="center"/>
          </w:tcPr>
          <w:p w14:paraId="7A442C1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14</w:t>
            </w:r>
          </w:p>
        </w:tc>
        <w:tc>
          <w:tcPr>
            <w:tcW w:w="144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56374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水桥上村坝除险加固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4D853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防渗处理、放水设施处理</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38CE6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60AFC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051B6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24965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28DFF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4ABA0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598B5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49EFBC52">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0F92537D">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91D16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15</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6A07D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水凹坝除险加固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4FD50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新建溢洪道、排水棱体</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C7D61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BF8EE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1A33D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CFE40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B9C08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8092E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F7B10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0B6925F">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600FB721">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95B68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48956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圆心坝除险加固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07487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改造溢洪道、坝体防渗</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AFCE1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2BCB9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B1953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BEBD0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95699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F18A3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540C0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4E88BEF">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2D184F90">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single" w:color="000000" w:sz="4" w:space="0"/>
              <w:left w:val="nil"/>
              <w:bottom w:val="nil"/>
              <w:right w:val="nil"/>
            </w:tcBorders>
            <w:shd w:val="clear" w:color="auto" w:fill="auto"/>
            <w:tcMar>
              <w:top w:w="15" w:type="dxa"/>
              <w:left w:w="15" w:type="dxa"/>
              <w:bottom w:w="0" w:type="dxa"/>
              <w:right w:w="15" w:type="dxa"/>
            </w:tcMar>
            <w:vAlign w:val="center"/>
          </w:tcPr>
          <w:p w14:paraId="704072F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17</w:t>
            </w:r>
          </w:p>
        </w:tc>
        <w:tc>
          <w:tcPr>
            <w:tcW w:w="144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B86F2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东山箐水库除险加固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58621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防渗处理、放水设施处理</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31D58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1CCC6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3BEE1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66336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66722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29334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BFD39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1F7C9B5">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41677F85">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single" w:color="000000" w:sz="4" w:space="0"/>
              <w:left w:val="nil"/>
              <w:bottom w:val="nil"/>
              <w:right w:val="nil"/>
            </w:tcBorders>
            <w:shd w:val="clear" w:color="auto" w:fill="auto"/>
            <w:tcMar>
              <w:top w:w="15" w:type="dxa"/>
              <w:left w:w="15" w:type="dxa"/>
              <w:bottom w:w="0" w:type="dxa"/>
              <w:right w:w="15" w:type="dxa"/>
            </w:tcMar>
            <w:vAlign w:val="center"/>
          </w:tcPr>
          <w:p w14:paraId="13D30A0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18</w:t>
            </w:r>
          </w:p>
        </w:tc>
        <w:tc>
          <w:tcPr>
            <w:tcW w:w="144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1D54C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全县69座小坝塘进行除险加固处理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47563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防渗处理、放水设施处理</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14A82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121FD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FFB7C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6900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1B33D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18EB5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6900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8CB76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A58E1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BC8B49E">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6728CF0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BA9257">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2EB6A9">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(五)病险闸除险加固项目表</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57DF93">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67CD1D">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746E15">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948D5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2D6FFE">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274F95">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2000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69210F">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E07FBE">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6F95155B">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56AA0C9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C0B6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B656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三五大河水闸</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BC7E2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更换启闭设施、闸门槽、止水</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B83A4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8C5F9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A7FEC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47F94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3C2A6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15A87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ECA84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B518220">
        <w:tblPrEx>
          <w:tblCellMar>
            <w:top w:w="0" w:type="dxa"/>
            <w:left w:w="0" w:type="dxa"/>
            <w:bottom w:w="0" w:type="dxa"/>
            <w:right w:w="0" w:type="dxa"/>
          </w:tblCellMar>
        </w:tblPrEx>
        <w:trPr>
          <w:trHeight w:val="1020" w:hRule="atLeast"/>
        </w:trPr>
        <w:tc>
          <w:tcPr>
            <w:tcW w:w="873" w:type="dxa"/>
            <w:vMerge w:val="continue"/>
            <w:tcBorders>
              <w:top w:val="nil"/>
              <w:left w:val="single" w:color="auto" w:sz="4" w:space="0"/>
              <w:bottom w:val="single" w:color="000000" w:sz="4" w:space="0"/>
              <w:right w:val="single" w:color="auto" w:sz="4" w:space="0"/>
            </w:tcBorders>
            <w:vAlign w:val="center"/>
          </w:tcPr>
          <w:p w14:paraId="2FE30781">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3251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1EAA1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易门县驿马坡水闸、团山水闸、六街河水闸、白龙河水闸、蔡韩河水闸</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1DCE4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更换启闭设施、闸门槽、止水</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0D921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B08EB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569BF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7D9BE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D3D71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3119F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D5C92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7313EAD6">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177163C6">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EEFDA">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05720C">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(六)水库清淤增效工程项目表</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1312A7">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D87AA7">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02895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A6086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19414.8</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E32D8A">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68284F">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16958</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0BB2B4">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2456.8</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41A784">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3F891ABC">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3B588FB7">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0EF4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A7752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岔河水库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A264E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850E3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66528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68BF0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9520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E7725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9DF1B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9520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FDFA7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C2BD1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DF30333">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2317B6A2">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02F1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D3D59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大谷厂水库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0E18F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1520D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AF8A6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66669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5267.6</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896A8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248C0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5267.6</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A3B4D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188A6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2C7A21A">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6E26F1D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5EF1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2BE7A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沙衣水库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BD4FE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A3720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87ED3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49635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12396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DB011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DD0A8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14805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42D248E">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1C06F51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5B82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25745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东山水库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75BBE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11E96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D9D24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9ED3C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100.8</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DB62F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B5DA0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100.8</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44706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FBD01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4C7A6945">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102D2227">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44C0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2FD22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丰收水库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FBB4C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DE270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611F8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98E12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1436.4</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6CA66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8A2C6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1436.4</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47B82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9C8CE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16ED553">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76BE3C77">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C562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3941E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小河水库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95742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ADA5F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F0209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3C398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233.2</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7A66C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000A5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233.2</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255FA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2BB86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994059B">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664E4B20">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9F6D4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7</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02484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东山箐水库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1D82E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ECB9A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79A42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DEC61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176</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08FC6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85D09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B4DD9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176</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5150F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1BAFFD6">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47DC301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4C3B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53C7B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草箐丰收水库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430D0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61CD0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BFD60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BE91D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A9BA9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E3E80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F11A3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E3D32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926D328">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6F2850B4">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EA8B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40553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大兴坝水库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2C219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E9420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0479C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53D8E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E12B9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54EBB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037B6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018AC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FDC64E3">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6C0216D7">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EA91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277E5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老赵村水库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6DB8C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45D47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D7AC1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0DE18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2FF3F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71887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E2000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F7E47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63AA028">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32430D8F">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77FA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39662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马头大坝</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F6528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EF896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7D34A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637E2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240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F3738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71BD0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ED95D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240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8E2CA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0FF0CC7">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3EDF4EC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C76AA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7796E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樟木箐水库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C8403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67AD6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D5913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78B74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D3B3B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02908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B2902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12251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0502B71">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1D7D3E6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729F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21431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黑龙一库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285C1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327B2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29A1A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5820C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930AE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D734D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7EA45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C9FBA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702250D">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7AE3AF3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3320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14</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9642E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金田龙潭坝</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B33E4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BC477A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48DC9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C2541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65F65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42408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3F1EA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735DB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33534F1">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1329327D">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CA5E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15</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88408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杨保庄水库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89DCE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8EF2E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DDA47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CC951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6D618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58242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B1301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9D6B6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ED4D36E">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71896BE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CE99F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CD18C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C95B5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46FF3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8B752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EB4E8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380.8</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2629C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BF2A4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489D3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380.8</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FBC66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0330813">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0BCA55AA">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9CC6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17</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47B92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园心坝水库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5046B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E470C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7BC10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A5B9D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8C81F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99C59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DBFD8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04342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3E9A08D">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0E7AF34A">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EB67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18</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22C7B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铜厂一坝</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6BBE6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59699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68A1C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B7CE8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E5964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24566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E19F7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BEA92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E655169">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1DDD3804">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E2E2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19</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D0C2B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三岔河坝</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6EADA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0DEBC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7B92D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D0B7B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43A4A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D843C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D81EE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4643E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4A4D774">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69850B3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6BD5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1FDD2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汉泥田水库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8FD19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DDB00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147D3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B06D7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FBDC5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77E7A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4838B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03644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B219F8D">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153008CB">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B2E3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B70C0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红岩一库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6325F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3F99F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64A5A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39609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F0AA6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1D0CA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F01FB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57B0A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F564DE1">
        <w:tblPrEx>
          <w:tblCellMar>
            <w:top w:w="0" w:type="dxa"/>
            <w:left w:w="0" w:type="dxa"/>
            <w:bottom w:w="0" w:type="dxa"/>
            <w:right w:w="0" w:type="dxa"/>
          </w:tblCellMar>
        </w:tblPrEx>
        <w:trPr>
          <w:trHeight w:val="285" w:hRule="atLeast"/>
        </w:trPr>
        <w:tc>
          <w:tcPr>
            <w:tcW w:w="873" w:type="dxa"/>
            <w:vMerge w:val="continue"/>
            <w:tcBorders>
              <w:top w:val="nil"/>
              <w:left w:val="single" w:color="auto" w:sz="4" w:space="0"/>
              <w:bottom w:val="single" w:color="000000" w:sz="4" w:space="0"/>
              <w:right w:val="single" w:color="auto" w:sz="4" w:space="0"/>
            </w:tcBorders>
            <w:vAlign w:val="center"/>
          </w:tcPr>
          <w:p w14:paraId="5846815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F667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B1CCF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红岩二库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39606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水库清淤增效</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06C6C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B0B8B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4CCE5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240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C37CC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7825D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73C99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240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2DAE1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1E4A4DFB">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73277B7C">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0F42E9">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A3B7FE">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(七)重点城市防洪排涝提升工程建设项目表</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8DF442">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48859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7FB575">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97731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3000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4BFD98">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83FADA">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3000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954AC2">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33973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269D253B">
        <w:tblPrEx>
          <w:tblCellMar>
            <w:top w:w="0" w:type="dxa"/>
            <w:left w:w="0" w:type="dxa"/>
            <w:bottom w:w="0" w:type="dxa"/>
            <w:right w:w="0" w:type="dxa"/>
          </w:tblCellMar>
        </w:tblPrEx>
        <w:trPr>
          <w:trHeight w:val="285" w:hRule="atLeast"/>
        </w:trPr>
        <w:tc>
          <w:tcPr>
            <w:tcW w:w="873" w:type="dxa"/>
            <w:vMerge w:val="continue"/>
            <w:tcBorders>
              <w:top w:val="nil"/>
              <w:left w:val="single" w:color="auto" w:sz="4" w:space="0"/>
              <w:bottom w:val="single" w:color="000000" w:sz="4" w:space="0"/>
              <w:right w:val="single" w:color="auto" w:sz="4" w:space="0"/>
            </w:tcBorders>
            <w:vAlign w:val="center"/>
          </w:tcPr>
          <w:p w14:paraId="2C49B380">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07E78B">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5807A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三五大河</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24F35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新建堤防长度14公里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E7ECA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C9F46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36D2A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67BC9D">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FFD3FB">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DEE7DF">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B732E5">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64BA686B">
        <w:tblPrEx>
          <w:tblCellMar>
            <w:top w:w="0" w:type="dxa"/>
            <w:left w:w="0" w:type="dxa"/>
            <w:bottom w:w="0" w:type="dxa"/>
            <w:right w:w="0" w:type="dxa"/>
          </w:tblCellMar>
        </w:tblPrEx>
        <w:trPr>
          <w:trHeight w:val="510" w:hRule="atLeast"/>
        </w:trPr>
        <w:tc>
          <w:tcPr>
            <w:tcW w:w="873" w:type="dxa"/>
            <w:vMerge w:val="restart"/>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14:paraId="3489CE0F">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供水类</w:t>
            </w: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345BBE">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6</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1ED5D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(八)重点水源工程建设项目表</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45E259">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03DB9D">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7D0AF4">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8842AB">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57300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3AD545">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11000</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B385F4">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19650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FEAEC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26550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220326">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69318C4F">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373E4AF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84D21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04B7C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易门县白龙水库扩建工程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CCEB4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调蓄滇中引水水源</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FF927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2254B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2021年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6370F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11000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8938D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11000</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04E04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819A6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339F5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23B7C04">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7372E65F">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A2611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60F05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丰收水库扩建工程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EA642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防洪、人饮、灌溉</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8FCFD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65D14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8B7C2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21250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D5626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ABE35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DE315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21250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1696F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E4FFCC5">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3F6F021A">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78B68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BD0B0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易门县坡拖水库扩建工程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6E709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防洪、人饮、灌溉</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742BC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C86A0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CF2C9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5550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99673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5C796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5550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2341C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4A062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159A596">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4637B9FB">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0996D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055EB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新建易门县羊角村水库工程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9B06A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防洪、人饮、灌溉</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F8337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52B7A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11202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8800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5B483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A9E39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8800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B769C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E948D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1C8B198">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74291B2B">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9CCF6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79601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易门县大兴坝水库扩建工程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66F09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防洪、灌溉</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E76F3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83971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4EDA0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5300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BB2BC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40B80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5300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DD60A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56555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45FD757">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389800AB">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723C3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547F6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易门县螃蟹箐水库扩建工程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1B27E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防洪、灌溉</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5415D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D27A5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F53B1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5400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CE618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CBD4B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9A3FE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5300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6B37F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E742818">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6F716C2C">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8E52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4EDCF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（九）重点水系连通工程建设项目表</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BCAD54">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C5389A">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C9B829">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023E75">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131720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D3F1A6">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120000</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3F38A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01939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11720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F4771D">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6D210804">
        <w:tblPrEx>
          <w:tblCellMar>
            <w:top w:w="0" w:type="dxa"/>
            <w:left w:w="0" w:type="dxa"/>
            <w:bottom w:w="0" w:type="dxa"/>
            <w:right w:w="0" w:type="dxa"/>
          </w:tblCellMar>
        </w:tblPrEx>
        <w:trPr>
          <w:trHeight w:val="1020" w:hRule="atLeast"/>
        </w:trPr>
        <w:tc>
          <w:tcPr>
            <w:tcW w:w="873" w:type="dxa"/>
            <w:vMerge w:val="continue"/>
            <w:tcBorders>
              <w:top w:val="nil"/>
              <w:left w:val="single" w:color="auto" w:sz="4" w:space="0"/>
              <w:bottom w:val="single" w:color="000000" w:sz="4" w:space="0"/>
              <w:right w:val="single" w:color="auto" w:sz="4" w:space="0"/>
            </w:tcBorders>
            <w:vAlign w:val="center"/>
          </w:tcPr>
          <w:p w14:paraId="669E789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28581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638D4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易门县整合水资源高效配置利用项目</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3563B4">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实施水源工程、村镇供水工程、水生态环境工程、农业灌溉工程。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6B1BE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小街乡、六街街道、龙泉街道、浦贝乡、十街乡、绿汁镇、铜厂乡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39F2B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2021年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F8C3E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120000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5247E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120000</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30EDF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5710C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5E3A3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8B9D564">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667726D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32B5A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F6FE1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大谷厂水库连通工程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76DB9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输水线路长度30公里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67CE7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龙泉街道、浦贝乡、十街乡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72EFD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00972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11720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B9EB6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3DD15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ABA4E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11720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F475D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ADD7674">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3CBA93FC">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7C3E53">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33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857C83">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（十）乡镇抗旱水源工程建设项目表</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F257E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469FA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FEA21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46FCF4">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34853</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45E126">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799F74">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20103</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57A03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14750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5F85BE">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10749D7C">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0844B386">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A0809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92071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沙衣水库连通工程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2D3263">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输水线路长度20公里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D11D0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16295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ED5F6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AFA09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9DD5C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5AE68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1DEC1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C4EC529">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3E9A11C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60217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624B9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米茂水库连通工程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7ACFB8">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输水线路长度18公里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F6FCC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xml:space="preserve">铜厂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91C1E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78D79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1800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00CE5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0DC61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1800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30B77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5145E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D30FC0B">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4D2680FA">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78942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ABDE9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东山水库连通工程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BBF5ED">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输水线路长度6.2公里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0EF55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7A4A2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795A6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620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7391D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CF9DE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620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B7659D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4A6BE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C505722">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7E99A00C">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A053A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8DA16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丰收水库连通工程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1DE8F7">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输水线路长度7公里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447B0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86166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85CE0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700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B8BC22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6F8B6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700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FC9D1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93E73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6309CA0">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2BE191E0">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43B64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F00E0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合作水库连通工程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0CD086">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输水线路长度6公里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D764C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3C86E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47AF5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0BC2C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71367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2D46F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BD4CB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76302E78">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6ED323F4">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AA957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0429D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小河水库连通工程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898C9F">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输水线路长度20公里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C22FB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E00AD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BA31C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CDF54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497F2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349F7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62249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4AF98373">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2052DE8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93B30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7</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2DC21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芦柴冲水库连通工程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9AD71D">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输水线路长度9公里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C4AFB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9DC44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568FE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AB9B9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CA50A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C7B46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0E003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4830AFD">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4F14B0E5">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16BE2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0AFFB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铜厂龙潭坝水库连通工程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7E6DBA">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输水线路长度9.2公里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0D9E1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xml:space="preserve">铜厂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E5123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BBC9F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920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36CEA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58285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920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ED6A8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8D4BD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C2EA27D">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7AA0AD7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0A01C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1CBDF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团结水库生活用水供管道（DN150）工程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BE482D">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输水线路长度9.5公里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C1EEE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5C387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E917C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910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8E78B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F9F11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910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F2465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4EB0B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489E1AA5">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0FFFB31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F33EF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CC956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胜利水库管道引水工程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B1B75B">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输水线路长度29公里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72E01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绿汁镇</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298A5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73035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2450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B0E3A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C0C85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2450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A5BFE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2380B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79989B0">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0B005D0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2C832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BB6A5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浦贝乡扒河沿线村组抗旱引提水工程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AFD249">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输水线路长度19.6公里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B7C77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52743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6A705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4E053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6687E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132DB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98F21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3DC892B">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172C355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13798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0B59D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河尾集中供水工程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0B1AAB">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输水线路长度15公里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93AB3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73BDE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782EE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1500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96A9A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258C0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1500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5995C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29784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1767ABE">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6756953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FF059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61213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十街乡贾姑摆衣村光伏提水工程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415613">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输水线路长度5公里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C81B2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D772B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7CACB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D4A56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CBC01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04938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31D19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72FE774F">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44EB4C15">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6CFCA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14</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7AC42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绿汁镇龙格利大鹿箐提水工程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FAF4A3">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输水线路长度12公里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43682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B43B7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1065A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DB566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E992D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CC857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6D095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05BD14C">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2867EBA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3D555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15</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17624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小街乡绿汁江提水工程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A0C9D9">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输水线路长度36.6公里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49DFF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06BEF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2081F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1003</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2936E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EC91B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1003</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7BA84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37AA0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BDDBE83">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759F210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C7FDF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6F31C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梅营小箐坝扩建工程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56C94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小(二)型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45372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9CA61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BC347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140AF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4C5AB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DDCAF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A6802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5D48CCC">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1EBCDA6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150A6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17</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F3A68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塘子箐水库扩建工程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528A3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小(二)型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D796F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3181E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50BBB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BEEC6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59639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E094D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2DBD1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4281E30">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2AD4306A">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F5EB6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18</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048FD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老黑箐水库扩建工程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A2F91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小(二)型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FA24C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94630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6C2C3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5B724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261A7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BF340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0B5FB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79735285">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411CBF2F">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A719D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19</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524CF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大新村大箐坝扩建工程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AC478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小(二)型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BC3BE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5B48B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CDB1D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B87A3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9AF21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A2775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1715F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8438224">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4154BF96">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FFFBA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24366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里士沙河水库扩建工程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820A4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小(二)型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09FD9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E007B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FA498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53D2B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4C48F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4987B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CCE91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7DF46A9">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3902259F">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95BEA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473ED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大坡脚水库扩建工程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B8159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小(二)型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78F47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80AE4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20A13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17D5A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1283F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C4664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5D973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F15BECC">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5DA3F9B6">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5132E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6D9F3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木止箐小坝改扩建工程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301DF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小(二)型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E76C3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E4D9D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A7E9E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925</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EC215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167F6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34731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925</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FE302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685C1E2">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5A49AF2C">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B778CF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5E451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新建蔡营水库工程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3F308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小(二)型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82966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C008B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6B6D1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1125</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60187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F6CC0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42BCB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1125</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90CCF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3A8B890">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18719092">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A5D4F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24</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E5C03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新建柞树水库工程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84C6D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小(二)型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2592F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浦贝彝族乡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2EA73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AC5B5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76F10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096B8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EBC3A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9A187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E187A7C">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16A31C51">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68360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25</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7C17A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新建夹马槽水库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4CDF2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小(二)型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E63F6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770E5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B9D38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2D967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8BC34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33845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B20AB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F3BBD9E">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65AF0982">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71211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26</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76DD5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新建三岔河水库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7EEB9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小(二)型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EE631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绿汁镇</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3629C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2A636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1500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91094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0A342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7ADCB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1500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F48ED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58216CC">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570AFC4A">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0C5CF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27</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A5E66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新建沙坝田水库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EE9C0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小(二)型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2F340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AFEAF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E82DA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2800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C2A65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D39ED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38049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2800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90562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38142B4">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4634A525">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53F28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28</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42F46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南屯水库除险加固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EB9EA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小(一)型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109F2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AB141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B7842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50066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10634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F3C56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A940F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3D8735D">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29E234D4">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D8153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29</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0C8EF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合作水库除险加固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17884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小(一)型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EACC5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3DD0F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802BF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80868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25109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DCA7E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F12B3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0D40F04">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7853535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2C6F5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30</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2394E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小河水库除险加固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74BB1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小(一)型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375EB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75FFB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4D379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54275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88722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5C0DF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92A06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4760A5BB">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2D650DF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6F444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33781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东山水库除险加固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35CC3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小(一)型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580DD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E9B68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E5D95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AA8FE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24492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63D2A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D76E5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D977521">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2B8FC5F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7E4D0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1A5C5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沙衣水库除险加固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F1E81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小(一)型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D8DFF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52C33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3059E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78A0D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9908C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4D5F0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D91D9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8535A02">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73B7FF37">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EAB32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07CA3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米茂水库除险加固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A8BED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小(一)型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5CA99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FB086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AB95A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832F6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231A1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B8C3F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50EC2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291A759">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594AF282">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543CB4">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7248DE">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（十一）城市备用水源工程建设项目表</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AD008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9EEBC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DDEB7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2C44B8">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5882.4</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36F04A">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F970C3">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BD03EF9">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5882.4</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487D85">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18F2055B">
        <w:tblPrEx>
          <w:tblCellMar>
            <w:top w:w="0" w:type="dxa"/>
            <w:left w:w="0" w:type="dxa"/>
            <w:bottom w:w="0" w:type="dxa"/>
            <w:right w:w="0" w:type="dxa"/>
          </w:tblCellMar>
        </w:tblPrEx>
        <w:trPr>
          <w:trHeight w:val="300" w:hRule="atLeast"/>
        </w:trPr>
        <w:tc>
          <w:tcPr>
            <w:tcW w:w="873" w:type="dxa"/>
            <w:vMerge w:val="continue"/>
            <w:tcBorders>
              <w:top w:val="nil"/>
              <w:left w:val="single" w:color="auto" w:sz="4" w:space="0"/>
              <w:bottom w:val="single" w:color="000000" w:sz="4" w:space="0"/>
              <w:right w:val="single" w:color="auto" w:sz="4" w:space="0"/>
            </w:tcBorders>
            <w:vAlign w:val="center"/>
          </w:tcPr>
          <w:p w14:paraId="5F555E5F">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43D92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28284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新建龙口坝水库</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F3BA6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小(二)型</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585F0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46EF3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3F534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4500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286F1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CE39C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E6FE6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4500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78483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BCB3D9B">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6818B354">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9DD4E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F8D43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大谷厂水库应急提水工程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74FA6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新建泵站架设管道35公里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2D256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70047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A7AB9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1382.4</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3E0D9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96296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28C8B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1382.4</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8B155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770138A">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6F6B3B6D">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F3FDE7">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15F857">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（十二）滇中引水及配套工程建设项目表</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EFFAD5">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335DD2">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487C8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998E5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40000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D264C9">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DC0A2C">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09DC9B">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40000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7BD0D5">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6FE65E01">
        <w:tblPrEx>
          <w:tblCellMar>
            <w:top w:w="0" w:type="dxa"/>
            <w:left w:w="0" w:type="dxa"/>
            <w:bottom w:w="0" w:type="dxa"/>
            <w:right w:w="0" w:type="dxa"/>
          </w:tblCellMar>
        </w:tblPrEx>
        <w:trPr>
          <w:trHeight w:val="2805" w:hRule="atLeast"/>
        </w:trPr>
        <w:tc>
          <w:tcPr>
            <w:tcW w:w="873" w:type="dxa"/>
            <w:vMerge w:val="continue"/>
            <w:tcBorders>
              <w:top w:val="nil"/>
              <w:left w:val="single" w:color="auto" w:sz="4" w:space="0"/>
              <w:bottom w:val="single" w:color="000000" w:sz="4" w:space="0"/>
              <w:right w:val="single" w:color="auto" w:sz="4" w:space="0"/>
            </w:tcBorders>
            <w:vAlign w:val="center"/>
          </w:tcPr>
          <w:p w14:paraId="396223A8">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46629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F5B4A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滇中引水工程二期工程玉溪段</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A7FBB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易门干线（易门段）从白邑村分水口取水(取水流量2.60 m³/s)后布置干线全程自流供水至白龙水库，调蓄后自流供六街水厂,再由白龙水库隧洞出口引水至岔河水库进行调节，从岔河水库布置下级分干线，供水麦子田水厂、公鸡山水厂和易门二水厂。共架设管道21.8公里。</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3C3D8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B25C6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1145C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40000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0AEE4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B2B13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1203A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40000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37C5C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3CF1ECE">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38DE876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92FAC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1F4C1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（十三）中型灌区续建配套与现代化改造项目表</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B5425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BACA8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3B966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BAB17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49478</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8BC5F9">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528319">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49478</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088A8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808829">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0A28378D">
        <w:tblPrEx>
          <w:tblCellMar>
            <w:top w:w="0" w:type="dxa"/>
            <w:left w:w="0" w:type="dxa"/>
            <w:bottom w:w="0" w:type="dxa"/>
            <w:right w:w="0" w:type="dxa"/>
          </w:tblCellMar>
        </w:tblPrEx>
        <w:trPr>
          <w:trHeight w:val="2295" w:hRule="atLeast"/>
        </w:trPr>
        <w:tc>
          <w:tcPr>
            <w:tcW w:w="873" w:type="dxa"/>
            <w:vMerge w:val="continue"/>
            <w:tcBorders>
              <w:top w:val="nil"/>
              <w:left w:val="single" w:color="auto" w:sz="4" w:space="0"/>
              <w:bottom w:val="single" w:color="000000" w:sz="4" w:space="0"/>
              <w:right w:val="single" w:color="auto" w:sz="4" w:space="0"/>
            </w:tcBorders>
            <w:vAlign w:val="center"/>
          </w:tcPr>
          <w:p w14:paraId="3D54F0C5">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2B857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593B6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扒河中型灌区</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9C8E0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新建渠道10公里、改造渠道304公里、新建管道226公里、改造管道6.8公里、新建排水沟6公里、改造排水沟21公里、改造建筑物54处、新建管理设施56处、新建安全设施67处、新建计量设施202处、灌区管理信息化7处</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7AD99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六街街道、龙泉街道、浦贝乡、十街乡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B1A9F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DD6B7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49478</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806EB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5D553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49478</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8F2E8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83BBC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F256161">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73E51ED7">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18D7C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169</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39C03B">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(十四)“十四五”农村供水保障</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12201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E3153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CEFCF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83C00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13098.75</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00704A">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5580</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0953F5">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6920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576BFD">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598.75</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E4C752">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2CC73A4C">
        <w:tblPrEx>
          <w:tblCellMar>
            <w:top w:w="0" w:type="dxa"/>
            <w:left w:w="0" w:type="dxa"/>
            <w:bottom w:w="0" w:type="dxa"/>
            <w:right w:w="0" w:type="dxa"/>
          </w:tblCellMar>
        </w:tblPrEx>
        <w:trPr>
          <w:trHeight w:val="1020" w:hRule="atLeast"/>
        </w:trPr>
        <w:tc>
          <w:tcPr>
            <w:tcW w:w="873" w:type="dxa"/>
            <w:vMerge w:val="continue"/>
            <w:tcBorders>
              <w:top w:val="nil"/>
              <w:left w:val="single" w:color="auto" w:sz="4" w:space="0"/>
              <w:bottom w:val="single" w:color="000000" w:sz="4" w:space="0"/>
              <w:right w:val="single" w:color="auto" w:sz="4" w:space="0"/>
            </w:tcBorders>
            <w:vAlign w:val="center"/>
          </w:tcPr>
          <w:p w14:paraId="5A499832">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4630E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169</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16808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易门县“十四五”农村供水保障</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74609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水源工程、水厂建设、输配水管网、计量装置、能力建设</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F723D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小街乡、六街街道、龙泉街道、浦贝乡、十街乡、绿汁镇、铜厂乡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15C2F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2021年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670DB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13098.75</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492F4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5580</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58F08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6920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26DC5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598.75</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74EDB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D33D86E">
        <w:tblPrEx>
          <w:tblCellMar>
            <w:top w:w="0" w:type="dxa"/>
            <w:left w:w="0" w:type="dxa"/>
            <w:bottom w:w="0" w:type="dxa"/>
            <w:right w:w="0" w:type="dxa"/>
          </w:tblCellMar>
        </w:tblPrEx>
        <w:trPr>
          <w:trHeight w:val="510" w:hRule="atLeast"/>
        </w:trPr>
        <w:tc>
          <w:tcPr>
            <w:tcW w:w="873" w:type="dxa"/>
            <w:vMerge w:val="restart"/>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14:paraId="2348FA62">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水生态类</w:t>
            </w: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9D941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92EC52">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（十五水源涵养与水土保持项目表</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0D50F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46B38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BBC6E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816FE7">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15000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4A5E8A">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2AEF2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7500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E404B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7500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3A3A1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F0440B6">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46A530C4">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1C022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D385D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罗尹河小流域坡耕地水土流失综合治理工程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D8C18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预防治理水土流失面积3.8k㎡</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FBA92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22FD7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29F0A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4E523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DC919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1148A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2953D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190AFDD">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1349003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11838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706BD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龙泉小流域坡耕地水土流失综合治理工程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11A91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预防治理水土流失面积3.8k㎡</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AD682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7C827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5AEE1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5EFFE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1B681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F7409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E4B62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79F0BA02">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700E4225">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556D7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71D28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金田小流域坡耕地水土流失综合治理工程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9260C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预防治理水土流失面积3.8k㎡</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0A9FA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61CDF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2021年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9DBC0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13B4F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EA267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767C2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285A4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44EBBEA">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78D9B9F1">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569E4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24065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普厂小流域坡耕地水土流失综合治理工程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1885A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预防治理水土流失面积3.8k㎡</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AD28D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48BF1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764F9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6518B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DFB14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D9B78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0B7ED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555A557">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673838A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91E44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472B9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白邑小流域坡耕地水土流失综合治理工程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2437D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预防治理水土流失面积3.8k㎡</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66ACC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95867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5BB90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5C540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40085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405D8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FA6A8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4FB76E36">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7918157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028EA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9863F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米茂小流域治理</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640B1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预防治理水土流失面积3.8k㎡</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D3D3A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1FE7E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8C5B5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61D61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7F100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E6A25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5A14E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4C93744">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6043DC1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B919C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7</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91BD8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浦贝河小流域坡耕地水土流失综合治理工程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FBDC3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预防治理水土流失面积3.8k㎡</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B28BD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CCDF4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8A264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1BDA0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C1132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658BE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02985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13682AC">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307A63F4">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40F05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05BB3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占马田小流域坡耕地水土流失综合治理工程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F0295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预防治理水土流失面积3.8k㎡</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6B9C6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979AB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C03DE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D5E5A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F7B81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E58CB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B7EBC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BCFF25D">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06F8605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00853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9</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176F6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绿汁小流域坡耕地水土流失综合治理工程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8DD15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预防治理水土流失面积3.8k㎡</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17460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绿汁镇</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37C52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C9E4C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D12B1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826C9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81C26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4CFE6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5D8D3C4">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0CE90825">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B5F05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10</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204A5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浦贝小流域坡耕地水土流失综合治理工程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84C67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预防治理水土流失面积3.8k㎡</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3AFB9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32123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9D968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536B6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F3730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8C6FE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F9670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682A723">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279A401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58326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928F9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六街小流域坡耕地水土流失综合治理工程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14984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预防治理水土流失面积3.8k㎡</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3F8B2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171DA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36F6E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00374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CAEF3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44790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192A6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66EF1C7">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03684DC2">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555B1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0F78D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小街小流域坡耕地水土流失综合治理工程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F7157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预防治理水土流失面积3.8k㎡</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54F6D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D925B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890C7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C6AFE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8348D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7AEA5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1250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2685F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02F0563">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4988E40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1D2E05">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4</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B780AE">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（十六）重点河湖生态治理与修复项目表</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E3464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8E1D0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80071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168C5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xml:space="preserve">81410 </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2CAE5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5EDB35">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xml:space="preserve">15410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46A5A0">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xml:space="preserve">66000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180F9E">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5A02C5B1">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3FFB4AE7">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83B2D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BDEB3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绿汁江（易门段）生态廊道保护修复综合治理工程</w:t>
            </w:r>
          </w:p>
        </w:tc>
        <w:tc>
          <w:tcPr>
            <w:tcW w:w="1702" w:type="dxa"/>
            <w:tcBorders>
              <w:top w:val="nil"/>
              <w:left w:val="nil"/>
              <w:bottom w:val="nil"/>
              <w:right w:val="single" w:color="auto" w:sz="4" w:space="0"/>
            </w:tcBorders>
            <w:shd w:val="clear" w:color="auto" w:fill="auto"/>
            <w:tcMar>
              <w:top w:w="15" w:type="dxa"/>
              <w:left w:w="15" w:type="dxa"/>
              <w:bottom w:w="0" w:type="dxa"/>
              <w:right w:w="15" w:type="dxa"/>
            </w:tcMar>
            <w:vAlign w:val="center"/>
          </w:tcPr>
          <w:p w14:paraId="240ADB0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保护修复挤占25.1公里</w:t>
            </w:r>
          </w:p>
        </w:tc>
        <w:tc>
          <w:tcPr>
            <w:tcW w:w="1430" w:type="dxa"/>
            <w:tcBorders>
              <w:top w:val="nil"/>
              <w:left w:val="nil"/>
              <w:bottom w:val="nil"/>
              <w:right w:val="single" w:color="auto" w:sz="4" w:space="0"/>
            </w:tcBorders>
            <w:shd w:val="clear" w:color="auto" w:fill="auto"/>
            <w:tcMar>
              <w:top w:w="15" w:type="dxa"/>
              <w:left w:w="15" w:type="dxa"/>
              <w:bottom w:w="0" w:type="dxa"/>
              <w:right w:w="15" w:type="dxa"/>
            </w:tcMar>
            <w:vAlign w:val="center"/>
          </w:tcPr>
          <w:p w14:paraId="357C9CA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绿汁镇</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E16C2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BCFDB8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xml:space="preserve">6000 </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AC530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8FED7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C3721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xml:space="preserve">6000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7FCF3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7A0BB315">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73E2F35A">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EA917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87858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扒河生态廊道保护修复综合治理工程</w:t>
            </w:r>
          </w:p>
        </w:tc>
        <w:tc>
          <w:tcPr>
            <w:tcW w:w="1702" w:type="dxa"/>
            <w:tcBorders>
              <w:top w:val="single" w:color="auto" w:sz="4" w:space="0"/>
              <w:left w:val="nil"/>
              <w:bottom w:val="nil"/>
              <w:right w:val="single" w:color="auto" w:sz="4" w:space="0"/>
            </w:tcBorders>
            <w:shd w:val="clear" w:color="auto" w:fill="auto"/>
            <w:tcMar>
              <w:top w:w="15" w:type="dxa"/>
              <w:left w:w="15" w:type="dxa"/>
              <w:bottom w:w="0" w:type="dxa"/>
              <w:right w:w="15" w:type="dxa"/>
            </w:tcMar>
            <w:vAlign w:val="center"/>
          </w:tcPr>
          <w:p w14:paraId="13F4CD2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保护修复挤占60公里</w:t>
            </w:r>
          </w:p>
        </w:tc>
        <w:tc>
          <w:tcPr>
            <w:tcW w:w="1430" w:type="dxa"/>
            <w:tcBorders>
              <w:top w:val="single" w:color="auto" w:sz="4" w:space="0"/>
              <w:left w:val="nil"/>
              <w:bottom w:val="nil"/>
              <w:right w:val="single" w:color="auto" w:sz="4" w:space="0"/>
            </w:tcBorders>
            <w:shd w:val="clear" w:color="auto" w:fill="auto"/>
            <w:tcMar>
              <w:top w:w="15" w:type="dxa"/>
              <w:left w:w="15" w:type="dxa"/>
              <w:bottom w:w="0" w:type="dxa"/>
              <w:right w:w="15" w:type="dxa"/>
            </w:tcMar>
            <w:vAlign w:val="center"/>
          </w:tcPr>
          <w:p w14:paraId="67929E3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六街街道、龙泉街道、浦贝乡、十街乡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7E6EE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4AA36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xml:space="preserve">13000 </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EFC8E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68652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xml:space="preserve">13000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8202E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3CFA9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D44C1EF">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21EC44AB">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EE9F7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96BB6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易门县苗茂水库库尾生态治理工程</w:t>
            </w:r>
          </w:p>
        </w:tc>
        <w:tc>
          <w:tcPr>
            <w:tcW w:w="170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1670E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修复水域岸线空间萎缩面积2.3平方公里</w:t>
            </w:r>
          </w:p>
        </w:tc>
        <w:tc>
          <w:tcPr>
            <w:tcW w:w="1430" w:type="dxa"/>
            <w:tcBorders>
              <w:top w:val="single" w:color="auto" w:sz="4" w:space="0"/>
              <w:left w:val="nil"/>
              <w:bottom w:val="nil"/>
              <w:right w:val="single" w:color="auto" w:sz="4" w:space="0"/>
            </w:tcBorders>
            <w:shd w:val="clear" w:color="auto" w:fill="auto"/>
            <w:tcMar>
              <w:top w:w="15" w:type="dxa"/>
              <w:left w:w="15" w:type="dxa"/>
              <w:bottom w:w="0" w:type="dxa"/>
              <w:right w:w="15" w:type="dxa"/>
            </w:tcMar>
            <w:vAlign w:val="center"/>
          </w:tcPr>
          <w:p w14:paraId="0AF43C5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A6487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53C4B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xml:space="preserve">2410 </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CA1A2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E6470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xml:space="preserve">2410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5ED4B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CF2F1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CEC5AA3">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4AF819FD">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D5A26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A1D70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岔河水库生态治理与修复工程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7DC0D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修复水域岸线空间萎缩面积74平方公里</w:t>
            </w:r>
          </w:p>
        </w:tc>
        <w:tc>
          <w:tcPr>
            <w:tcW w:w="1430" w:type="dxa"/>
            <w:tcBorders>
              <w:top w:val="single" w:color="auto" w:sz="4" w:space="0"/>
              <w:left w:val="nil"/>
              <w:bottom w:val="nil"/>
              <w:right w:val="single" w:color="auto" w:sz="4" w:space="0"/>
            </w:tcBorders>
            <w:shd w:val="clear" w:color="auto" w:fill="auto"/>
            <w:tcMar>
              <w:top w:w="15" w:type="dxa"/>
              <w:left w:w="15" w:type="dxa"/>
              <w:bottom w:w="0" w:type="dxa"/>
              <w:right w:w="15" w:type="dxa"/>
            </w:tcMar>
            <w:vAlign w:val="center"/>
          </w:tcPr>
          <w:p w14:paraId="21FA296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ABD25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26362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xml:space="preserve">60000 </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681D9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7126B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796CA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xml:space="preserve">60000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EE7A0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40859C91">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31934991">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37C81E">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7</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EE02B1">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（十七）水系连通及农村水系综合整治</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03C37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43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E65F4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027F2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8AF316">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26900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A7BCFC">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6D5A4A">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16420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BEF065">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10480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14A746">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r>
      <w:tr w14:paraId="79067A1C">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1DC1F1A6">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70C2B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1A05F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易门县小街乡狮子山河、小街河治理工程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2BCA3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河道清障、清淤疏浚、岸坡整治、水源涵养与水土保持</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4027C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小街乡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7EA0F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6575C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5935</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B931B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360D3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5935</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BB9A8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FEFF4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7A135DE3">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446F2AC3">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892E9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CCD65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六街街道二街河、王家滩河治理工程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754F4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河道清障、清淤疏浚、岸坡整治、水源涵养与水土保持</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C47AD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六街街道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124ED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740D1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4375</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1D9EF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227C0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4375</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EAE01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0D372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F337CD9">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338B0994">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1FB51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B1A46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龙泉街道打矿箐河治理工程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76D10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河道清障、清淤疏浚、岸坡整治、水源涵养与水土保持</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EE4BD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龙泉街道</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8DB95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53A03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3075</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291D4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8393E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3075</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BA8C7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B6E37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43C4ED55">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3DDA6512">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C802E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C7094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浦贝乡苗茂小河治理工程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95BD6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河道清障、清淤疏浚、岸坡整治、水源涵养与水土保持</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F29C4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浦贝乡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3674B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2022年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2D430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3035</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53B5D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0023F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3035</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B4CBB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4C2C1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CF2CA95">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4FF4374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26C8D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C106C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十街乡老吾河治理工程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1D2C8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河道清障、清淤疏浚、岸坡整治、水源涵养与水土保持</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EFA5F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十街乡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4F5B8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028A9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1675</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C07EC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64AEF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84FD9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1675</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9902A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0C97E333">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6397A498">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F5EB5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4E85D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绿汁镇蚂蟥箐河、一都河、发味河治理工程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AB498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河道清障、清淤疏浚、岸坡整治、水源涵养与水土保持</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AF0C2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绿汁镇</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65E7D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96E8A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5095</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2ABDB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8FAEE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06751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5095</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89265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BE61926">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435AD46D">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9301B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7</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46E61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铜厂乡米茂河、里士河、铜厂河治理工程</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C380B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河道清障、清淤疏浚、岸坡整治、水源涵养与水土保持</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30750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铜厂乡</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1AED4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2025年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88B8D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3710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8BB28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E7E52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67055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3710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093B5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692799A2">
        <w:tblPrEx>
          <w:tblCellMar>
            <w:top w:w="0" w:type="dxa"/>
            <w:left w:w="0" w:type="dxa"/>
            <w:bottom w:w="0" w:type="dxa"/>
            <w:right w:w="0" w:type="dxa"/>
          </w:tblCellMar>
        </w:tblPrEx>
        <w:trPr>
          <w:trHeight w:val="510" w:hRule="atLeast"/>
        </w:trPr>
        <w:tc>
          <w:tcPr>
            <w:tcW w:w="873" w:type="dxa"/>
            <w:vMerge w:val="restart"/>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14:paraId="7E4A31DE">
            <w:pPr>
              <w:widowControl/>
              <w:adjustRightInd/>
              <w:snapToGrid/>
              <w:spacing w:line="240" w:lineRule="auto"/>
              <w:ind w:firstLine="0" w:firstLineChars="0"/>
              <w:jc w:val="center"/>
              <w:rPr>
                <w:rFonts w:eastAsia="宋体" w:cs="宋体"/>
                <w:b/>
                <w:bCs/>
                <w:color w:val="000000" w:themeColor="text1"/>
                <w:kern w:val="0"/>
                <w:sz w:val="21"/>
                <w:szCs w:val="21"/>
                <w14:textFill>
                  <w14:solidFill>
                    <w14:schemeClr w14:val="tx1"/>
                  </w14:solidFill>
                </w14:textFill>
              </w:rPr>
            </w:pPr>
            <w:r>
              <w:rPr>
                <w:rFonts w:eastAsia="宋体" w:cs="宋体"/>
                <w:b/>
                <w:bCs/>
                <w:color w:val="000000" w:themeColor="text1"/>
                <w:kern w:val="0"/>
                <w:sz w:val="21"/>
                <w:szCs w:val="21"/>
                <w14:textFill>
                  <w14:solidFill>
                    <w14:schemeClr w14:val="tx1"/>
                  </w14:solidFill>
                </w14:textFill>
              </w:rPr>
              <w:t>信息化</w:t>
            </w: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5B8EC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7</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CD267D">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(十八)水利信息化建设项目表</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E60D3C">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096857">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　</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E0D9E8">
            <w:pPr>
              <w:widowControl/>
              <w:adjustRightInd/>
              <w:snapToGrid/>
              <w:spacing w:line="240" w:lineRule="auto"/>
              <w:ind w:firstLine="0" w:firstLineChars="0"/>
              <w:jc w:val="left"/>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61906E">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83568</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B974B6">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9C30EC">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55968</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03D984">
            <w:pPr>
              <w:widowControl/>
              <w:adjustRightInd/>
              <w:snapToGrid/>
              <w:spacing w:line="240" w:lineRule="auto"/>
              <w:ind w:firstLine="0" w:firstLineChars="0"/>
              <w:jc w:val="center"/>
              <w:rPr>
                <w:rFonts w:eastAsia="等线" w:cs="宋体"/>
                <w:b/>
                <w:bCs/>
                <w:color w:val="000000" w:themeColor="text1"/>
                <w:kern w:val="0"/>
                <w:sz w:val="21"/>
                <w:szCs w:val="21"/>
                <w14:textFill>
                  <w14:solidFill>
                    <w14:schemeClr w14:val="tx1"/>
                  </w14:solidFill>
                </w14:textFill>
              </w:rPr>
            </w:pPr>
            <w:r>
              <w:rPr>
                <w:rFonts w:eastAsia="等线" w:cs="宋体"/>
                <w:b/>
                <w:bCs/>
                <w:color w:val="000000" w:themeColor="text1"/>
                <w:kern w:val="0"/>
                <w:sz w:val="21"/>
                <w:szCs w:val="21"/>
                <w14:textFill>
                  <w14:solidFill>
                    <w14:schemeClr w14:val="tx1"/>
                  </w14:solidFill>
                </w14:textFill>
              </w:rPr>
              <w:t>27600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D58B1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283993A3">
        <w:tblPrEx>
          <w:tblCellMar>
            <w:top w:w="0" w:type="dxa"/>
            <w:left w:w="0" w:type="dxa"/>
            <w:bottom w:w="0" w:type="dxa"/>
            <w:right w:w="0" w:type="dxa"/>
          </w:tblCellMar>
        </w:tblPrEx>
        <w:trPr>
          <w:trHeight w:val="510" w:hRule="atLeast"/>
        </w:trPr>
        <w:tc>
          <w:tcPr>
            <w:tcW w:w="873" w:type="dxa"/>
            <w:vMerge w:val="continue"/>
            <w:tcBorders>
              <w:top w:val="nil"/>
              <w:left w:val="single" w:color="auto" w:sz="4" w:space="0"/>
              <w:bottom w:val="single" w:color="000000" w:sz="4" w:space="0"/>
              <w:right w:val="single" w:color="auto" w:sz="4" w:space="0"/>
            </w:tcBorders>
            <w:vAlign w:val="center"/>
          </w:tcPr>
          <w:p w14:paraId="4AA75A2F">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AFCDA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C3BA9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国家基本水文站提档升级改造</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3A58F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国家基本水文站提档升级改造</w:t>
            </w:r>
          </w:p>
        </w:tc>
        <w:tc>
          <w:tcPr>
            <w:tcW w:w="14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3B511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AF061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D239B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668</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AE36D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90848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668</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A86AE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422CD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4133FFF6">
        <w:tblPrEx>
          <w:tblCellMar>
            <w:top w:w="0" w:type="dxa"/>
            <w:left w:w="0" w:type="dxa"/>
            <w:bottom w:w="0" w:type="dxa"/>
            <w:right w:w="0" w:type="dxa"/>
          </w:tblCellMar>
        </w:tblPrEx>
        <w:trPr>
          <w:trHeight w:val="1530" w:hRule="atLeast"/>
        </w:trPr>
        <w:tc>
          <w:tcPr>
            <w:tcW w:w="873" w:type="dxa"/>
            <w:vMerge w:val="continue"/>
            <w:tcBorders>
              <w:top w:val="nil"/>
              <w:left w:val="single" w:color="auto" w:sz="4" w:space="0"/>
              <w:bottom w:val="single" w:color="000000" w:sz="4" w:space="0"/>
              <w:right w:val="single" w:color="auto" w:sz="4" w:space="0"/>
            </w:tcBorders>
            <w:vAlign w:val="center"/>
          </w:tcPr>
          <w:p w14:paraId="2A036A99">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E13E2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C19C5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易门县农村饮水安全智慧供用水系统</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C805F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对413件农村饮水安全工程巩固提升（配套净化、消毒设施、管网更新改造等），新建供水站（厂）12个，配套能水表，建设智能供水管理系统</w:t>
            </w:r>
          </w:p>
        </w:tc>
        <w:tc>
          <w:tcPr>
            <w:tcW w:w="14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9B58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C064A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5AA19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13000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11054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64C0F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13000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D639A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E8885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94D1C57">
        <w:tblPrEx>
          <w:tblCellMar>
            <w:top w:w="0" w:type="dxa"/>
            <w:left w:w="0" w:type="dxa"/>
            <w:bottom w:w="0" w:type="dxa"/>
            <w:right w:w="0" w:type="dxa"/>
          </w:tblCellMar>
        </w:tblPrEx>
        <w:trPr>
          <w:trHeight w:val="1275" w:hRule="atLeast"/>
        </w:trPr>
        <w:tc>
          <w:tcPr>
            <w:tcW w:w="873" w:type="dxa"/>
            <w:vMerge w:val="continue"/>
            <w:tcBorders>
              <w:top w:val="nil"/>
              <w:left w:val="single" w:color="auto" w:sz="4" w:space="0"/>
              <w:bottom w:val="single" w:color="000000" w:sz="4" w:space="0"/>
              <w:right w:val="single" w:color="auto" w:sz="4" w:space="0"/>
            </w:tcBorders>
            <w:vAlign w:val="center"/>
          </w:tcPr>
          <w:p w14:paraId="37ACC1DA">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C974F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3</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693B6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易门县水库水情测报、远程控制系统</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4D655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完成易门县3座中型水库，10座小一型、63座小二型水库水利信息监测预警、预测预报、综合分析、预测控制自动化体系。</w:t>
            </w:r>
          </w:p>
        </w:tc>
        <w:tc>
          <w:tcPr>
            <w:tcW w:w="14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9B4A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11F18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01BB4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26300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063D2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602C9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26300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230B5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AB00AB">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4D8426CF">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08FF9A66">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57FA40">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4</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101EB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易门县农业灌溉智慧用水系统</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3CDF8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完成易门县16万亩农业灌溉智慧用水信息监测、调度控制自动化体系。</w:t>
            </w:r>
          </w:p>
        </w:tc>
        <w:tc>
          <w:tcPr>
            <w:tcW w:w="14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5D25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B43F1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2023年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A629C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0065E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99C4C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16000</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E219F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BCC94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341CDAF1">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6D0CB17E">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565F3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5</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D4E8C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易门县工业智慧用水系统</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4546F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完成易门县500户企业生产用水智慧用水信息监测、调度控制自动化体系。</w:t>
            </w:r>
          </w:p>
        </w:tc>
        <w:tc>
          <w:tcPr>
            <w:tcW w:w="14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ABF68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8F59C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95ECF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5156A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FDB3E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A1BE2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8000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E76B8E">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518107A2">
        <w:tblPrEx>
          <w:tblCellMar>
            <w:top w:w="0" w:type="dxa"/>
            <w:left w:w="0" w:type="dxa"/>
            <w:bottom w:w="0" w:type="dxa"/>
            <w:right w:w="0" w:type="dxa"/>
          </w:tblCellMar>
        </w:tblPrEx>
        <w:trPr>
          <w:trHeight w:val="765" w:hRule="atLeast"/>
        </w:trPr>
        <w:tc>
          <w:tcPr>
            <w:tcW w:w="873" w:type="dxa"/>
            <w:vMerge w:val="continue"/>
            <w:tcBorders>
              <w:top w:val="nil"/>
              <w:left w:val="single" w:color="auto" w:sz="4" w:space="0"/>
              <w:bottom w:val="single" w:color="000000" w:sz="4" w:space="0"/>
              <w:right w:val="single" w:color="auto" w:sz="4" w:space="0"/>
            </w:tcBorders>
            <w:vAlign w:val="center"/>
          </w:tcPr>
          <w:p w14:paraId="25FAFB3D">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D8AFF8">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6</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060DA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易门中小河流水情信息动态监测系统和智能感知网络</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F0952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易门县区域内30条中小漂流水情信息动态监测系统和智能感知网络建设</w:t>
            </w:r>
          </w:p>
        </w:tc>
        <w:tc>
          <w:tcPr>
            <w:tcW w:w="14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5D7D7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F1DBF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C8ED62">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12600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D1AD07">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54C01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00B551">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12600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A3BA8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r w14:paraId="1711A645">
        <w:tblPrEx>
          <w:tblCellMar>
            <w:top w:w="0" w:type="dxa"/>
            <w:left w:w="0" w:type="dxa"/>
            <w:bottom w:w="0" w:type="dxa"/>
            <w:right w:w="0" w:type="dxa"/>
          </w:tblCellMar>
        </w:tblPrEx>
        <w:trPr>
          <w:trHeight w:val="1020" w:hRule="atLeast"/>
        </w:trPr>
        <w:tc>
          <w:tcPr>
            <w:tcW w:w="873" w:type="dxa"/>
            <w:vMerge w:val="continue"/>
            <w:tcBorders>
              <w:top w:val="nil"/>
              <w:left w:val="single" w:color="auto" w:sz="4" w:space="0"/>
              <w:bottom w:val="single" w:color="000000" w:sz="4" w:space="0"/>
              <w:right w:val="single" w:color="auto" w:sz="4" w:space="0"/>
            </w:tcBorders>
            <w:vAlign w:val="center"/>
          </w:tcPr>
          <w:p w14:paraId="48C90F21">
            <w:pPr>
              <w:widowControl/>
              <w:adjustRightInd/>
              <w:snapToGrid/>
              <w:spacing w:line="240" w:lineRule="auto"/>
              <w:ind w:firstLine="0" w:firstLineChars="0"/>
              <w:jc w:val="left"/>
              <w:rPr>
                <w:rFonts w:eastAsia="宋体" w:cs="宋体"/>
                <w:b/>
                <w:bCs/>
                <w:color w:val="000000" w:themeColor="text1"/>
                <w:kern w:val="0"/>
                <w:sz w:val="21"/>
                <w:szCs w:val="21"/>
                <w14:textFill>
                  <w14:solidFill>
                    <w14:schemeClr w14:val="tx1"/>
                  </w14:solidFill>
                </w14:textFill>
              </w:rPr>
            </w:pPr>
          </w:p>
        </w:tc>
        <w:tc>
          <w:tcPr>
            <w:tcW w:w="8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354875">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7</w:t>
            </w:r>
          </w:p>
        </w:tc>
        <w:tc>
          <w:tcPr>
            <w:tcW w:w="14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31F224">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易门县山洪灾害水情信息动态监测系统和智能感知网络</w:t>
            </w:r>
          </w:p>
        </w:tc>
        <w:tc>
          <w:tcPr>
            <w:tcW w:w="17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3C76CA">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易门县区域内7个乡镇（街道）山洪灾害信息监测预警、预测预报综合分析系统建设</w:t>
            </w:r>
          </w:p>
        </w:tc>
        <w:tc>
          <w:tcPr>
            <w:tcW w:w="14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D39AF">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易门县</w:t>
            </w:r>
          </w:p>
        </w:tc>
        <w:tc>
          <w:tcPr>
            <w:tcW w:w="13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AC6D13">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2024年</w:t>
            </w:r>
          </w:p>
        </w:tc>
        <w:tc>
          <w:tcPr>
            <w:tcW w:w="15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A34A3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7000</w:t>
            </w:r>
          </w:p>
        </w:tc>
        <w:tc>
          <w:tcPr>
            <w:tcW w:w="12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94222C">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879C29">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c>
          <w:tcPr>
            <w:tcW w:w="13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5C1C46">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7000</w:t>
            </w:r>
          </w:p>
        </w:tc>
        <w:tc>
          <w:tcPr>
            <w:tcW w:w="7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9A748D">
            <w:pPr>
              <w:widowControl/>
              <w:adjustRightInd/>
              <w:snapToGrid/>
              <w:spacing w:line="240" w:lineRule="auto"/>
              <w:ind w:firstLine="0" w:firstLineChars="0"/>
              <w:jc w:val="center"/>
              <w:rPr>
                <w:rFonts w:eastAsia="等线" w:cs="宋体"/>
                <w:color w:val="000000" w:themeColor="text1"/>
                <w:kern w:val="0"/>
                <w:sz w:val="21"/>
                <w:szCs w:val="21"/>
                <w14:textFill>
                  <w14:solidFill>
                    <w14:schemeClr w14:val="tx1"/>
                  </w14:solidFill>
                </w14:textFill>
              </w:rPr>
            </w:pPr>
            <w:r>
              <w:rPr>
                <w:rFonts w:eastAsia="等线" w:cs="宋体"/>
                <w:color w:val="000000" w:themeColor="text1"/>
                <w:kern w:val="0"/>
                <w:sz w:val="21"/>
                <w:szCs w:val="21"/>
                <w14:textFill>
                  <w14:solidFill>
                    <w14:schemeClr w14:val="tx1"/>
                  </w14:solidFill>
                </w14:textFill>
              </w:rPr>
              <w:t>　</w:t>
            </w:r>
          </w:p>
        </w:tc>
      </w:tr>
    </w:tbl>
    <w:p w14:paraId="1B26FD7C">
      <w:pPr>
        <w:ind w:firstLine="720"/>
        <w:rPr>
          <w:rFonts w:cs="黑体"/>
          <w:color w:val="000000" w:themeColor="text1"/>
          <w:sz w:val="36"/>
          <w:szCs w:val="36"/>
          <w14:textFill>
            <w14:solidFill>
              <w14:schemeClr w14:val="tx1"/>
            </w14:solidFill>
          </w14:textFill>
        </w:rPr>
        <w:sectPr>
          <w:pgSz w:w="16838" w:h="11906" w:orient="landscape"/>
          <w:pgMar w:top="1304" w:right="1418" w:bottom="1304" w:left="1418" w:header="851" w:footer="680" w:gutter="0"/>
          <w:pgNumType w:fmt="numberInDash"/>
          <w:cols w:space="425" w:num="1"/>
          <w:docGrid w:linePitch="381" w:charSpace="0"/>
        </w:sectPr>
      </w:pPr>
    </w:p>
    <w:p w14:paraId="62BCED85">
      <w:pPr>
        <w:pStyle w:val="45"/>
        <w:rPr>
          <w:color w:val="000000" w:themeColor="text1"/>
          <w14:textFill>
            <w14:solidFill>
              <w14:schemeClr w14:val="tx1"/>
            </w14:solidFill>
          </w14:textFill>
        </w:rPr>
      </w:pPr>
      <w:r>
        <w:rPr>
          <w:color w:val="000000" w:themeColor="text1"/>
          <w14:textFill>
            <w14:solidFill>
              <w14:schemeClr w14:val="tx1"/>
            </w14:solidFill>
          </w14:textFill>
        </w:rPr>
        <w:t>规划评价</w:t>
      </w:r>
    </w:p>
    <w:p w14:paraId="5983847F">
      <w:pPr>
        <w:pStyle w:val="76"/>
        <w:rPr>
          <w:color w:val="000000" w:themeColor="text1"/>
          <w14:textFill>
            <w14:solidFill>
              <w14:schemeClr w14:val="tx1"/>
            </w14:solidFill>
          </w14:textFill>
        </w:rPr>
      </w:pPr>
      <w:r>
        <w:rPr>
          <w:color w:val="000000" w:themeColor="text1"/>
          <w14:textFill>
            <w14:solidFill>
              <w14:schemeClr w14:val="tx1"/>
            </w14:solidFill>
          </w14:textFill>
        </w:rPr>
        <w:t>（1）综合评价</w:t>
      </w:r>
    </w:p>
    <w:p w14:paraId="3FD39CE2">
      <w:pPr>
        <w:ind w:firstLine="640"/>
        <w:rPr>
          <w:color w:val="000000" w:themeColor="text1"/>
          <w14:textFill>
            <w14:solidFill>
              <w14:schemeClr w14:val="tx1"/>
            </w14:solidFill>
          </w14:textFill>
        </w:rPr>
      </w:pPr>
      <w:r>
        <w:rPr>
          <w:color w:val="000000" w:themeColor="text1"/>
          <w14:textFill>
            <w14:solidFill>
              <w14:schemeClr w14:val="tx1"/>
            </w14:solidFill>
          </w14:textFill>
        </w:rPr>
        <w:t>规划实施后，可整体促进易门县节水工作的推进，提高易门县用水效率，促进节水型社会建成，提高供水安全保障，提高防汛抗旱应急能力，降低水利运行及供水风险，改善水环境及水生态环境，提高河湖的生态景观度，促进人、水、生态环境的和谐发展，促进经济社会的可持续发展，经济、社会、生态等综合效益显著。</w:t>
      </w:r>
    </w:p>
    <w:p w14:paraId="4192D36D">
      <w:pPr>
        <w:pStyle w:val="76"/>
        <w:rPr>
          <w:color w:val="000000" w:themeColor="text1"/>
          <w14:textFill>
            <w14:solidFill>
              <w14:schemeClr w14:val="tx1"/>
            </w14:solidFill>
          </w14:textFill>
        </w:rPr>
      </w:pPr>
      <w:r>
        <w:rPr>
          <w:color w:val="000000" w:themeColor="text1"/>
          <w14:textFill>
            <w14:solidFill>
              <w14:schemeClr w14:val="tx1"/>
            </w14:solidFill>
          </w14:textFill>
        </w:rPr>
        <w:t>（2）经济效益评价</w:t>
      </w:r>
    </w:p>
    <w:p w14:paraId="7A723BDF">
      <w:pPr>
        <w:ind w:firstLine="640"/>
        <w:rPr>
          <w:color w:val="000000" w:themeColor="text1"/>
          <w14:textFill>
            <w14:solidFill>
              <w14:schemeClr w14:val="tx1"/>
            </w14:solidFill>
          </w14:textFill>
        </w:rPr>
      </w:pPr>
      <w:r>
        <w:rPr>
          <w:color w:val="000000" w:themeColor="text1"/>
          <w14:textFill>
            <w14:solidFill>
              <w14:schemeClr w14:val="tx1"/>
            </w14:solidFill>
          </w14:textFill>
        </w:rPr>
        <w:t>通过节水型社会建设工程的实施，可有效减少水资源的浪费，降低供水成本，直接提高经济效益；通过防汛抗旱减灾工程、除险加固工程等项目的实施，可提高防洪标准，提高干旱时的供水保证率，减少发生洪涝及干旱等灾害时的经济损失；通过水环境、水生态修复与保护等项目的实施，可改善水环境，恢复水生态良性健康的循环，提高水生态观景，改善人居环境；其次，优质的城乡环境可促进旅游业的发展，促进房地产行业的发展，改善投资环境，促进当地社会经济的高速发展，提升人均收入水平。</w:t>
      </w:r>
    </w:p>
    <w:p w14:paraId="76D45DD5">
      <w:pPr>
        <w:pStyle w:val="76"/>
        <w:rPr>
          <w:color w:val="000000" w:themeColor="text1"/>
          <w14:textFill>
            <w14:solidFill>
              <w14:schemeClr w14:val="tx1"/>
            </w14:solidFill>
          </w14:textFill>
        </w:rPr>
      </w:pPr>
      <w:r>
        <w:rPr>
          <w:color w:val="000000" w:themeColor="text1"/>
          <w14:textFill>
            <w14:solidFill>
              <w14:schemeClr w14:val="tx1"/>
            </w14:solidFill>
          </w14:textFill>
        </w:rPr>
        <w:t>（3）社会效益评价</w:t>
      </w:r>
    </w:p>
    <w:p w14:paraId="3ED6BE88">
      <w:pPr>
        <w:ind w:firstLine="640"/>
        <w:rPr>
          <w:color w:val="000000" w:themeColor="text1"/>
          <w14:textFill>
            <w14:solidFill>
              <w14:schemeClr w14:val="tx1"/>
            </w14:solidFill>
          </w14:textFill>
        </w:rPr>
      </w:pPr>
      <w:r>
        <w:rPr>
          <w:color w:val="000000" w:themeColor="text1"/>
          <w14:textFill>
            <w14:solidFill>
              <w14:schemeClr w14:val="tx1"/>
            </w14:solidFill>
          </w14:textFill>
        </w:rPr>
        <w:t>规划实施后，可有效提高易门县饮水安全保障程度，消除水利工程的隐患，防洪减灾，营造安全的生活环境，提高抗旱水平，提高群众用水质量和用水方便程度，提高居民生活水平，改善人居环境，提高居民的生活质量。促进和谐社会的建设和经济社会的协调发展，同时，规划的实施还对社会的稳定起着重要的作用。</w:t>
      </w:r>
    </w:p>
    <w:p w14:paraId="20A41240">
      <w:pPr>
        <w:pStyle w:val="76"/>
        <w:rPr>
          <w:color w:val="000000" w:themeColor="text1"/>
          <w14:textFill>
            <w14:solidFill>
              <w14:schemeClr w14:val="tx1"/>
            </w14:solidFill>
          </w14:textFill>
        </w:rPr>
      </w:pPr>
      <w:r>
        <w:rPr>
          <w:color w:val="000000" w:themeColor="text1"/>
          <w14:textFill>
            <w14:solidFill>
              <w14:schemeClr w14:val="tx1"/>
            </w14:solidFill>
          </w14:textFill>
        </w:rPr>
        <w:t>（4）生态效益评价</w:t>
      </w:r>
    </w:p>
    <w:p w14:paraId="3EFD874D">
      <w:pPr>
        <w:ind w:firstLine="640"/>
        <w:rPr>
          <w:color w:val="000000" w:themeColor="text1"/>
          <w14:textFill>
            <w14:solidFill>
              <w14:schemeClr w14:val="tx1"/>
            </w14:solidFill>
          </w14:textFill>
        </w:rPr>
      </w:pPr>
      <w:r>
        <w:rPr>
          <w:color w:val="000000" w:themeColor="text1"/>
          <w14:textFill>
            <w14:solidFill>
              <w14:schemeClr w14:val="tx1"/>
            </w14:solidFill>
          </w14:textFill>
        </w:rPr>
        <w:t>规划中含有水土保持工程、水生态治理与保护修复工程等环保工程，这些工程实施后，可有效减少水土流失面积，锁水保土，提高水源涵养能力；改善陆生及水生环境，提高植被覆盖率，美化河湖岸线景观，恢复水系联通性及水生生境，提高河道内外环境需水保障程度，促进动、植物生物多样性的恢复，有益于生态、文明、和谐城市的打造。</w:t>
      </w:r>
    </w:p>
    <w:p w14:paraId="09F86592">
      <w:pPr>
        <w:ind w:firstLine="720"/>
        <w:rPr>
          <w:rFonts w:cs="黑体"/>
          <w:color w:val="000000" w:themeColor="text1"/>
          <w:sz w:val="36"/>
          <w:szCs w:val="36"/>
          <w14:textFill>
            <w14:solidFill>
              <w14:schemeClr w14:val="tx1"/>
            </w14:solidFill>
          </w14:textFill>
        </w:rPr>
      </w:pPr>
    </w:p>
    <w:p w14:paraId="7CFE0FD6">
      <w:pPr>
        <w:widowControl/>
        <w:adjustRightInd/>
        <w:snapToGrid/>
        <w:spacing w:line="240" w:lineRule="auto"/>
        <w:ind w:firstLine="0" w:firstLineChars="0"/>
        <w:jc w:val="left"/>
        <w:rPr>
          <w:rFonts w:cs="黑体"/>
          <w:b/>
          <w:bCs/>
          <w:color w:val="000000" w:themeColor="text1"/>
          <w:kern w:val="44"/>
          <w:sz w:val="44"/>
          <w:szCs w:val="36"/>
          <w14:textFill>
            <w14:solidFill>
              <w14:schemeClr w14:val="tx1"/>
            </w14:solidFill>
          </w14:textFill>
        </w:rPr>
      </w:pPr>
      <w:bookmarkStart w:id="211" w:name="_Toc3261"/>
      <w:bookmarkStart w:id="212" w:name="_Toc29430"/>
      <w:r>
        <w:rPr>
          <w:rFonts w:cs="黑体"/>
          <w:color w:val="000000" w:themeColor="text1"/>
          <w:szCs w:val="36"/>
          <w14:textFill>
            <w14:solidFill>
              <w14:schemeClr w14:val="tx1"/>
            </w14:solidFill>
          </w14:textFill>
        </w:rPr>
        <w:br w:type="page"/>
      </w:r>
    </w:p>
    <w:p w14:paraId="2CBC34C0">
      <w:pPr>
        <w:pStyle w:val="43"/>
        <w:rPr>
          <w:color w:val="000000" w:themeColor="text1"/>
          <w14:textFill>
            <w14:solidFill>
              <w14:schemeClr w14:val="tx1"/>
            </w14:solidFill>
          </w14:textFill>
        </w:rPr>
      </w:pPr>
      <w:r>
        <w:rPr>
          <w:color w:val="000000" w:themeColor="text1"/>
          <w14:textFill>
            <w14:solidFill>
              <w14:schemeClr w14:val="tx1"/>
            </w14:solidFill>
          </w14:textFill>
        </w:rPr>
        <w:t>风险评估</w:t>
      </w:r>
      <w:bookmarkEnd w:id="210"/>
      <w:bookmarkEnd w:id="211"/>
      <w:bookmarkEnd w:id="212"/>
    </w:p>
    <w:p w14:paraId="2B3C5409">
      <w:pPr>
        <w:ind w:firstLine="640"/>
        <w:rPr>
          <w:color w:val="000000" w:themeColor="text1"/>
          <w14:textFill>
            <w14:solidFill>
              <w14:schemeClr w14:val="tx1"/>
            </w14:solidFill>
          </w14:textFill>
        </w:rPr>
      </w:pPr>
      <w:bookmarkStart w:id="213" w:name="_Toc2704"/>
      <w:r>
        <w:rPr>
          <w:color w:val="000000" w:themeColor="text1"/>
          <w14:textFill>
            <w14:solidFill>
              <w14:schemeClr w14:val="tx1"/>
            </w14:solidFill>
          </w14:textFill>
        </w:rPr>
        <w:t>易门县“十四五”水安全规划保障主要包括防洪、供水、水生态、水信息化建设“四大板块”。规划实施后，具有防洪、供水、灌溉、生态保护等前向效益，主要体现在以下四个方面：一是防洪减灾建设可进一步完善防洪工程体系，推进洪水风险管理制度的建立，提高重点地区和城镇的防洪标准，提升防灾减灾成效，减轻山洪灾害损失，消除工程安全隐患，确保工程安全；二是供水水网工程建设可新增年供水能力，进一步完善水资源合理配置工程体系，逐步完善水资源管理制度，提高供水安全保障程度；三是水生态治理与修复，保护河湖结构与功能，构建河湖绿色生态廊道，可恢复水清岸绿的水生态体系，促进农村经济发展，改善农村生态环境，满足人民群众对健康水生态、宜居水环境的要求；四是水信息化建设，构建易门县“数字水利”，建设数据中心、工程管理监测系统、防汛抗旱指挥系统、水文、水土保持现代化体系、河长制信息管理系统，提升易门县水利信息化水平。规划实施还可以拉动易门县当地的经济社会发展，解决就业问题等后向效益。</w:t>
      </w:r>
    </w:p>
    <w:p w14:paraId="066FF0BA">
      <w:pPr>
        <w:ind w:firstLine="640"/>
        <w:rPr>
          <w:color w:val="000000" w:themeColor="text1"/>
          <w14:textFill>
            <w14:solidFill>
              <w14:schemeClr w14:val="tx1"/>
            </w14:solidFill>
          </w14:textFill>
        </w:rPr>
      </w:pPr>
      <w:r>
        <w:rPr>
          <w:color w:val="000000" w:themeColor="text1"/>
          <w14:textFill>
            <w14:solidFill>
              <w14:schemeClr w14:val="tx1"/>
            </w14:solidFill>
          </w14:textFill>
        </w:rPr>
        <w:t>同时，规划实施也可能对局部带来一些不利环境影响。整治河道、加固堤防、水源工程建设、生态治理修复、筑坝建库等水利工程建设，改变了河流上下游的水文情势，改变了河流生态系统的结构和功能，有时还会对物种多样性，下游等环境敏感区带来不利影响。水库、跨流域调水等水利工程一般具有淹没及占地多、移民数量大的特点，库区人地矛盾突出，移民安置难度大，带来一些社会问题。</w:t>
      </w:r>
    </w:p>
    <w:p w14:paraId="7A98BC5E">
      <w:pPr>
        <w:ind w:firstLine="640"/>
        <w:rPr>
          <w:color w:val="000000" w:themeColor="text1"/>
          <w14:textFill>
            <w14:solidFill>
              <w14:schemeClr w14:val="tx1"/>
            </w14:solidFill>
          </w14:textFill>
        </w:rPr>
      </w:pPr>
      <w:r>
        <w:rPr>
          <w:color w:val="000000" w:themeColor="text1"/>
          <w14:textFill>
            <w14:solidFill>
              <w14:schemeClr w14:val="tx1"/>
            </w14:solidFill>
          </w14:textFill>
        </w:rPr>
        <w:t>为此，要高度重视规划实施和水利工程建设的不利环境影响，统筹做好水利发展与环境保护工作。依法加强建设项目水资源论证和环境影响评价等工程建设前期工作，强化对工程建设全过程的监督管理，认真落实各项环境保护措施。严格按规定办理用地手续，切实做好工程征地补偿、移民安置和中型水库后期扶持工作，确保被征地农民的生活水平不因征地而降低，保证长远生计，维护移民合法权益。加强对规划实施可能影响的重要生态环境敏感区水生态系统的监测，及时掌握环境变化，采取相应的对策措施。加强规划实施的环境风险评价工作，针对可能发生的重大环境风险问题，制定突发环境事件的风险应急管理措施。</w:t>
      </w:r>
    </w:p>
    <w:p w14:paraId="0E37FBE0">
      <w:pPr>
        <w:ind w:firstLine="720"/>
        <w:rPr>
          <w:color w:val="000000" w:themeColor="text1"/>
          <w14:textFill>
            <w14:solidFill>
              <w14:schemeClr w14:val="tx1"/>
            </w14:solidFill>
          </w14:textFill>
        </w:rPr>
      </w:pPr>
      <w:r>
        <w:rPr>
          <w:rFonts w:cs="黑体"/>
          <w:color w:val="000000" w:themeColor="text1"/>
          <w:sz w:val="36"/>
          <w:szCs w:val="36"/>
          <w14:textFill>
            <w14:solidFill>
              <w14:schemeClr w14:val="tx1"/>
            </w14:solidFill>
          </w14:textFill>
        </w:rPr>
        <w:br w:type="page"/>
      </w:r>
      <w:r>
        <w:rPr>
          <w:color w:val="000000" w:themeColor="text1"/>
          <w14:textFill>
            <w14:solidFill>
              <w14:schemeClr w14:val="tx1"/>
            </w14:solidFill>
          </w14:textFill>
        </w:rPr>
        <w:t>为有效规避、预防、控制本规划实施过程中可能产生的风险，根据《云南省重大行政决策程序规定》（省人民政府令第200号），对本规划决策事项可能存在的社会稳定、生态环境、社会效益、法律纠纷、财政金融和公共安全等方面进行风险评估。</w:t>
      </w:r>
    </w:p>
    <w:p w14:paraId="70B54FBF">
      <w:pPr>
        <w:pStyle w:val="45"/>
        <w:rPr>
          <w:color w:val="000000" w:themeColor="text1"/>
          <w14:textFill>
            <w14:solidFill>
              <w14:schemeClr w14:val="tx1"/>
            </w14:solidFill>
          </w14:textFill>
        </w:rPr>
      </w:pPr>
      <w:r>
        <w:rPr>
          <w:color w:val="000000" w:themeColor="text1"/>
          <w14:textFill>
            <w14:solidFill>
              <w14:schemeClr w14:val="tx1"/>
            </w14:solidFill>
          </w14:textFill>
        </w:rPr>
        <w:t>风险因素</w:t>
      </w:r>
    </w:p>
    <w:p w14:paraId="3776A590">
      <w:pPr>
        <w:ind w:firstLine="643"/>
        <w:rPr>
          <w:color w:val="000000" w:themeColor="text1"/>
          <w14:textFill>
            <w14:solidFill>
              <w14:schemeClr w14:val="tx1"/>
            </w14:solidFill>
          </w14:textFill>
        </w:rPr>
      </w:pPr>
      <w:r>
        <w:rPr>
          <w:b/>
          <w:color w:val="000000" w:themeColor="text1"/>
          <w14:textFill>
            <w14:solidFill>
              <w14:schemeClr w14:val="tx1"/>
            </w14:solidFill>
          </w14:textFill>
        </w:rPr>
        <w:t>社会稳定风险。</w:t>
      </w:r>
      <w:r>
        <w:rPr>
          <w:color w:val="000000" w:themeColor="text1"/>
          <w14:textFill>
            <w14:solidFill>
              <w14:schemeClr w14:val="tx1"/>
            </w14:solidFill>
          </w14:textFill>
        </w:rPr>
        <w:t>易门县</w:t>
      </w:r>
      <w:r>
        <w:rPr>
          <w:rFonts w:hint="eastAsia"/>
          <w:color w:val="000000" w:themeColor="text1"/>
          <w:lang w:eastAsia="zh-CN"/>
          <w14:textFill>
            <w14:solidFill>
              <w14:schemeClr w14:val="tx1"/>
            </w14:solidFill>
          </w14:textFill>
        </w:rPr>
        <w:t>“十四五”</w:t>
      </w:r>
      <w:r>
        <w:rPr>
          <w:color w:val="000000" w:themeColor="text1"/>
          <w14:textFill>
            <w14:solidFill>
              <w14:schemeClr w14:val="tx1"/>
            </w14:solidFill>
          </w14:textFill>
        </w:rPr>
        <w:t>水安全保障规划312件项目，大部分工程的建设均需要征占土地，土地的征占涉及人民群众的切身利益，对人民群众的财产权益和生存发展具有较大影响，处理不当容易引发群体上访、集会、阻挠施工等社会不稳定事件。</w:t>
      </w:r>
    </w:p>
    <w:p w14:paraId="7D7F893A">
      <w:pPr>
        <w:ind w:firstLine="643"/>
        <w:rPr>
          <w:color w:val="000000" w:themeColor="text1"/>
          <w14:textFill>
            <w14:solidFill>
              <w14:schemeClr w14:val="tx1"/>
            </w14:solidFill>
          </w14:textFill>
        </w:rPr>
      </w:pPr>
      <w:r>
        <w:rPr>
          <w:b/>
          <w:color w:val="000000" w:themeColor="text1"/>
          <w14:textFill>
            <w14:solidFill>
              <w14:schemeClr w14:val="tx1"/>
            </w14:solidFill>
          </w14:textFill>
        </w:rPr>
        <w:t>生态环境风险。</w:t>
      </w:r>
      <w:r>
        <w:rPr>
          <w:color w:val="000000" w:themeColor="text1"/>
          <w14:textFill>
            <w14:solidFill>
              <w14:schemeClr w14:val="tx1"/>
            </w14:solidFill>
          </w14:textFill>
        </w:rPr>
        <w:t>规划工程实施将增加水土流失，部分工程建设将在一定程度上改变陆域水循环过程、河湖水文情势及水生态环境。工程征地及施工可能对环境敏感区的完整性、景观、生态系统功能、生物多样性等产生影响，其次，因工程实施涉及以上敏感区可能会对项目审批和推进造成影响。</w:t>
      </w:r>
    </w:p>
    <w:p w14:paraId="27D6E3EE">
      <w:pPr>
        <w:ind w:firstLine="643"/>
        <w:rPr>
          <w:color w:val="000000" w:themeColor="text1"/>
          <w14:textFill>
            <w14:solidFill>
              <w14:schemeClr w14:val="tx1"/>
            </w14:solidFill>
          </w14:textFill>
        </w:rPr>
      </w:pPr>
      <w:r>
        <w:rPr>
          <w:b/>
          <w:color w:val="000000" w:themeColor="text1"/>
          <w14:textFill>
            <w14:solidFill>
              <w14:schemeClr w14:val="tx1"/>
            </w14:solidFill>
          </w14:textFill>
        </w:rPr>
        <w:t>法律纠纷风险。</w:t>
      </w:r>
      <w:r>
        <w:rPr>
          <w:color w:val="000000" w:themeColor="text1"/>
          <w14:textFill>
            <w14:solidFill>
              <w14:schemeClr w14:val="tx1"/>
            </w14:solidFill>
          </w14:textFill>
        </w:rPr>
        <w:t>本规划中的规划项目建设涉及县、乡（镇）政府、设计单位、施工单位、监理单位、用水主体等多个利益相关方和多方合同合作关系，涉及重大利益调整和风险分担，任何环节处理不当都可能发生法律纠纷。</w:t>
      </w:r>
    </w:p>
    <w:p w14:paraId="02C83796">
      <w:pPr>
        <w:ind w:firstLine="643"/>
        <w:rPr>
          <w:b/>
          <w:color w:val="000000" w:themeColor="text1"/>
          <w14:textFill>
            <w14:solidFill>
              <w14:schemeClr w14:val="tx1"/>
            </w14:solidFill>
          </w14:textFill>
        </w:rPr>
      </w:pPr>
      <w:r>
        <w:rPr>
          <w:b/>
          <w:color w:val="000000" w:themeColor="text1"/>
          <w14:textFill>
            <w14:solidFill>
              <w14:schemeClr w14:val="tx1"/>
            </w14:solidFill>
          </w14:textFill>
        </w:rPr>
        <w:t>财政金融风险。</w:t>
      </w:r>
      <w:r>
        <w:rPr>
          <w:color w:val="000000" w:themeColor="text1"/>
          <w14:textFill>
            <w14:solidFill>
              <w14:schemeClr w14:val="tx1"/>
            </w14:solidFill>
          </w14:textFill>
        </w:rPr>
        <w:t>“十四五”期间，易门县水利建设计划投资64.1557亿元，是“十三五”期间的2.7倍，投资规模较大。水利建设项目以公益性和准公益性为主，投资周期长，经济收益低，加重了易门县政府的财政负担，容易产生财政金融风险。</w:t>
      </w:r>
    </w:p>
    <w:p w14:paraId="76949F92">
      <w:pPr>
        <w:ind w:firstLine="643"/>
        <w:rPr>
          <w:b/>
          <w:color w:val="000000" w:themeColor="text1"/>
          <w14:textFill>
            <w14:solidFill>
              <w14:schemeClr w14:val="tx1"/>
            </w14:solidFill>
          </w14:textFill>
        </w:rPr>
      </w:pPr>
      <w:r>
        <w:rPr>
          <w:b/>
          <w:color w:val="000000" w:themeColor="text1"/>
          <w14:textFill>
            <w14:solidFill>
              <w14:schemeClr w14:val="tx1"/>
            </w14:solidFill>
          </w14:textFill>
        </w:rPr>
        <w:t>公共安全风险。</w:t>
      </w:r>
      <w:r>
        <w:rPr>
          <w:color w:val="000000" w:themeColor="text1"/>
          <w14:textFill>
            <w14:solidFill>
              <w14:schemeClr w14:val="tx1"/>
            </w14:solidFill>
          </w14:textFill>
        </w:rPr>
        <w:t>规划项目中涉及城市或农村人饮供水，水质进行实时监测，发现不符合饮用标准，立即采取相应措施；抗旱应急调水工程在干旱年份将作为供水水源工程，如果供水水质出现问题，或出现突发环境风险事件，将影响正常的供水，还可能影响到居民的身体健康，引发社会公共安全事件。</w:t>
      </w:r>
    </w:p>
    <w:p w14:paraId="04A106A9">
      <w:pPr>
        <w:pStyle w:val="45"/>
        <w:rPr>
          <w:color w:val="000000" w:themeColor="text1"/>
          <w14:textFill>
            <w14:solidFill>
              <w14:schemeClr w14:val="tx1"/>
            </w14:solidFill>
          </w14:textFill>
        </w:rPr>
      </w:pPr>
      <w:r>
        <w:rPr>
          <w:color w:val="000000" w:themeColor="text1"/>
          <w14:textFill>
            <w14:solidFill>
              <w14:schemeClr w14:val="tx1"/>
            </w14:solidFill>
          </w14:textFill>
        </w:rPr>
        <w:t>风险应对措施</w:t>
      </w:r>
    </w:p>
    <w:p w14:paraId="51785CBA">
      <w:pPr>
        <w:ind w:firstLine="643"/>
        <w:rPr>
          <w:color w:val="000000" w:themeColor="text1"/>
          <w14:textFill>
            <w14:solidFill>
              <w14:schemeClr w14:val="tx1"/>
            </w14:solidFill>
          </w14:textFill>
        </w:rPr>
      </w:pPr>
      <w:r>
        <w:rPr>
          <w:b/>
          <w:color w:val="000000" w:themeColor="text1"/>
          <w14:textFill>
            <w14:solidFill>
              <w14:schemeClr w14:val="tx1"/>
            </w14:solidFill>
          </w14:textFill>
        </w:rPr>
        <w:t>社会稳定风险应对措施。</w:t>
      </w:r>
      <w:r>
        <w:rPr>
          <w:color w:val="000000" w:themeColor="text1"/>
          <w14:textFill>
            <w14:solidFill>
              <w14:schemeClr w14:val="tx1"/>
            </w14:solidFill>
          </w14:textFill>
        </w:rPr>
        <w:t>强化项目前期工作，科学论证，合理设计，控制征地移民影响规模，从源头上减少社会稳定风险。强化征地前期工作，深入调查，充分征求移民的意愿，在此基础上，科学合理地编制建设征地移民安置规划。严格落实建设征地补偿和移民安置社会稳定风险评估制度，充分排查风险因素，科学评估风险等级，强化评估结论应用，落实地方政府维稳责任。建立风险监测和预警机制，及时掌握移民风险动向，做到“早发现、早处置”。</w:t>
      </w:r>
    </w:p>
    <w:p w14:paraId="7A2DFB79">
      <w:pPr>
        <w:ind w:firstLine="643"/>
        <w:rPr>
          <w:color w:val="000000" w:themeColor="text1"/>
          <w14:textFill>
            <w14:solidFill>
              <w14:schemeClr w14:val="tx1"/>
            </w14:solidFill>
          </w14:textFill>
        </w:rPr>
      </w:pPr>
      <w:r>
        <w:rPr>
          <w:b/>
          <w:color w:val="000000" w:themeColor="text1"/>
          <w14:textFill>
            <w14:solidFill>
              <w14:schemeClr w14:val="tx1"/>
            </w14:solidFill>
          </w14:textFill>
        </w:rPr>
        <w:t>生态环境风险应对措施。</w:t>
      </w:r>
      <w:r>
        <w:rPr>
          <w:color w:val="000000" w:themeColor="text1"/>
          <w14:textFill>
            <w14:solidFill>
              <w14:schemeClr w14:val="tx1"/>
            </w14:solidFill>
          </w14:textFill>
        </w:rPr>
        <w:t>坚持绿色发展理念，水资源配置要保障河流的基本生态环境用水要求，逐步退还挤占的河道内生态环境用水。在工程前期论证阶段要优化工程设计，从源头上减少或消除工程建设的不利影响和阻碍。依法加强规划、建设项目环境影响评价和水土保持等前期工作，提出具体可行的环境影响控制措施和水土保持方案。严格落实“三同时”管理制度，加强建设、管理过程的环境影响监测和环境保护监管。</w:t>
      </w:r>
    </w:p>
    <w:p w14:paraId="0C9BB78E">
      <w:pPr>
        <w:ind w:firstLine="643"/>
        <w:rPr>
          <w:color w:val="000000" w:themeColor="text1"/>
          <w14:textFill>
            <w14:solidFill>
              <w14:schemeClr w14:val="tx1"/>
            </w14:solidFill>
          </w14:textFill>
        </w:rPr>
      </w:pPr>
      <w:r>
        <w:rPr>
          <w:b/>
          <w:color w:val="000000" w:themeColor="text1"/>
          <w14:textFill>
            <w14:solidFill>
              <w14:schemeClr w14:val="tx1"/>
            </w14:solidFill>
          </w14:textFill>
        </w:rPr>
        <w:t>法律纠纷风险应对措施。</w:t>
      </w:r>
      <w:r>
        <w:rPr>
          <w:color w:val="000000" w:themeColor="text1"/>
          <w14:textFill>
            <w14:solidFill>
              <w14:schemeClr w14:val="tx1"/>
            </w14:solidFill>
          </w14:textFill>
        </w:rPr>
        <w:t>强化县、乡镇政府及各部门的法律意识，维护政府信用。严格执行项目“五制”建设、落实项目单位六项管理制度。通过签订合同等形式，规范合作行为，完善合同约定事项，明确界定合同双方的责权利关系、违约处理、争议解决等内容，提前预防法律纠纷风险。</w:t>
      </w:r>
    </w:p>
    <w:p w14:paraId="59726A3A">
      <w:pPr>
        <w:ind w:firstLine="643"/>
        <w:rPr>
          <w:color w:val="000000" w:themeColor="text1"/>
          <w14:textFill>
            <w14:solidFill>
              <w14:schemeClr w14:val="tx1"/>
            </w14:solidFill>
          </w14:textFill>
        </w:rPr>
      </w:pPr>
      <w:r>
        <w:rPr>
          <w:b/>
          <w:color w:val="000000" w:themeColor="text1"/>
          <w14:textFill>
            <w14:solidFill>
              <w14:schemeClr w14:val="tx1"/>
            </w14:solidFill>
          </w14:textFill>
        </w:rPr>
        <w:t>财政金融风险应对措施。</w:t>
      </w:r>
      <w:r>
        <w:rPr>
          <w:color w:val="000000" w:themeColor="text1"/>
          <w14:textFill>
            <w14:solidFill>
              <w14:schemeClr w14:val="tx1"/>
            </w14:solidFill>
          </w14:textFill>
        </w:rPr>
        <w:t>创新水利投融资体制，积极引入社会资本，鼓励社会资本参与水利工程建设和运营。统筹城乡供水，实行水源工程、供水排水、污水处理、中水回用等一体化建设运营。建立规模控制、预算管理和风险预警制度，全面动态监控地方政府债务情况，及时应对和处理。</w:t>
      </w:r>
    </w:p>
    <w:p w14:paraId="1FBFB7AC">
      <w:pPr>
        <w:ind w:firstLine="643"/>
        <w:rPr>
          <w:color w:val="000000" w:themeColor="text1"/>
          <w14:textFill>
            <w14:solidFill>
              <w14:schemeClr w14:val="tx1"/>
            </w14:solidFill>
          </w14:textFill>
        </w:rPr>
      </w:pPr>
      <w:r>
        <w:rPr>
          <w:b/>
          <w:color w:val="000000" w:themeColor="text1"/>
          <w14:textFill>
            <w14:solidFill>
              <w14:schemeClr w14:val="tx1"/>
            </w14:solidFill>
          </w14:textFill>
        </w:rPr>
        <w:t>公共安全风险应对措施。</w:t>
      </w:r>
      <w:r>
        <w:rPr>
          <w:color w:val="000000" w:themeColor="text1"/>
          <w14:textFill>
            <w14:solidFill>
              <w14:schemeClr w14:val="tx1"/>
            </w14:solidFill>
          </w14:textFill>
        </w:rPr>
        <w:t>重视专家论证意见，把好设计技术评审关。加强对水源工程的水源安全保护，建立健全饮用水水源水质监测制度，实时监测源头水质，制定饮用水水源地保护规划，划定饮用水水源保护区，对饮用水源地进行封闭管理。针对各水源工程编制应急预案，并配备应急物资和应急队伍，加强应急演练，提高应对突发水质事件的能力。</w:t>
      </w:r>
    </w:p>
    <w:p w14:paraId="5388DEB5">
      <w:pPr>
        <w:pStyle w:val="45"/>
        <w:rPr>
          <w:color w:val="000000" w:themeColor="text1"/>
          <w14:textFill>
            <w14:solidFill>
              <w14:schemeClr w14:val="tx1"/>
            </w14:solidFill>
          </w14:textFill>
        </w:rPr>
      </w:pPr>
      <w:r>
        <w:rPr>
          <w:color w:val="000000" w:themeColor="text1"/>
          <w14:textFill>
            <w14:solidFill>
              <w14:schemeClr w14:val="tx1"/>
            </w14:solidFill>
          </w14:textFill>
        </w:rPr>
        <w:t>风险等级</w:t>
      </w:r>
    </w:p>
    <w:p w14:paraId="67A86577">
      <w:pPr>
        <w:ind w:firstLine="640"/>
        <w:rPr>
          <w:color w:val="000000" w:themeColor="text1"/>
          <w14:textFill>
            <w14:solidFill>
              <w14:schemeClr w14:val="tx1"/>
            </w14:solidFill>
          </w14:textFill>
        </w:rPr>
      </w:pPr>
      <w:r>
        <w:rPr>
          <w:color w:val="000000" w:themeColor="text1"/>
          <w14:textFill>
            <w14:solidFill>
              <w14:schemeClr w14:val="tx1"/>
            </w14:solidFill>
          </w14:textFill>
        </w:rPr>
        <w:t>本规划在增强供水安全保障能力、保护重点地区防洪安全、完善农村水利基础设施、改善河湖生态健康、推进水土流失治理等方面具有良好的社会、环境效益。本规划存在的社会稳定、生态环境、法律纠纷、财政金融和公共安全风险具有可控性。在充分落实前述风险应对措施后，确定实施本规划的综合风险等级为“低风险”，其中社会稳定风险为“小风险”。</w:t>
      </w:r>
    </w:p>
    <w:p w14:paraId="002F451C">
      <w:pPr>
        <w:widowControl/>
        <w:adjustRightInd/>
        <w:snapToGrid/>
        <w:spacing w:line="240" w:lineRule="auto"/>
        <w:ind w:firstLine="0" w:firstLineChars="0"/>
        <w:jc w:val="left"/>
        <w:rPr>
          <w:rFonts w:cs="黑体"/>
          <w:color w:val="000000" w:themeColor="text1"/>
          <w:sz w:val="36"/>
          <w:szCs w:val="36"/>
          <w14:textFill>
            <w14:solidFill>
              <w14:schemeClr w14:val="tx1"/>
            </w14:solidFill>
          </w14:textFill>
        </w:rPr>
      </w:pPr>
      <w:r>
        <w:rPr>
          <w:rFonts w:cs="黑体"/>
          <w:color w:val="000000" w:themeColor="text1"/>
          <w:sz w:val="36"/>
          <w:szCs w:val="36"/>
          <w14:textFill>
            <w14:solidFill>
              <w14:schemeClr w14:val="tx1"/>
            </w14:solidFill>
          </w14:textFill>
        </w:rPr>
        <w:br w:type="page"/>
      </w:r>
    </w:p>
    <w:p w14:paraId="68A81713">
      <w:pPr>
        <w:pStyle w:val="43"/>
        <w:rPr>
          <w:color w:val="000000" w:themeColor="text1"/>
          <w14:textFill>
            <w14:solidFill>
              <w14:schemeClr w14:val="tx1"/>
            </w14:solidFill>
          </w14:textFill>
        </w:rPr>
      </w:pPr>
      <w:bookmarkStart w:id="214" w:name="_Toc9494"/>
      <w:bookmarkStart w:id="215" w:name="_Toc21649"/>
      <w:r>
        <w:rPr>
          <w:color w:val="000000" w:themeColor="text1"/>
          <w14:textFill>
            <w14:solidFill>
              <w14:schemeClr w14:val="tx1"/>
            </w14:solidFill>
          </w14:textFill>
        </w:rPr>
        <w:t>保障措施</w:t>
      </w:r>
      <w:bookmarkEnd w:id="213"/>
      <w:bookmarkEnd w:id="214"/>
      <w:bookmarkEnd w:id="215"/>
    </w:p>
    <w:p w14:paraId="3FF29118">
      <w:pPr>
        <w:ind w:firstLine="640"/>
        <w:rPr>
          <w:color w:val="000000" w:themeColor="text1"/>
          <w14:textFill>
            <w14:solidFill>
              <w14:schemeClr w14:val="tx1"/>
            </w14:solidFill>
          </w14:textFill>
        </w:rPr>
      </w:pPr>
      <w:bookmarkStart w:id="216" w:name="_Toc31019"/>
      <w:r>
        <w:rPr>
          <w:color w:val="000000" w:themeColor="text1"/>
          <w14:textFill>
            <w14:solidFill>
              <w14:schemeClr w14:val="tx1"/>
            </w14:solidFill>
          </w14:textFill>
        </w:rPr>
        <w:t>“十四五”时期，水利建设任务重、投资强度大、管理要求高、改革难度大。为推动规划顺利实施，需要各级政府和有关部门高度重视、密切配合，保障规划目标任务完成。</w:t>
      </w:r>
    </w:p>
    <w:p w14:paraId="6728CCD8">
      <w:pPr>
        <w:pStyle w:val="45"/>
        <w:rPr>
          <w:color w:val="000000" w:themeColor="text1"/>
          <w14:textFill>
            <w14:solidFill>
              <w14:schemeClr w14:val="tx1"/>
            </w14:solidFill>
          </w14:textFill>
        </w:rPr>
      </w:pPr>
      <w:bookmarkStart w:id="217" w:name="_Toc29970"/>
      <w:bookmarkStart w:id="218" w:name="_Toc155"/>
      <w:r>
        <w:rPr>
          <w:color w:val="000000" w:themeColor="text1"/>
          <w14:textFill>
            <w14:solidFill>
              <w14:schemeClr w14:val="tx1"/>
            </w14:solidFill>
          </w14:textFill>
        </w:rPr>
        <w:t>强化组织领导</w:t>
      </w:r>
      <w:bookmarkEnd w:id="216"/>
      <w:bookmarkEnd w:id="217"/>
      <w:bookmarkEnd w:id="218"/>
    </w:p>
    <w:p w14:paraId="007C543A">
      <w:pPr>
        <w:ind w:firstLine="640"/>
        <w:rPr>
          <w:color w:val="000000" w:themeColor="text1"/>
          <w14:textFill>
            <w14:solidFill>
              <w14:schemeClr w14:val="tx1"/>
            </w14:solidFill>
          </w14:textFill>
        </w:rPr>
      </w:pPr>
      <w:bookmarkStart w:id="219" w:name="_Toc32665"/>
      <w:r>
        <w:rPr>
          <w:color w:val="000000" w:themeColor="text1"/>
          <w14:textFill>
            <w14:solidFill>
              <w14:schemeClr w14:val="tx1"/>
            </w14:solidFill>
          </w14:textFill>
        </w:rPr>
        <w:t>加强组织领导，严格落实责任。要适应新形势新任务的要求，强化易门县水安全保障工作责任，实行分级管理，分级负责，建立统筹协调和分类指导实施机制。水行政主管部门发挥牵头作用，主要领导要亲自抓，主动与其他部门加强沟通协调；发改、财政、自然资源、生态环境、农业农村等部门要协调联动、齐抓共管，形成水安全保障工作合力。</w:t>
      </w:r>
    </w:p>
    <w:p w14:paraId="18ACD36B">
      <w:pPr>
        <w:pStyle w:val="45"/>
        <w:rPr>
          <w:color w:val="000000" w:themeColor="text1"/>
          <w14:textFill>
            <w14:solidFill>
              <w14:schemeClr w14:val="tx1"/>
            </w14:solidFill>
          </w14:textFill>
        </w:rPr>
      </w:pPr>
      <w:bookmarkStart w:id="220" w:name="_Toc17796"/>
      <w:bookmarkStart w:id="221" w:name="_Toc22410"/>
      <w:r>
        <w:rPr>
          <w:color w:val="000000" w:themeColor="text1"/>
          <w14:textFill>
            <w14:solidFill>
              <w14:schemeClr w14:val="tx1"/>
            </w14:solidFill>
          </w14:textFill>
        </w:rPr>
        <w:t>深化前期工作</w:t>
      </w:r>
      <w:bookmarkEnd w:id="219"/>
      <w:bookmarkEnd w:id="220"/>
      <w:bookmarkEnd w:id="221"/>
    </w:p>
    <w:p w14:paraId="64A83D74">
      <w:pPr>
        <w:ind w:firstLine="640"/>
        <w:rPr>
          <w:color w:val="000000" w:themeColor="text1"/>
          <w14:textFill>
            <w14:solidFill>
              <w14:schemeClr w14:val="tx1"/>
            </w14:solidFill>
          </w14:textFill>
        </w:rPr>
      </w:pPr>
      <w:bookmarkStart w:id="222" w:name="_Toc1342"/>
      <w:r>
        <w:rPr>
          <w:color w:val="000000" w:themeColor="text1"/>
          <w14:textFill>
            <w14:solidFill>
              <w14:schemeClr w14:val="tx1"/>
            </w14:solidFill>
          </w14:textFill>
        </w:rPr>
        <w:t>建立项目前期工作责任制，加快水利项目前期工作，建立开工一批、推进一批、论证一批、储备一批的前期工作良性滚动机制。严格执行工程建设有关强制标准和规程规范，确保前期工作质量和深度。抓好项目环评、用地预审等要件办理，协调解决征地移民中的重大问题，积极落实建设条件。继续推行“放管服”改革，加快项目审查审批进度，强化监管，提高效率，力争多开早开。</w:t>
      </w:r>
    </w:p>
    <w:p w14:paraId="1C35246B">
      <w:pPr>
        <w:pStyle w:val="45"/>
        <w:rPr>
          <w:color w:val="000000" w:themeColor="text1"/>
          <w14:textFill>
            <w14:solidFill>
              <w14:schemeClr w14:val="tx1"/>
            </w14:solidFill>
          </w14:textFill>
        </w:rPr>
      </w:pPr>
      <w:bookmarkStart w:id="223" w:name="_Toc12410"/>
      <w:bookmarkStart w:id="224" w:name="_Toc6325"/>
      <w:r>
        <w:rPr>
          <w:color w:val="000000" w:themeColor="text1"/>
          <w14:textFill>
            <w14:solidFill>
              <w14:schemeClr w14:val="tx1"/>
            </w14:solidFill>
          </w14:textFill>
        </w:rPr>
        <w:t>加大投入力度</w:t>
      </w:r>
      <w:bookmarkEnd w:id="222"/>
      <w:bookmarkEnd w:id="223"/>
      <w:bookmarkEnd w:id="224"/>
    </w:p>
    <w:p w14:paraId="5A930C72">
      <w:pPr>
        <w:ind w:firstLine="640"/>
        <w:rPr>
          <w:color w:val="000000" w:themeColor="text1"/>
          <w14:textFill>
            <w14:solidFill>
              <w14:schemeClr w14:val="tx1"/>
            </w14:solidFill>
          </w14:textFill>
        </w:rPr>
      </w:pPr>
      <w:bookmarkStart w:id="225" w:name="_Toc14960"/>
      <w:r>
        <w:rPr>
          <w:color w:val="000000" w:themeColor="text1"/>
          <w14:textFill>
            <w14:solidFill>
              <w14:schemeClr w14:val="tx1"/>
            </w14:solidFill>
          </w14:textFill>
        </w:rPr>
        <w:t>加大资金投入。完善投资机制。充分发挥各级财政对水利工程建设投资的主渠道引导作用，积极争取中央财政支持和金融政策支持，发挥市场机制作用，鼓励社会资本参与易门县水利事业的投入。优化水利建设投资结构，在优先保障重大水利工程投资的基础上，加大重点河湖水生态保护与修复、中型灌区现代化改造、节约用水等领域的投资力度。</w:t>
      </w:r>
    </w:p>
    <w:p w14:paraId="63BEFB2C">
      <w:pPr>
        <w:pStyle w:val="45"/>
        <w:rPr>
          <w:color w:val="000000" w:themeColor="text1"/>
          <w14:textFill>
            <w14:solidFill>
              <w14:schemeClr w14:val="tx1"/>
            </w14:solidFill>
          </w14:textFill>
        </w:rPr>
      </w:pPr>
      <w:bookmarkStart w:id="226" w:name="_Toc17446"/>
      <w:bookmarkStart w:id="227" w:name="_Toc15360"/>
      <w:r>
        <w:rPr>
          <w:color w:val="000000" w:themeColor="text1"/>
          <w14:textFill>
            <w14:solidFill>
              <w14:schemeClr w14:val="tx1"/>
            </w14:solidFill>
          </w14:textFill>
        </w:rPr>
        <w:t>严格检测评价</w:t>
      </w:r>
      <w:bookmarkEnd w:id="225"/>
      <w:bookmarkEnd w:id="226"/>
      <w:bookmarkEnd w:id="227"/>
    </w:p>
    <w:p w14:paraId="7A983C8C">
      <w:pPr>
        <w:ind w:firstLine="640"/>
        <w:rPr>
          <w:color w:val="000000" w:themeColor="text1"/>
          <w14:textFill>
            <w14:solidFill>
              <w14:schemeClr w14:val="tx1"/>
            </w14:solidFill>
          </w14:textFill>
        </w:rPr>
      </w:pPr>
      <w:r>
        <w:rPr>
          <w:color w:val="000000" w:themeColor="text1"/>
          <w14:textFill>
            <w14:solidFill>
              <w14:schemeClr w14:val="tx1"/>
            </w14:solidFill>
          </w14:textFill>
        </w:rPr>
        <w:t>建立健全行政问责规章制度和监督检查机制，加强规划目标指标实施进度监测和重点任务完成情况的跟踪。建立规划实施督促检查机制，加强对规划目标指标和重点任务完成情况的跟踪督办。适时开展规划实施情况评估，分析实施效果及存在问题，提升规划的适应性。努力实现工程安全、资金安全、生产安全、干部安全。切实转变行政理念，强化信息公开鼓励公众参与，建立必要的公示制度和公众参与制度，定期公布评估报告，加强公共服务平台建设，维护公民正当权益，体现决策的民主性。</w:t>
      </w:r>
    </w:p>
    <w:p w14:paraId="60477D27">
      <w:pPr>
        <w:ind w:firstLine="720"/>
        <w:rPr>
          <w:rFonts w:eastAsia="黑体" w:cs="黑体"/>
          <w:color w:val="000000" w:themeColor="text1"/>
          <w:sz w:val="36"/>
          <w:szCs w:val="36"/>
          <w14:textFill>
            <w14:solidFill>
              <w14:schemeClr w14:val="tx1"/>
            </w14:solidFill>
          </w14:textFill>
        </w:rPr>
      </w:pPr>
      <w:bookmarkStart w:id="228" w:name="_Toc21925"/>
      <w:bookmarkStart w:id="229" w:name="_Toc14404"/>
      <w:r>
        <w:rPr>
          <w:rFonts w:eastAsia="黑体" w:cs="黑体"/>
          <w:color w:val="000000" w:themeColor="text1"/>
          <w:sz w:val="36"/>
          <w:szCs w:val="36"/>
          <w14:textFill>
            <w14:solidFill>
              <w14:schemeClr w14:val="tx1"/>
            </w14:solidFill>
          </w14:textFill>
        </w:rPr>
        <w:br w:type="page"/>
      </w:r>
    </w:p>
    <w:p w14:paraId="5C59D544">
      <w:pPr>
        <w:pStyle w:val="3"/>
        <w:spacing w:line="576" w:lineRule="auto"/>
        <w:ind w:firstLine="883"/>
        <w:rPr>
          <w:rFonts w:cs="黑体"/>
          <w:color w:val="000000" w:themeColor="text1"/>
          <w:szCs w:val="36"/>
          <w14:textFill>
            <w14:solidFill>
              <w14:schemeClr w14:val="tx1"/>
            </w14:solidFill>
          </w14:textFill>
        </w:rPr>
      </w:pPr>
      <w:bookmarkStart w:id="230" w:name="_Toc13226"/>
      <w:bookmarkStart w:id="231" w:name="_Toc3881"/>
      <w:r>
        <w:rPr>
          <w:rFonts w:cs="黑体"/>
          <w:color w:val="000000" w:themeColor="text1"/>
          <w:szCs w:val="36"/>
          <w14:textFill>
            <w14:solidFill>
              <w14:schemeClr w14:val="tx1"/>
            </w14:solidFill>
          </w14:textFill>
        </w:rPr>
        <w:t>附件</w:t>
      </w:r>
      <w:bookmarkEnd w:id="228"/>
      <w:bookmarkEnd w:id="229"/>
      <w:bookmarkEnd w:id="230"/>
      <w:bookmarkEnd w:id="231"/>
    </w:p>
    <w:p w14:paraId="57758D35">
      <w:pPr>
        <w:ind w:firstLine="0" w:firstLineChars="0"/>
        <w:rPr>
          <w:color w:val="000000" w:themeColor="text1"/>
          <w14:textFill>
            <w14:solidFill>
              <w14:schemeClr w14:val="tx1"/>
            </w14:solidFill>
          </w14:textFill>
        </w:rPr>
      </w:pPr>
      <w:bookmarkStart w:id="232" w:name="_Toc27668"/>
      <w:r>
        <w:rPr>
          <w:color w:val="000000" w:themeColor="text1"/>
          <w14:textFill>
            <w14:solidFill>
              <w14:schemeClr w14:val="tx1"/>
            </w14:solidFill>
          </w14:textFill>
        </w:rPr>
        <w:t>1、易门县“十四五”水安全保障规划报告附表</w:t>
      </w:r>
      <w:bookmarkEnd w:id="232"/>
    </w:p>
    <w:p w14:paraId="33B6E85A">
      <w:pPr>
        <w:ind w:firstLine="0" w:firstLineChars="0"/>
        <w:rPr>
          <w:color w:val="000000" w:themeColor="text1"/>
          <w14:textFill>
            <w14:solidFill>
              <w14:schemeClr w14:val="tx1"/>
            </w14:solidFill>
          </w14:textFill>
        </w:rPr>
      </w:pPr>
      <w:bookmarkStart w:id="233" w:name="_Toc5632"/>
      <w:r>
        <w:rPr>
          <w:color w:val="000000" w:themeColor="text1"/>
          <w14:textFill>
            <w14:solidFill>
              <w14:schemeClr w14:val="tx1"/>
            </w14:solidFill>
          </w14:textFill>
        </w:rPr>
        <w:t>2、易门县“十四五”水安全保障规划报告重大项目附图</w:t>
      </w:r>
      <w:bookmarkEnd w:id="233"/>
    </w:p>
    <w:p w14:paraId="6D2FE388">
      <w:pPr>
        <w:ind w:firstLine="0" w:firstLineChars="0"/>
        <w:rPr>
          <w:color w:val="000000" w:themeColor="text1"/>
          <w14:textFill>
            <w14:solidFill>
              <w14:schemeClr w14:val="tx1"/>
            </w14:solidFill>
          </w14:textFill>
        </w:rPr>
      </w:pPr>
      <w:r>
        <w:rPr>
          <w:color w:val="000000" w:themeColor="text1"/>
          <w:szCs w:val="30"/>
          <w14:textFill>
            <w14:solidFill>
              <w14:schemeClr w14:val="tx1"/>
            </w14:solidFill>
          </w14:textFill>
        </w:rPr>
        <w:t>3、《</w:t>
      </w:r>
      <w:r>
        <w:rPr>
          <w:color w:val="000000" w:themeColor="text1"/>
          <w14:textFill>
            <w14:solidFill>
              <w14:schemeClr w14:val="tx1"/>
            </w14:solidFill>
          </w14:textFill>
        </w:rPr>
        <w:t>易门县</w:t>
      </w:r>
      <w:r>
        <w:rPr>
          <w:color w:val="000000" w:themeColor="text1"/>
          <w:szCs w:val="30"/>
          <w14:textFill>
            <w14:solidFill>
              <w14:schemeClr w14:val="tx1"/>
            </w14:solidFill>
          </w14:textFill>
        </w:rPr>
        <w:t>“十四五”水安全保障规划》评审意见</w:t>
      </w:r>
    </w:p>
    <w:p w14:paraId="59BA5989">
      <w:pPr>
        <w:ind w:firstLine="0" w:firstLineChars="0"/>
        <w:rPr>
          <w:color w:val="000000" w:themeColor="text1"/>
          <w14:textFill>
            <w14:solidFill>
              <w14:schemeClr w14:val="tx1"/>
            </w14:solidFill>
          </w14:textFill>
        </w:rPr>
      </w:pPr>
    </w:p>
    <w:p w14:paraId="1568F4F3">
      <w:pPr>
        <w:pStyle w:val="11"/>
        <w:ind w:firstLine="640"/>
        <w:rPr>
          <w:rFonts w:eastAsia="仿宋" w:cstheme="minorBidi"/>
          <w:color w:val="000000" w:themeColor="text1"/>
          <w14:textFill>
            <w14:solidFill>
              <w14:schemeClr w14:val="tx1"/>
            </w14:solidFill>
          </w14:textFill>
        </w:rPr>
      </w:pPr>
    </w:p>
    <w:p w14:paraId="11375FAE">
      <w:pPr>
        <w:ind w:firstLine="640"/>
        <w:rPr>
          <w:color w:val="000000" w:themeColor="text1"/>
          <w14:textFill>
            <w14:solidFill>
              <w14:schemeClr w14:val="tx1"/>
            </w14:solidFill>
          </w14:textFill>
        </w:rPr>
      </w:pPr>
    </w:p>
    <w:sectPr>
      <w:pgSz w:w="11906" w:h="16838"/>
      <w:pgMar w:top="1871" w:right="1304" w:bottom="1418" w:left="1304" w:header="850" w:footer="680" w:gutter="0"/>
      <w:pgNumType w:fmt="numberInDash"/>
      <w:cols w:space="425"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8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等线 Light">
    <w:altName w:val="黑体"/>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黑体"/>
    <w:panose1 w:val="02010600030101010101"/>
    <w:charset w:val="86"/>
    <w:family w:val="auto"/>
    <w:pitch w:val="default"/>
    <w:sig w:usb0="00000000" w:usb1="00000000" w:usb2="00000016" w:usb3="00000000" w:csb0="0004000F"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4E60">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88605">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095E6">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760955587"/>
      <w:docPartObj>
        <w:docPartGallery w:val="autotext"/>
      </w:docPartObj>
    </w:sdtPr>
    <w:sdtEndPr>
      <w:rPr>
        <w:sz w:val="28"/>
        <w:szCs w:val="28"/>
      </w:rPr>
    </w:sdtEndPr>
    <w:sdtContent>
      <w:p w14:paraId="07754A1A">
        <w:pPr>
          <w:pStyle w:val="16"/>
          <w:ind w:firstLine="0" w:firstLineChars="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186 -</w:t>
        </w:r>
        <w:r>
          <w:rPr>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0114">
    <w:pPr>
      <w:pStyle w:val="1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640FD">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B8C1E">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8C47F">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B0E28">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06F3">
    <w:pPr>
      <w:pStyle w:val="51"/>
      <w:pBdr>
        <w:bottom w:val="single" w:color="auto" w:sz="4" w:space="1"/>
      </w:pBdr>
      <w:spacing w:before="0" w:after="0"/>
      <w:rPr>
        <w:sz w:val="24"/>
      </w:rPr>
    </w:pPr>
    <w:r>
      <w:rPr>
        <w:rFonts w:hint="eastAsia"/>
        <w:sz w:val="24"/>
      </w:rPr>
      <w:t>易 门 县 “十四五” 水 安 全 保 障 规 划</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D2772">
    <w:pPr>
      <w:pStyle w:val="1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8B70D">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11FC6"/>
    <w:multiLevelType w:val="multilevel"/>
    <w:tmpl w:val="14511FC6"/>
    <w:lvl w:ilvl="0" w:tentative="0">
      <w:start w:val="1"/>
      <w:numFmt w:val="decimal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9D86E65"/>
    <w:multiLevelType w:val="multilevel"/>
    <w:tmpl w:val="29D86E65"/>
    <w:lvl w:ilvl="0" w:tentative="0">
      <w:start w:val="1"/>
      <w:numFmt w:val="decimal"/>
      <w:lvlText w:val="%1"/>
      <w:lvlJc w:val="left"/>
      <w:pPr>
        <w:ind w:left="425" w:hanging="425"/>
      </w:pPr>
      <w:rPr>
        <w:rFonts w:hint="default" w:ascii="Arial" w:hAnsi="Arial" w:eastAsia="黑体"/>
      </w:rPr>
    </w:lvl>
    <w:lvl w:ilvl="1" w:tentative="0">
      <w:start w:val="1"/>
      <w:numFmt w:val="decimal"/>
      <w:lvlText w:val="%1.%2"/>
      <w:lvlJc w:val="left"/>
      <w:pPr>
        <w:ind w:left="992" w:hanging="567"/>
      </w:pPr>
      <w:rPr>
        <w:rFonts w:hint="default" w:ascii="Arial" w:hAnsi="Arial" w:eastAsia="黑体"/>
      </w:rPr>
    </w:lvl>
    <w:lvl w:ilvl="2" w:tentative="0">
      <w:start w:val="1"/>
      <w:numFmt w:val="decimal"/>
      <w:lvlText w:val="%1.%2.%3"/>
      <w:lvlJc w:val="left"/>
      <w:pPr>
        <w:ind w:left="1418" w:hanging="567"/>
      </w:pPr>
      <w:rPr>
        <w:rFonts w:hint="eastAsia"/>
      </w:rPr>
    </w:lvl>
    <w:lvl w:ilvl="3" w:tentative="0">
      <w:start w:val="1"/>
      <w:numFmt w:val="decimal"/>
      <w:pStyle w:val="49"/>
      <w:lvlText w:val="%1.%2.%3.%4 "/>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0CC198E"/>
    <w:multiLevelType w:val="multilevel"/>
    <w:tmpl w:val="40CC198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29C25F2"/>
    <w:multiLevelType w:val="multilevel"/>
    <w:tmpl w:val="429C25F2"/>
    <w:lvl w:ilvl="0" w:tentative="0">
      <w:start w:val="1"/>
      <w:numFmt w:val="decimal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36D5250"/>
    <w:multiLevelType w:val="multilevel"/>
    <w:tmpl w:val="536D5250"/>
    <w:lvl w:ilvl="0" w:tentative="0">
      <w:start w:val="1"/>
      <w:numFmt w:val="decimal"/>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19F6937"/>
    <w:multiLevelType w:val="multilevel"/>
    <w:tmpl w:val="619F6937"/>
    <w:lvl w:ilvl="0" w:tentative="0">
      <w:start w:val="1"/>
      <w:numFmt w:val="decimal"/>
      <w:pStyle w:val="37"/>
      <w:lvlText w:val="%1 "/>
      <w:lvlJc w:val="left"/>
      <w:pPr>
        <w:ind w:left="425" w:hanging="425"/>
      </w:pPr>
      <w:rPr>
        <w:rFonts w:hint="default" w:ascii="Arial" w:hAnsi="Arial" w:eastAsia="黑体"/>
      </w:rPr>
    </w:lvl>
    <w:lvl w:ilvl="1" w:tentative="0">
      <w:start w:val="1"/>
      <w:numFmt w:val="decimal"/>
      <w:lvlText w:val="%1.%2"/>
      <w:lvlJc w:val="left"/>
      <w:pPr>
        <w:ind w:left="992" w:hanging="567"/>
      </w:pPr>
      <w:rPr>
        <w:rFonts w:hint="default" w:ascii="Arial" w:hAnsi="Arial" w:eastAsia="黑体"/>
      </w:rPr>
    </w:lvl>
    <w:lvl w:ilvl="2" w:tentative="0">
      <w:start w:val="1"/>
      <w:numFmt w:val="decimal"/>
      <w:pStyle w:val="47"/>
      <w:lvlText w:val="%1.%2.%3 "/>
      <w:lvlJc w:val="left"/>
      <w:pPr>
        <w:ind w:left="1418" w:hanging="567"/>
      </w:pPr>
      <w:rPr>
        <w:rFonts w:hint="eastAsia"/>
      </w:rPr>
    </w:lvl>
    <w:lvl w:ilvl="3" w:tentative="0">
      <w:start w:val="1"/>
      <w:numFmt w:val="decimal"/>
      <w:pStyle w:val="58"/>
      <w:lvlText w:val="%1.%2.%3.%4 "/>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70751341"/>
    <w:multiLevelType w:val="multilevel"/>
    <w:tmpl w:val="70751341"/>
    <w:lvl w:ilvl="0" w:tentative="0">
      <w:start w:val="1"/>
      <w:numFmt w:val="decimal"/>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5"/>
    <w:lvlOverride w:ilvl="0">
      <w:lvl w:ilvl="0" w:tentative="1">
        <w:start w:val="1"/>
        <w:numFmt w:val="decimal"/>
        <w:lvlText w:val="%1 "/>
        <w:lvlJc w:val="left"/>
        <w:pPr>
          <w:ind w:left="425" w:hanging="425"/>
        </w:pPr>
        <w:rPr>
          <w:rFonts w:hint="default" w:ascii="Arial" w:hAnsi="Arial" w:eastAsia="黑体"/>
        </w:rPr>
      </w:lvl>
    </w:lvlOverride>
    <w:lvlOverride w:ilvl="1">
      <w:lvl w:ilvl="1" w:tentative="1">
        <w:start w:val="1"/>
        <w:numFmt w:val="decimal"/>
        <w:pStyle w:val="45"/>
        <w:lvlText w:val="%1.%2 "/>
        <w:lvlJc w:val="left"/>
        <w:pPr>
          <w:ind w:left="992" w:hanging="567"/>
        </w:pPr>
        <w:rPr>
          <w:rFonts w:hint="default" w:ascii="Arial" w:hAnsi="Arial" w:eastAsia="黑体"/>
        </w:rPr>
      </w:lvl>
    </w:lvlOverride>
    <w:lvlOverride w:ilvl="2">
      <w:lvl w:ilvl="2" w:tentative="1">
        <w:start w:val="1"/>
        <w:numFmt w:val="decimal"/>
        <w:lvlText w:val="%1.%2.%3 "/>
        <w:lvlJc w:val="left"/>
        <w:pPr>
          <w:ind w:left="1418" w:hanging="567"/>
        </w:pPr>
        <w:rPr>
          <w:rFonts w:hint="eastAsia"/>
        </w:rPr>
      </w:lvl>
    </w:lvlOverride>
    <w:lvlOverride w:ilvl="3">
      <w:lvl w:ilvl="3" w:tentative="1">
        <w:start w:val="1"/>
        <w:numFmt w:val="decimal"/>
        <w:lvlText w:val="%1.%2.%3.%4 "/>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3">
    <w:abstractNumId w:val="1"/>
  </w:num>
  <w:num w:numId="4">
    <w:abstractNumId w:val="4"/>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hideSpellingErrors/>
  <w:attachedTemplate r:id="rId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02"/>
    <w:rsid w:val="00003FB7"/>
    <w:rsid w:val="00035ABF"/>
    <w:rsid w:val="00065DAA"/>
    <w:rsid w:val="0009157F"/>
    <w:rsid w:val="000C2797"/>
    <w:rsid w:val="000F4503"/>
    <w:rsid w:val="0011138F"/>
    <w:rsid w:val="00111B68"/>
    <w:rsid w:val="00112A13"/>
    <w:rsid w:val="00115D41"/>
    <w:rsid w:val="00120316"/>
    <w:rsid w:val="001225A5"/>
    <w:rsid w:val="00140156"/>
    <w:rsid w:val="00146D57"/>
    <w:rsid w:val="0015787C"/>
    <w:rsid w:val="00170668"/>
    <w:rsid w:val="00184E85"/>
    <w:rsid w:val="001A01E8"/>
    <w:rsid w:val="001A35C6"/>
    <w:rsid w:val="001E4858"/>
    <w:rsid w:val="001E75D2"/>
    <w:rsid w:val="001F7447"/>
    <w:rsid w:val="002015D6"/>
    <w:rsid w:val="002101B3"/>
    <w:rsid w:val="00232597"/>
    <w:rsid w:val="002459E0"/>
    <w:rsid w:val="00252942"/>
    <w:rsid w:val="0025672A"/>
    <w:rsid w:val="00257E0A"/>
    <w:rsid w:val="002671F3"/>
    <w:rsid w:val="002B51B9"/>
    <w:rsid w:val="002E488A"/>
    <w:rsid w:val="00316B1E"/>
    <w:rsid w:val="003362D5"/>
    <w:rsid w:val="003455B6"/>
    <w:rsid w:val="0035445D"/>
    <w:rsid w:val="0037516B"/>
    <w:rsid w:val="0039137C"/>
    <w:rsid w:val="003A5579"/>
    <w:rsid w:val="003B5AC2"/>
    <w:rsid w:val="003D483A"/>
    <w:rsid w:val="003F1236"/>
    <w:rsid w:val="003F219D"/>
    <w:rsid w:val="00407775"/>
    <w:rsid w:val="00413FE1"/>
    <w:rsid w:val="004203A9"/>
    <w:rsid w:val="00457761"/>
    <w:rsid w:val="004623F0"/>
    <w:rsid w:val="004728E4"/>
    <w:rsid w:val="004740E3"/>
    <w:rsid w:val="00476C8E"/>
    <w:rsid w:val="004A458B"/>
    <w:rsid w:val="004A5911"/>
    <w:rsid w:val="004B2BBD"/>
    <w:rsid w:val="004D54F0"/>
    <w:rsid w:val="004F0183"/>
    <w:rsid w:val="004F0DCA"/>
    <w:rsid w:val="004F6B18"/>
    <w:rsid w:val="005124CF"/>
    <w:rsid w:val="00512A28"/>
    <w:rsid w:val="00534892"/>
    <w:rsid w:val="005435D3"/>
    <w:rsid w:val="00543D1E"/>
    <w:rsid w:val="00547C04"/>
    <w:rsid w:val="0058533F"/>
    <w:rsid w:val="00595253"/>
    <w:rsid w:val="00595BAF"/>
    <w:rsid w:val="005A1DBB"/>
    <w:rsid w:val="005B0D02"/>
    <w:rsid w:val="005B32AA"/>
    <w:rsid w:val="005B3F3A"/>
    <w:rsid w:val="005B74EC"/>
    <w:rsid w:val="005D0A83"/>
    <w:rsid w:val="005E1555"/>
    <w:rsid w:val="00602EA2"/>
    <w:rsid w:val="00625226"/>
    <w:rsid w:val="00636499"/>
    <w:rsid w:val="00637E11"/>
    <w:rsid w:val="00644B0E"/>
    <w:rsid w:val="00692C21"/>
    <w:rsid w:val="006B3DF8"/>
    <w:rsid w:val="006D796E"/>
    <w:rsid w:val="00733724"/>
    <w:rsid w:val="00756348"/>
    <w:rsid w:val="00776D58"/>
    <w:rsid w:val="00783494"/>
    <w:rsid w:val="00786727"/>
    <w:rsid w:val="007A3525"/>
    <w:rsid w:val="007A3C33"/>
    <w:rsid w:val="007A7EDA"/>
    <w:rsid w:val="007B3EE2"/>
    <w:rsid w:val="007B7C19"/>
    <w:rsid w:val="007C58F1"/>
    <w:rsid w:val="007D1573"/>
    <w:rsid w:val="007D6C9E"/>
    <w:rsid w:val="007F7B6A"/>
    <w:rsid w:val="00802AC2"/>
    <w:rsid w:val="008035F4"/>
    <w:rsid w:val="00823D70"/>
    <w:rsid w:val="00834480"/>
    <w:rsid w:val="008349A6"/>
    <w:rsid w:val="0083629C"/>
    <w:rsid w:val="0084453C"/>
    <w:rsid w:val="0085730A"/>
    <w:rsid w:val="00872079"/>
    <w:rsid w:val="0087356A"/>
    <w:rsid w:val="00873826"/>
    <w:rsid w:val="008B6A26"/>
    <w:rsid w:val="008C27FB"/>
    <w:rsid w:val="008E6310"/>
    <w:rsid w:val="008F1E6A"/>
    <w:rsid w:val="00916411"/>
    <w:rsid w:val="00923627"/>
    <w:rsid w:val="00925746"/>
    <w:rsid w:val="009316AC"/>
    <w:rsid w:val="00942890"/>
    <w:rsid w:val="00944342"/>
    <w:rsid w:val="009476BD"/>
    <w:rsid w:val="00964471"/>
    <w:rsid w:val="00965DB7"/>
    <w:rsid w:val="00966A79"/>
    <w:rsid w:val="00993374"/>
    <w:rsid w:val="009A4A3C"/>
    <w:rsid w:val="009A5C87"/>
    <w:rsid w:val="009B3937"/>
    <w:rsid w:val="009C3DF3"/>
    <w:rsid w:val="009C67D6"/>
    <w:rsid w:val="009E2F8A"/>
    <w:rsid w:val="009E3369"/>
    <w:rsid w:val="009E430A"/>
    <w:rsid w:val="009E6ED5"/>
    <w:rsid w:val="009F1D89"/>
    <w:rsid w:val="009F32A8"/>
    <w:rsid w:val="00A10ED0"/>
    <w:rsid w:val="00A21EE0"/>
    <w:rsid w:val="00A4359A"/>
    <w:rsid w:val="00A437D4"/>
    <w:rsid w:val="00A555FF"/>
    <w:rsid w:val="00A631B1"/>
    <w:rsid w:val="00A66167"/>
    <w:rsid w:val="00A70A0C"/>
    <w:rsid w:val="00A85FDB"/>
    <w:rsid w:val="00AC3A4E"/>
    <w:rsid w:val="00AE1A37"/>
    <w:rsid w:val="00AF27C3"/>
    <w:rsid w:val="00B15231"/>
    <w:rsid w:val="00B271F0"/>
    <w:rsid w:val="00B339A8"/>
    <w:rsid w:val="00B424B4"/>
    <w:rsid w:val="00B4628B"/>
    <w:rsid w:val="00B5747C"/>
    <w:rsid w:val="00BA2387"/>
    <w:rsid w:val="00BC32B5"/>
    <w:rsid w:val="00BD5C4D"/>
    <w:rsid w:val="00BE0937"/>
    <w:rsid w:val="00BF4476"/>
    <w:rsid w:val="00BF72A4"/>
    <w:rsid w:val="00C03C51"/>
    <w:rsid w:val="00C06270"/>
    <w:rsid w:val="00C11513"/>
    <w:rsid w:val="00C40A00"/>
    <w:rsid w:val="00C55ADD"/>
    <w:rsid w:val="00C55BE3"/>
    <w:rsid w:val="00C703BB"/>
    <w:rsid w:val="00C82741"/>
    <w:rsid w:val="00CB0E9C"/>
    <w:rsid w:val="00CB15B9"/>
    <w:rsid w:val="00CB6F2B"/>
    <w:rsid w:val="00CD3647"/>
    <w:rsid w:val="00CE1C8D"/>
    <w:rsid w:val="00D04080"/>
    <w:rsid w:val="00D178CB"/>
    <w:rsid w:val="00D46A0B"/>
    <w:rsid w:val="00D53876"/>
    <w:rsid w:val="00D54953"/>
    <w:rsid w:val="00D67991"/>
    <w:rsid w:val="00D759E4"/>
    <w:rsid w:val="00D93018"/>
    <w:rsid w:val="00DB64BE"/>
    <w:rsid w:val="00DD37AD"/>
    <w:rsid w:val="00DD61CC"/>
    <w:rsid w:val="00DF33B5"/>
    <w:rsid w:val="00E06C4B"/>
    <w:rsid w:val="00E11FF6"/>
    <w:rsid w:val="00E13C08"/>
    <w:rsid w:val="00E41FCE"/>
    <w:rsid w:val="00E44C3D"/>
    <w:rsid w:val="00E53DA9"/>
    <w:rsid w:val="00E74685"/>
    <w:rsid w:val="00E806FF"/>
    <w:rsid w:val="00EB1106"/>
    <w:rsid w:val="00ED608F"/>
    <w:rsid w:val="00EE1627"/>
    <w:rsid w:val="00EE5915"/>
    <w:rsid w:val="00EF41D5"/>
    <w:rsid w:val="00F111A9"/>
    <w:rsid w:val="00F14FB7"/>
    <w:rsid w:val="00F26838"/>
    <w:rsid w:val="00F35355"/>
    <w:rsid w:val="00F7060C"/>
    <w:rsid w:val="00F7537B"/>
    <w:rsid w:val="00F81FA8"/>
    <w:rsid w:val="00F9081C"/>
    <w:rsid w:val="00F95E1D"/>
    <w:rsid w:val="00F975A0"/>
    <w:rsid w:val="00FA254F"/>
    <w:rsid w:val="00FB0096"/>
    <w:rsid w:val="00FB39C2"/>
    <w:rsid w:val="00FB63CD"/>
    <w:rsid w:val="00FB7AAC"/>
    <w:rsid w:val="00FC7984"/>
    <w:rsid w:val="00FD51AE"/>
    <w:rsid w:val="00FE766C"/>
    <w:rsid w:val="00FF1AEE"/>
    <w:rsid w:val="09DE4019"/>
    <w:rsid w:val="67EEA82D"/>
    <w:rsid w:val="6CDE2286"/>
    <w:rsid w:val="6FFEA402"/>
    <w:rsid w:val="76D87C76"/>
    <w:rsid w:val="7C5F6A25"/>
    <w:rsid w:val="7F79F506"/>
    <w:rsid w:val="7FEB34DA"/>
    <w:rsid w:val="7FFE05F2"/>
    <w:rsid w:val="AF7D6EE9"/>
    <w:rsid w:val="FAFD69E7"/>
    <w:rsid w:val="FF430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iPriority="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方正仿宋_GBK" w:cstheme="minorBidi"/>
      <w:kern w:val="2"/>
      <w:sz w:val="32"/>
      <w:szCs w:val="24"/>
      <w:lang w:val="en-US" w:eastAsia="zh-CN" w:bidi="ar-SA"/>
    </w:rPr>
  </w:style>
  <w:style w:type="paragraph" w:styleId="3">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Cambria" w:hAnsi="Cambria" w:eastAsia="宋体"/>
      <w:b/>
      <w:bCs/>
      <w:szCs w:val="32"/>
    </w:rPr>
  </w:style>
  <w:style w:type="paragraph" w:styleId="5">
    <w:name w:val="heading 3"/>
    <w:basedOn w:val="1"/>
    <w:next w:val="1"/>
    <w:link w:val="33"/>
    <w:unhideWhenUsed/>
    <w:qFormat/>
    <w:uiPriority w:val="9"/>
    <w:pPr>
      <w:keepNext/>
      <w:keepLines/>
      <w:spacing w:before="260" w:after="260" w:line="416" w:lineRule="auto"/>
      <w:outlineLvl w:val="2"/>
    </w:pPr>
    <w:rPr>
      <w:b/>
      <w:bCs/>
      <w:szCs w:val="32"/>
    </w:rPr>
  </w:style>
  <w:style w:type="paragraph" w:styleId="6">
    <w:name w:val="heading 4"/>
    <w:basedOn w:val="1"/>
    <w:next w:val="1"/>
    <w:link w:val="34"/>
    <w:unhideWhenUsed/>
    <w:qFormat/>
    <w:uiPriority w:val="0"/>
    <w:pPr>
      <w:keepNext/>
      <w:keepLines/>
      <w:spacing w:before="280" w:after="290" w:line="376" w:lineRule="auto"/>
      <w:outlineLvl w:val="3"/>
    </w:pPr>
    <w:rPr>
      <w:rFonts w:ascii="Cambria" w:hAnsi="Cambria" w:eastAsia="宋体"/>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macro"/>
    <w:link w:val="71"/>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theme="minorBidi"/>
      <w:kern w:val="2"/>
      <w:sz w:val="24"/>
      <w:szCs w:val="24"/>
      <w:lang w:val="en-US" w:eastAsia="zh-CN" w:bidi="ar-SA"/>
    </w:rPr>
  </w:style>
  <w:style w:type="paragraph" w:styleId="7">
    <w:name w:val="Normal Indent"/>
    <w:basedOn w:val="1"/>
    <w:next w:val="1"/>
    <w:qFormat/>
    <w:uiPriority w:val="0"/>
    <w:pPr>
      <w:spacing w:line="300" w:lineRule="auto"/>
      <w:ind w:firstLine="556"/>
    </w:pPr>
    <w:rPr>
      <w:rFonts w:ascii="仿宋_GB2312" w:eastAsia="仿宋_GB2312"/>
      <w:kern w:val="0"/>
      <w:szCs w:val="20"/>
    </w:rPr>
  </w:style>
  <w:style w:type="paragraph" w:styleId="8">
    <w:name w:val="caption"/>
    <w:basedOn w:val="1"/>
    <w:next w:val="1"/>
    <w:unhideWhenUsed/>
    <w:qFormat/>
    <w:uiPriority w:val="0"/>
    <w:rPr>
      <w:rFonts w:eastAsia="黑体" w:asciiTheme="majorHAnsi" w:hAnsiTheme="majorHAnsi" w:cstheme="majorBidi"/>
      <w:sz w:val="20"/>
      <w:szCs w:val="20"/>
    </w:rPr>
  </w:style>
  <w:style w:type="paragraph" w:styleId="9">
    <w:name w:val="Document Map"/>
    <w:basedOn w:val="1"/>
    <w:link w:val="55"/>
    <w:semiHidden/>
    <w:unhideWhenUsed/>
    <w:qFormat/>
    <w:uiPriority w:val="99"/>
    <w:rPr>
      <w:rFonts w:ascii="宋体"/>
      <w:sz w:val="18"/>
      <w:szCs w:val="18"/>
    </w:rPr>
  </w:style>
  <w:style w:type="paragraph" w:styleId="10">
    <w:name w:val="annotation text"/>
    <w:basedOn w:val="1"/>
    <w:link w:val="84"/>
    <w:qFormat/>
    <w:uiPriority w:val="99"/>
    <w:pPr>
      <w:snapToGrid/>
      <w:spacing w:line="360" w:lineRule="atLeast"/>
      <w:ind w:firstLine="0" w:firstLineChars="0"/>
      <w:jc w:val="left"/>
      <w:textAlignment w:val="baseline"/>
    </w:pPr>
    <w:rPr>
      <w:rFonts w:ascii="Calibri" w:hAnsi="Calibri" w:eastAsia="宋体" w:cs="Times New Roman"/>
      <w:kern w:val="0"/>
      <w:sz w:val="24"/>
      <w:szCs w:val="20"/>
    </w:rPr>
  </w:style>
  <w:style w:type="paragraph" w:styleId="11">
    <w:name w:val="Body Text"/>
    <w:basedOn w:val="1"/>
    <w:link w:val="67"/>
    <w:unhideWhenUsed/>
    <w:qFormat/>
    <w:uiPriority w:val="0"/>
    <w:pPr>
      <w:jc w:val="left"/>
    </w:pPr>
    <w:rPr>
      <w:rFonts w:eastAsia="仿宋_GB2312" w:cs="Times New Roman"/>
    </w:rPr>
  </w:style>
  <w:style w:type="paragraph" w:styleId="12">
    <w:name w:val="Body Text Indent"/>
    <w:basedOn w:val="1"/>
    <w:link w:val="72"/>
    <w:semiHidden/>
    <w:unhideWhenUsed/>
    <w:qFormat/>
    <w:uiPriority w:val="0"/>
    <w:pPr>
      <w:spacing w:after="120"/>
      <w:ind w:left="420" w:leftChars="200"/>
    </w:pPr>
  </w:style>
  <w:style w:type="paragraph" w:styleId="13">
    <w:name w:val="toc 3"/>
    <w:basedOn w:val="1"/>
    <w:next w:val="1"/>
    <w:qFormat/>
    <w:uiPriority w:val="0"/>
    <w:pPr>
      <w:ind w:left="840" w:leftChars="400"/>
    </w:pPr>
  </w:style>
  <w:style w:type="paragraph" w:styleId="14">
    <w:name w:val="Body Text Indent 2"/>
    <w:basedOn w:val="1"/>
    <w:link w:val="75"/>
    <w:semiHidden/>
    <w:unhideWhenUsed/>
    <w:qFormat/>
    <w:uiPriority w:val="0"/>
    <w:pPr>
      <w:spacing w:after="120" w:line="480" w:lineRule="auto"/>
      <w:ind w:left="420" w:leftChars="200"/>
    </w:pPr>
  </w:style>
  <w:style w:type="paragraph" w:styleId="15">
    <w:name w:val="Balloon Text"/>
    <w:basedOn w:val="1"/>
    <w:link w:val="68"/>
    <w:qFormat/>
    <w:uiPriority w:val="0"/>
    <w:pPr>
      <w:spacing w:line="240" w:lineRule="auto"/>
    </w:pPr>
    <w:rPr>
      <w:sz w:val="18"/>
      <w:szCs w:val="18"/>
    </w:rPr>
  </w:style>
  <w:style w:type="paragraph" w:styleId="16">
    <w:name w:val="footer"/>
    <w:basedOn w:val="1"/>
    <w:link w:val="36"/>
    <w:unhideWhenUsed/>
    <w:qFormat/>
    <w:uiPriority w:val="99"/>
    <w:pPr>
      <w:tabs>
        <w:tab w:val="center" w:pos="4153"/>
        <w:tab w:val="right" w:pos="8306"/>
      </w:tabs>
    </w:pPr>
    <w:rPr>
      <w:sz w:val="18"/>
      <w:szCs w:val="18"/>
    </w:rPr>
  </w:style>
  <w:style w:type="paragraph" w:styleId="17">
    <w:name w:val="header"/>
    <w:basedOn w:val="1"/>
    <w:link w:val="35"/>
    <w:unhideWhenUsed/>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0"/>
  </w:style>
  <w:style w:type="paragraph" w:styleId="19">
    <w:name w:val="Subtitle"/>
    <w:basedOn w:val="1"/>
    <w:next w:val="1"/>
    <w:link w:val="87"/>
    <w:qFormat/>
    <w:uiPriority w:val="11"/>
    <w:pPr>
      <w:widowControl/>
      <w:spacing w:line="240" w:lineRule="auto"/>
      <w:ind w:firstLine="200" w:firstLineChars="200"/>
      <w:jc w:val="center"/>
    </w:pPr>
    <w:rPr>
      <w:rFonts w:ascii="Cambria" w:hAnsi="Cambria" w:eastAsia="宋体" w:cs="Times New Roman"/>
      <w:b/>
      <w:iCs/>
      <w:spacing w:val="15"/>
      <w:kern w:val="0"/>
      <w:sz w:val="24"/>
    </w:rPr>
  </w:style>
  <w:style w:type="paragraph" w:styleId="20">
    <w:name w:val="toc 2"/>
    <w:basedOn w:val="1"/>
    <w:next w:val="1"/>
    <w:qFormat/>
    <w:uiPriority w:val="0"/>
    <w:pPr>
      <w:ind w:left="420" w:leftChars="200"/>
    </w:pPr>
  </w:style>
  <w:style w:type="paragraph" w:styleId="21">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22">
    <w:name w:val="Body Text First Indent"/>
    <w:basedOn w:val="11"/>
    <w:link w:val="83"/>
    <w:unhideWhenUsed/>
    <w:qFormat/>
    <w:uiPriority w:val="0"/>
    <w:pPr>
      <w:spacing w:after="120"/>
      <w:ind w:firstLine="420" w:firstLineChars="100"/>
      <w:jc w:val="both"/>
    </w:pPr>
    <w:rPr>
      <w:rFonts w:eastAsia="方正仿宋_GBK" w:cstheme="minorBidi"/>
    </w:rPr>
  </w:style>
  <w:style w:type="paragraph" w:styleId="23">
    <w:name w:val="Body Text First Indent 2"/>
    <w:basedOn w:val="12"/>
    <w:link w:val="73"/>
    <w:semiHidden/>
    <w:unhideWhenUsed/>
    <w:qFormat/>
    <w:uiPriority w:val="0"/>
    <w:pPr>
      <w:ind w:firstLine="42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unhideWhenUsed/>
    <w:qFormat/>
    <w:uiPriority w:val="99"/>
    <w:rPr>
      <w:color w:val="0563C1"/>
      <w:u w:val="single"/>
    </w:rPr>
  </w:style>
  <w:style w:type="character" w:styleId="29">
    <w:name w:val="annotation reference"/>
    <w:qFormat/>
    <w:uiPriority w:val="99"/>
    <w:rPr>
      <w:sz w:val="21"/>
      <w:szCs w:val="21"/>
    </w:rPr>
  </w:style>
  <w:style w:type="character" w:styleId="30">
    <w:name w:val="HTML Cite"/>
    <w:basedOn w:val="26"/>
    <w:qFormat/>
    <w:uiPriority w:val="0"/>
  </w:style>
  <w:style w:type="character" w:customStyle="1" w:styleId="31">
    <w:name w:val="标题 1 字符"/>
    <w:link w:val="3"/>
    <w:qFormat/>
    <w:uiPriority w:val="9"/>
    <w:rPr>
      <w:b/>
      <w:bCs/>
      <w:kern w:val="44"/>
      <w:sz w:val="44"/>
      <w:szCs w:val="44"/>
    </w:rPr>
  </w:style>
  <w:style w:type="character" w:customStyle="1" w:styleId="32">
    <w:name w:val="标题 2 字符"/>
    <w:link w:val="4"/>
    <w:semiHidden/>
    <w:qFormat/>
    <w:uiPriority w:val="9"/>
    <w:rPr>
      <w:rFonts w:ascii="Cambria" w:hAnsi="Cambria" w:eastAsia="宋体" w:cs="Times New Roman"/>
      <w:b/>
      <w:bCs/>
      <w:kern w:val="2"/>
      <w:sz w:val="32"/>
      <w:szCs w:val="32"/>
    </w:rPr>
  </w:style>
  <w:style w:type="character" w:customStyle="1" w:styleId="33">
    <w:name w:val="标题 3 字符"/>
    <w:link w:val="5"/>
    <w:semiHidden/>
    <w:qFormat/>
    <w:uiPriority w:val="9"/>
    <w:rPr>
      <w:b/>
      <w:bCs/>
      <w:kern w:val="2"/>
      <w:sz w:val="32"/>
      <w:szCs w:val="32"/>
    </w:rPr>
  </w:style>
  <w:style w:type="character" w:customStyle="1" w:styleId="34">
    <w:name w:val="标题 4 字符"/>
    <w:link w:val="6"/>
    <w:qFormat/>
    <w:uiPriority w:val="0"/>
    <w:rPr>
      <w:rFonts w:ascii="Cambria" w:hAnsi="Cambria" w:eastAsia="宋体" w:cs="Times New Roman"/>
      <w:b/>
      <w:bCs/>
      <w:kern w:val="2"/>
      <w:sz w:val="28"/>
      <w:szCs w:val="28"/>
    </w:rPr>
  </w:style>
  <w:style w:type="character" w:customStyle="1" w:styleId="35">
    <w:name w:val="页眉 字符"/>
    <w:link w:val="17"/>
    <w:qFormat/>
    <w:uiPriority w:val="99"/>
    <w:rPr>
      <w:sz w:val="18"/>
      <w:szCs w:val="18"/>
    </w:rPr>
  </w:style>
  <w:style w:type="character" w:customStyle="1" w:styleId="36">
    <w:name w:val="页脚 字符"/>
    <w:link w:val="16"/>
    <w:qFormat/>
    <w:uiPriority w:val="99"/>
    <w:rPr>
      <w:sz w:val="18"/>
      <w:szCs w:val="18"/>
    </w:rPr>
  </w:style>
  <w:style w:type="paragraph" w:customStyle="1" w:styleId="37">
    <w:name w:val="一级目录"/>
    <w:basedOn w:val="1"/>
    <w:link w:val="38"/>
    <w:qFormat/>
    <w:uiPriority w:val="0"/>
    <w:pPr>
      <w:numPr>
        <w:ilvl w:val="0"/>
        <w:numId w:val="1"/>
      </w:numPr>
      <w:spacing w:before="400"/>
      <w:ind w:firstLine="0" w:firstLineChars="0"/>
      <w:outlineLvl w:val="0"/>
    </w:pPr>
    <w:rPr>
      <w:rFonts w:ascii="Arial" w:hAnsi="Arial" w:eastAsia="黑体" w:cs="Arial"/>
      <w:sz w:val="30"/>
      <w:szCs w:val="30"/>
    </w:rPr>
  </w:style>
  <w:style w:type="character" w:customStyle="1" w:styleId="38">
    <w:name w:val="一级目录 Char"/>
    <w:link w:val="37"/>
    <w:qFormat/>
    <w:uiPriority w:val="0"/>
    <w:rPr>
      <w:rFonts w:ascii="Arial" w:hAnsi="Arial" w:eastAsia="黑体" w:cs="Arial"/>
      <w:kern w:val="2"/>
      <w:sz w:val="30"/>
      <w:szCs w:val="30"/>
    </w:rPr>
  </w:style>
  <w:style w:type="paragraph" w:customStyle="1" w:styleId="39">
    <w:name w:val="列出段落1"/>
    <w:basedOn w:val="1"/>
    <w:link w:val="40"/>
    <w:qFormat/>
    <w:uiPriority w:val="34"/>
    <w:pPr>
      <w:ind w:firstLine="420"/>
    </w:pPr>
  </w:style>
  <w:style w:type="character" w:customStyle="1" w:styleId="40">
    <w:name w:val="列出段落 Char"/>
    <w:basedOn w:val="26"/>
    <w:link w:val="39"/>
    <w:qFormat/>
    <w:uiPriority w:val="34"/>
  </w:style>
  <w:style w:type="paragraph" w:customStyle="1" w:styleId="41">
    <w:name w:val="KM_目录"/>
    <w:basedOn w:val="1"/>
    <w:link w:val="42"/>
    <w:qFormat/>
    <w:uiPriority w:val="0"/>
    <w:pPr>
      <w:spacing w:before="400" w:after="300" w:line="240" w:lineRule="auto"/>
      <w:ind w:firstLine="0" w:firstLineChars="0"/>
      <w:jc w:val="center"/>
    </w:pPr>
    <w:rPr>
      <w:rFonts w:ascii="Arial" w:hAnsi="Arial" w:eastAsia="黑体" w:cs="Arial"/>
      <w:sz w:val="36"/>
      <w:szCs w:val="36"/>
    </w:rPr>
  </w:style>
  <w:style w:type="character" w:customStyle="1" w:styleId="42">
    <w:name w:val="KM_目录 Char"/>
    <w:link w:val="41"/>
    <w:qFormat/>
    <w:uiPriority w:val="0"/>
    <w:rPr>
      <w:rFonts w:ascii="Arial" w:hAnsi="Arial" w:eastAsia="黑体" w:cs="Arial"/>
      <w:kern w:val="2"/>
      <w:sz w:val="36"/>
      <w:szCs w:val="36"/>
    </w:rPr>
  </w:style>
  <w:style w:type="paragraph" w:customStyle="1" w:styleId="43">
    <w:name w:val="KM_一级标题"/>
    <w:basedOn w:val="37"/>
    <w:link w:val="44"/>
    <w:qFormat/>
    <w:uiPriority w:val="0"/>
    <w:pPr>
      <w:spacing w:before="0"/>
      <w:ind w:left="0"/>
      <w:jc w:val="center"/>
    </w:pPr>
    <w:rPr>
      <w:rFonts w:ascii="Times New Roman" w:hAnsi="Times New Roman"/>
      <w:sz w:val="36"/>
    </w:rPr>
  </w:style>
  <w:style w:type="character" w:customStyle="1" w:styleId="44">
    <w:name w:val="KM_一级标题 Char"/>
    <w:link w:val="43"/>
    <w:qFormat/>
    <w:uiPriority w:val="0"/>
    <w:rPr>
      <w:rFonts w:eastAsia="黑体" w:cs="Arial"/>
      <w:kern w:val="2"/>
      <w:sz w:val="36"/>
      <w:szCs w:val="30"/>
    </w:rPr>
  </w:style>
  <w:style w:type="paragraph" w:customStyle="1" w:styleId="45">
    <w:name w:val="KM_二级标题"/>
    <w:basedOn w:val="4"/>
    <w:next w:val="1"/>
    <w:link w:val="46"/>
    <w:qFormat/>
    <w:uiPriority w:val="0"/>
    <w:pPr>
      <w:numPr>
        <w:ilvl w:val="1"/>
        <w:numId w:val="2"/>
      </w:numPr>
      <w:spacing w:before="0" w:after="0" w:line="360" w:lineRule="auto"/>
      <w:ind w:left="0" w:firstLine="0" w:firstLineChars="0"/>
    </w:pPr>
    <w:rPr>
      <w:rFonts w:ascii="Times New Roman" w:hAnsi="Times New Roman" w:eastAsia="黑体" w:cs="Arial"/>
      <w:b w:val="0"/>
      <w:sz w:val="36"/>
      <w:szCs w:val="28"/>
    </w:rPr>
  </w:style>
  <w:style w:type="character" w:customStyle="1" w:styleId="46">
    <w:name w:val="KM_二级标题 Char"/>
    <w:link w:val="45"/>
    <w:qFormat/>
    <w:uiPriority w:val="0"/>
    <w:rPr>
      <w:rFonts w:eastAsia="黑体" w:cs="Arial"/>
      <w:bCs/>
      <w:kern w:val="2"/>
      <w:sz w:val="36"/>
      <w:szCs w:val="28"/>
    </w:rPr>
  </w:style>
  <w:style w:type="paragraph" w:customStyle="1" w:styleId="47">
    <w:name w:val="KM_三级标题"/>
    <w:basedOn w:val="5"/>
    <w:next w:val="1"/>
    <w:link w:val="48"/>
    <w:qFormat/>
    <w:uiPriority w:val="0"/>
    <w:pPr>
      <w:numPr>
        <w:ilvl w:val="2"/>
        <w:numId w:val="1"/>
      </w:numPr>
      <w:spacing w:before="0" w:after="0" w:line="360" w:lineRule="auto"/>
      <w:ind w:left="0" w:firstLine="0" w:firstLineChars="0"/>
    </w:pPr>
    <w:rPr>
      <w:rFonts w:eastAsia="黑体" w:cs="Arial"/>
      <w:b w:val="0"/>
      <w:szCs w:val="24"/>
    </w:rPr>
  </w:style>
  <w:style w:type="character" w:customStyle="1" w:styleId="48">
    <w:name w:val="KM_三级标题 Char"/>
    <w:link w:val="47"/>
    <w:qFormat/>
    <w:uiPriority w:val="0"/>
    <w:rPr>
      <w:rFonts w:eastAsia="黑体" w:cs="Arial"/>
      <w:bCs/>
      <w:kern w:val="2"/>
      <w:sz w:val="32"/>
      <w:szCs w:val="24"/>
    </w:rPr>
  </w:style>
  <w:style w:type="paragraph" w:customStyle="1" w:styleId="49">
    <w:name w:val="KM_四级标题"/>
    <w:basedOn w:val="39"/>
    <w:link w:val="50"/>
    <w:qFormat/>
    <w:uiPriority w:val="0"/>
    <w:pPr>
      <w:numPr>
        <w:ilvl w:val="3"/>
        <w:numId w:val="3"/>
      </w:numPr>
      <w:spacing w:before="240"/>
      <w:ind w:left="0" w:firstLine="0" w:firstLineChars="0"/>
      <w:outlineLvl w:val="3"/>
    </w:pPr>
    <w:rPr>
      <w:rFonts w:eastAsia="仿宋_GB2312"/>
      <w:b/>
    </w:rPr>
  </w:style>
  <w:style w:type="character" w:customStyle="1" w:styleId="50">
    <w:name w:val="KM_四级标题 Char"/>
    <w:link w:val="49"/>
    <w:qFormat/>
    <w:uiPriority w:val="0"/>
    <w:rPr>
      <w:rFonts w:eastAsia="仿宋_GB2312"/>
      <w:b/>
      <w:kern w:val="2"/>
      <w:sz w:val="24"/>
      <w:szCs w:val="22"/>
    </w:rPr>
  </w:style>
  <w:style w:type="paragraph" w:customStyle="1" w:styleId="51">
    <w:name w:val="KM_图名和表头"/>
    <w:basedOn w:val="1"/>
    <w:link w:val="52"/>
    <w:qFormat/>
    <w:uiPriority w:val="0"/>
    <w:pPr>
      <w:spacing w:before="120" w:after="240" w:line="240" w:lineRule="auto"/>
      <w:ind w:firstLine="0" w:firstLineChars="0"/>
      <w:jc w:val="center"/>
    </w:pPr>
    <w:rPr>
      <w:rFonts w:eastAsia="宋体"/>
      <w:b/>
      <w:sz w:val="30"/>
    </w:rPr>
  </w:style>
  <w:style w:type="character" w:customStyle="1" w:styleId="52">
    <w:name w:val="KM_图名和表头 Char"/>
    <w:link w:val="51"/>
    <w:qFormat/>
    <w:uiPriority w:val="0"/>
    <w:rPr>
      <w:rFonts w:cstheme="minorBidi"/>
      <w:b/>
      <w:kern w:val="2"/>
      <w:sz w:val="30"/>
      <w:szCs w:val="24"/>
    </w:rPr>
  </w:style>
  <w:style w:type="paragraph" w:customStyle="1" w:styleId="53">
    <w:name w:val="KM_表格样式"/>
    <w:basedOn w:val="1"/>
    <w:link w:val="54"/>
    <w:qFormat/>
    <w:uiPriority w:val="0"/>
    <w:pPr>
      <w:spacing w:before="40" w:after="40" w:line="240" w:lineRule="auto"/>
      <w:ind w:firstLine="0" w:firstLineChars="0"/>
      <w:jc w:val="center"/>
    </w:pPr>
    <w:rPr>
      <w:sz w:val="21"/>
      <w:szCs w:val="21"/>
    </w:rPr>
  </w:style>
  <w:style w:type="character" w:customStyle="1" w:styleId="54">
    <w:name w:val="KM_表格样式 Char"/>
    <w:link w:val="53"/>
    <w:qFormat/>
    <w:uiPriority w:val="0"/>
    <w:rPr>
      <w:kern w:val="2"/>
      <w:sz w:val="21"/>
      <w:szCs w:val="21"/>
    </w:rPr>
  </w:style>
  <w:style w:type="character" w:customStyle="1" w:styleId="55">
    <w:name w:val="文档结构图 字符"/>
    <w:link w:val="9"/>
    <w:semiHidden/>
    <w:qFormat/>
    <w:uiPriority w:val="99"/>
    <w:rPr>
      <w:rFonts w:ascii="宋体"/>
      <w:sz w:val="18"/>
      <w:szCs w:val="18"/>
    </w:rPr>
  </w:style>
  <w:style w:type="paragraph" w:customStyle="1" w:styleId="56">
    <w:name w:val="KM_表附注样式"/>
    <w:basedOn w:val="53"/>
    <w:link w:val="57"/>
    <w:qFormat/>
    <w:uiPriority w:val="0"/>
    <w:pPr>
      <w:spacing w:before="0" w:after="0"/>
      <w:ind w:firstLine="454"/>
      <w:jc w:val="left"/>
    </w:pPr>
    <w:rPr>
      <w:sz w:val="18"/>
      <w:szCs w:val="18"/>
    </w:rPr>
  </w:style>
  <w:style w:type="character" w:customStyle="1" w:styleId="57">
    <w:name w:val="KM_表附注样式 Char"/>
    <w:link w:val="56"/>
    <w:qFormat/>
    <w:uiPriority w:val="0"/>
    <w:rPr>
      <w:kern w:val="2"/>
      <w:sz w:val="18"/>
      <w:szCs w:val="18"/>
    </w:rPr>
  </w:style>
  <w:style w:type="paragraph" w:customStyle="1" w:styleId="58">
    <w:name w:val="KM_四级"/>
    <w:basedOn w:val="6"/>
    <w:next w:val="1"/>
    <w:link w:val="59"/>
    <w:qFormat/>
    <w:uiPriority w:val="0"/>
    <w:pPr>
      <w:numPr>
        <w:ilvl w:val="3"/>
        <w:numId w:val="1"/>
      </w:numPr>
      <w:spacing w:before="240" w:after="0" w:line="360" w:lineRule="auto"/>
      <w:ind w:left="0" w:firstLine="0" w:firstLineChars="0"/>
    </w:pPr>
    <w:rPr>
      <w:rFonts w:ascii="Times New Roman" w:hAnsi="Times New Roman" w:eastAsia="仿宋"/>
    </w:rPr>
  </w:style>
  <w:style w:type="character" w:customStyle="1" w:styleId="59">
    <w:name w:val="KM_四级 Char"/>
    <w:link w:val="58"/>
    <w:qFormat/>
    <w:uiPriority w:val="0"/>
    <w:rPr>
      <w:rFonts w:eastAsia="仿宋"/>
      <w:b/>
      <w:bCs/>
      <w:kern w:val="2"/>
      <w:sz w:val="28"/>
      <w:szCs w:val="28"/>
    </w:rPr>
  </w:style>
  <w:style w:type="paragraph" w:customStyle="1" w:styleId="60">
    <w:name w:val="TOC Heading"/>
    <w:basedOn w:val="3"/>
    <w:next w:val="1"/>
    <w:unhideWhenUsed/>
    <w:qFormat/>
    <w:uiPriority w:val="39"/>
    <w:pPr>
      <w:widowControl/>
      <w:spacing w:before="400" w:after="300" w:line="240" w:lineRule="auto"/>
      <w:ind w:firstLine="0" w:firstLineChars="0"/>
      <w:jc w:val="center"/>
    </w:pPr>
    <w:rPr>
      <w:rFonts w:ascii="Arial" w:hAnsi="Arial" w:eastAsia="黑体"/>
      <w:b w:val="0"/>
      <w:bCs w:val="0"/>
      <w:kern w:val="0"/>
      <w:sz w:val="36"/>
      <w:szCs w:val="32"/>
    </w:rPr>
  </w:style>
  <w:style w:type="paragraph" w:customStyle="1" w:styleId="61">
    <w:name w:val="目录 11"/>
    <w:basedOn w:val="1"/>
    <w:next w:val="1"/>
    <w:unhideWhenUsed/>
    <w:qFormat/>
    <w:uiPriority w:val="39"/>
    <w:pPr>
      <w:spacing w:before="120" w:line="400" w:lineRule="exact"/>
      <w:ind w:firstLine="0" w:firstLineChars="0"/>
    </w:pPr>
    <w:rPr>
      <w:rFonts w:eastAsia="黑体"/>
    </w:rPr>
  </w:style>
  <w:style w:type="paragraph" w:customStyle="1" w:styleId="62">
    <w:name w:val="目录 21"/>
    <w:basedOn w:val="1"/>
    <w:next w:val="1"/>
    <w:unhideWhenUsed/>
    <w:qFormat/>
    <w:uiPriority w:val="39"/>
    <w:pPr>
      <w:tabs>
        <w:tab w:val="left" w:pos="993"/>
        <w:tab w:val="right" w:leader="dot" w:pos="9060"/>
      </w:tabs>
      <w:spacing w:line="400" w:lineRule="exact"/>
      <w:ind w:left="284" w:firstLine="0" w:firstLineChars="0"/>
    </w:pPr>
    <w:rPr>
      <w:rFonts w:eastAsia="黑体"/>
    </w:rPr>
  </w:style>
  <w:style w:type="paragraph" w:customStyle="1" w:styleId="63">
    <w:name w:val="目录 31"/>
    <w:basedOn w:val="1"/>
    <w:next w:val="1"/>
    <w:unhideWhenUsed/>
    <w:qFormat/>
    <w:uiPriority w:val="39"/>
    <w:pPr>
      <w:tabs>
        <w:tab w:val="left" w:pos="1276"/>
        <w:tab w:val="right" w:leader="dot" w:pos="9060"/>
      </w:tabs>
      <w:spacing w:line="400" w:lineRule="exact"/>
      <w:ind w:left="567" w:firstLine="0" w:firstLineChars="0"/>
    </w:pPr>
  </w:style>
  <w:style w:type="paragraph" w:customStyle="1" w:styleId="64">
    <w:name w:val="目录 41"/>
    <w:basedOn w:val="1"/>
    <w:next w:val="1"/>
    <w:unhideWhenUsed/>
    <w:qFormat/>
    <w:uiPriority w:val="39"/>
    <w:pPr>
      <w:ind w:left="1260" w:leftChars="600"/>
    </w:pPr>
  </w:style>
  <w:style w:type="paragraph" w:customStyle="1" w:styleId="65">
    <w:name w:val="KM_图片"/>
    <w:basedOn w:val="51"/>
    <w:link w:val="66"/>
    <w:qFormat/>
    <w:uiPriority w:val="0"/>
  </w:style>
  <w:style w:type="character" w:customStyle="1" w:styleId="66">
    <w:name w:val="KM_图片 字符"/>
    <w:basedOn w:val="52"/>
    <w:link w:val="65"/>
    <w:qFormat/>
    <w:uiPriority w:val="0"/>
    <w:rPr>
      <w:rFonts w:cstheme="minorBidi"/>
      <w:kern w:val="2"/>
      <w:sz w:val="28"/>
      <w:szCs w:val="22"/>
    </w:rPr>
  </w:style>
  <w:style w:type="character" w:customStyle="1" w:styleId="67">
    <w:name w:val="正文文本 字符"/>
    <w:basedOn w:val="26"/>
    <w:link w:val="11"/>
    <w:qFormat/>
    <w:uiPriority w:val="99"/>
    <w:rPr>
      <w:rFonts w:eastAsia="仿宋_GB2312"/>
      <w:kern w:val="2"/>
      <w:sz w:val="32"/>
      <w:szCs w:val="24"/>
    </w:rPr>
  </w:style>
  <w:style w:type="character" w:customStyle="1" w:styleId="68">
    <w:name w:val="批注框文本 字符"/>
    <w:basedOn w:val="26"/>
    <w:link w:val="15"/>
    <w:qFormat/>
    <w:uiPriority w:val="0"/>
    <w:rPr>
      <w:rFonts w:eastAsia="方正仿宋_GBK" w:cstheme="minorBidi"/>
      <w:kern w:val="2"/>
      <w:sz w:val="18"/>
      <w:szCs w:val="18"/>
    </w:rPr>
  </w:style>
  <w:style w:type="paragraph" w:styleId="69">
    <w:name w:val="List Paragraph"/>
    <w:basedOn w:val="1"/>
    <w:qFormat/>
    <w:uiPriority w:val="99"/>
    <w:pPr>
      <w:ind w:firstLine="420"/>
    </w:pPr>
  </w:style>
  <w:style w:type="paragraph" w:customStyle="1" w:styleId="70">
    <w:name w:val="Char Char Char Char Char Char"/>
    <w:basedOn w:val="1"/>
    <w:next w:val="2"/>
    <w:qFormat/>
    <w:uiPriority w:val="0"/>
    <w:pPr>
      <w:spacing w:line="240" w:lineRule="auto"/>
      <w:ind w:firstLine="0" w:firstLineChars="0"/>
    </w:pPr>
    <w:rPr>
      <w:rFonts w:eastAsia="宋体" w:cs="Times New Roman"/>
      <w:sz w:val="28"/>
      <w:szCs w:val="28"/>
    </w:rPr>
  </w:style>
  <w:style w:type="character" w:customStyle="1" w:styleId="71">
    <w:name w:val="宏文本 字符"/>
    <w:basedOn w:val="26"/>
    <w:link w:val="2"/>
    <w:semiHidden/>
    <w:qFormat/>
    <w:uiPriority w:val="0"/>
    <w:rPr>
      <w:rFonts w:ascii="Courier New" w:hAnsi="Courier New" w:cstheme="minorBidi"/>
      <w:kern w:val="2"/>
      <w:sz w:val="24"/>
      <w:szCs w:val="24"/>
    </w:rPr>
  </w:style>
  <w:style w:type="character" w:customStyle="1" w:styleId="72">
    <w:name w:val="正文文本缩进 字符"/>
    <w:basedOn w:val="26"/>
    <w:link w:val="12"/>
    <w:semiHidden/>
    <w:qFormat/>
    <w:uiPriority w:val="0"/>
    <w:rPr>
      <w:rFonts w:eastAsia="方正仿宋_GBK" w:cstheme="minorBidi"/>
      <w:kern w:val="2"/>
      <w:sz w:val="32"/>
      <w:szCs w:val="24"/>
    </w:rPr>
  </w:style>
  <w:style w:type="character" w:customStyle="1" w:styleId="73">
    <w:name w:val="正文首行缩进 2 字符"/>
    <w:basedOn w:val="72"/>
    <w:link w:val="23"/>
    <w:semiHidden/>
    <w:qFormat/>
    <w:uiPriority w:val="0"/>
    <w:rPr>
      <w:rFonts w:eastAsia="方正仿宋_GBK" w:cstheme="minorBidi"/>
      <w:kern w:val="2"/>
      <w:sz w:val="32"/>
      <w:szCs w:val="24"/>
    </w:rPr>
  </w:style>
  <w:style w:type="paragraph" w:customStyle="1" w:styleId="74">
    <w:name w:val="正文0729"/>
    <w:basedOn w:val="14"/>
    <w:qFormat/>
    <w:uiPriority w:val="0"/>
    <w:pPr>
      <w:spacing w:after="0" w:line="300" w:lineRule="auto"/>
      <w:ind w:left="0" w:leftChars="0"/>
    </w:pPr>
    <w:rPr>
      <w:rFonts w:eastAsia="宋体" w:cs="宋体"/>
      <w:sz w:val="24"/>
      <w:szCs w:val="20"/>
    </w:rPr>
  </w:style>
  <w:style w:type="character" w:customStyle="1" w:styleId="75">
    <w:name w:val="正文文本缩进 2 字符"/>
    <w:basedOn w:val="26"/>
    <w:link w:val="14"/>
    <w:semiHidden/>
    <w:qFormat/>
    <w:uiPriority w:val="0"/>
    <w:rPr>
      <w:rFonts w:eastAsia="方正仿宋_GBK" w:cstheme="minorBidi"/>
      <w:kern w:val="2"/>
      <w:sz w:val="32"/>
      <w:szCs w:val="24"/>
    </w:rPr>
  </w:style>
  <w:style w:type="paragraph" w:customStyle="1" w:styleId="76">
    <w:name w:val="KM加粗正文"/>
    <w:basedOn w:val="1"/>
    <w:next w:val="1"/>
    <w:qFormat/>
    <w:uiPriority w:val="0"/>
    <w:pPr>
      <w:ind w:firstLine="0" w:firstLineChars="0"/>
      <w:jc w:val="left"/>
      <w:outlineLvl w:val="3"/>
    </w:pPr>
    <w:rPr>
      <w:b/>
    </w:rPr>
  </w:style>
  <w:style w:type="character" w:customStyle="1" w:styleId="77">
    <w:name w:val="font122"/>
    <w:qFormat/>
    <w:uiPriority w:val="0"/>
    <w:rPr>
      <w:rFonts w:hint="eastAsia" w:ascii="宋体" w:hAnsi="宋体" w:eastAsia="宋体" w:cs="宋体"/>
      <w:b/>
      <w:color w:val="000000"/>
      <w:sz w:val="18"/>
      <w:szCs w:val="18"/>
      <w:u w:val="none"/>
    </w:rPr>
  </w:style>
  <w:style w:type="character" w:customStyle="1" w:styleId="78">
    <w:name w:val="font21"/>
    <w:qFormat/>
    <w:uiPriority w:val="0"/>
    <w:rPr>
      <w:rFonts w:hint="eastAsia" w:ascii="宋体" w:hAnsi="宋体" w:eastAsia="宋体" w:cs="宋体"/>
      <w:b/>
      <w:color w:val="000000"/>
      <w:sz w:val="22"/>
      <w:szCs w:val="22"/>
      <w:u w:val="none"/>
    </w:rPr>
  </w:style>
  <w:style w:type="character" w:customStyle="1" w:styleId="79">
    <w:name w:val="表格内容 Char"/>
    <w:link w:val="80"/>
    <w:qFormat/>
    <w:uiPriority w:val="0"/>
    <w:rPr>
      <w:rFonts w:eastAsia="仿宋"/>
      <w:color w:val="000000"/>
      <w:sz w:val="21"/>
    </w:rPr>
  </w:style>
  <w:style w:type="paragraph" w:customStyle="1" w:styleId="80">
    <w:name w:val="表格内容"/>
    <w:basedOn w:val="1"/>
    <w:link w:val="79"/>
    <w:qFormat/>
    <w:uiPriority w:val="0"/>
    <w:pPr>
      <w:framePr w:wrap="around" w:vAnchor="text" w:hAnchor="text" w:y="1"/>
      <w:widowControl/>
      <w:spacing w:line="240" w:lineRule="auto"/>
      <w:ind w:firstLine="0" w:firstLineChars="0"/>
      <w:jc w:val="center"/>
    </w:pPr>
    <w:rPr>
      <w:rFonts w:eastAsia="仿宋" w:cs="Times New Roman"/>
      <w:color w:val="000000"/>
      <w:kern w:val="0"/>
      <w:sz w:val="21"/>
      <w:szCs w:val="20"/>
    </w:rPr>
  </w:style>
  <w:style w:type="character" w:customStyle="1" w:styleId="81">
    <w:name w:val="font01"/>
    <w:qFormat/>
    <w:uiPriority w:val="0"/>
    <w:rPr>
      <w:rFonts w:hint="default" w:ascii="Times New Roman" w:hAnsi="Times New Roman" w:cs="Times New Roman"/>
      <w:color w:val="000000"/>
      <w:sz w:val="22"/>
      <w:szCs w:val="22"/>
      <w:u w:val="none"/>
    </w:rPr>
  </w:style>
  <w:style w:type="character" w:customStyle="1" w:styleId="82">
    <w:name w:val="font11"/>
    <w:qFormat/>
    <w:uiPriority w:val="0"/>
    <w:rPr>
      <w:rFonts w:hint="default" w:ascii="Times New Roman" w:hAnsi="Times New Roman" w:cs="Times New Roman"/>
      <w:color w:val="000000"/>
      <w:sz w:val="24"/>
      <w:szCs w:val="24"/>
      <w:u w:val="none"/>
    </w:rPr>
  </w:style>
  <w:style w:type="character" w:customStyle="1" w:styleId="83">
    <w:name w:val="正文首行缩进 字符"/>
    <w:basedOn w:val="67"/>
    <w:link w:val="22"/>
    <w:semiHidden/>
    <w:qFormat/>
    <w:uiPriority w:val="99"/>
    <w:rPr>
      <w:rFonts w:eastAsia="方正仿宋_GBK" w:cstheme="minorBidi"/>
      <w:kern w:val="2"/>
      <w:sz w:val="32"/>
      <w:szCs w:val="24"/>
    </w:rPr>
  </w:style>
  <w:style w:type="character" w:customStyle="1" w:styleId="84">
    <w:name w:val="批注文字 字符"/>
    <w:basedOn w:val="26"/>
    <w:link w:val="10"/>
    <w:qFormat/>
    <w:uiPriority w:val="99"/>
    <w:rPr>
      <w:rFonts w:ascii="Calibri" w:hAnsi="Calibri"/>
      <w:sz w:val="24"/>
    </w:rPr>
  </w:style>
  <w:style w:type="paragraph" w:customStyle="1" w:styleId="85">
    <w:name w:val="p0"/>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86">
    <w:name w:val="正文-"/>
    <w:basedOn w:val="1"/>
    <w:qFormat/>
    <w:uiPriority w:val="0"/>
    <w:pPr>
      <w:adjustRightInd/>
      <w:snapToGrid/>
      <w:spacing w:line="560" w:lineRule="exact"/>
    </w:pPr>
    <w:rPr>
      <w:rFonts w:eastAsia="宋体" w:cs="仿宋_GB2312"/>
      <w:sz w:val="24"/>
      <w:szCs w:val="28"/>
    </w:rPr>
  </w:style>
  <w:style w:type="character" w:customStyle="1" w:styleId="87">
    <w:name w:val="副标题 字符1"/>
    <w:link w:val="19"/>
    <w:qFormat/>
    <w:uiPriority w:val="11"/>
    <w:rPr>
      <w:rFonts w:ascii="Cambria" w:hAnsi="Cambria"/>
      <w:b/>
      <w:iCs/>
      <w:spacing w:val="15"/>
      <w:sz w:val="24"/>
      <w:szCs w:val="24"/>
    </w:rPr>
  </w:style>
  <w:style w:type="character" w:customStyle="1" w:styleId="88">
    <w:name w:val="副标题 字符"/>
    <w:basedOn w:val="26"/>
    <w:qFormat/>
    <w:uiPriority w:val="11"/>
    <w:rPr>
      <w:rFonts w:asciiTheme="minorHAnsi" w:hAnsiTheme="minorHAnsi" w:eastAsiaTheme="minorEastAsia" w:cstheme="min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hart" Target="charts/chart11.xml"/><Relationship Id="rId27" Type="http://schemas.openxmlformats.org/officeDocument/2006/relationships/chart" Target="charts/chart10.xml"/><Relationship Id="rId26" Type="http://schemas.openxmlformats.org/officeDocument/2006/relationships/chart" Target="charts/chart9.xml"/><Relationship Id="rId25" Type="http://schemas.openxmlformats.org/officeDocument/2006/relationships/chart" Target="charts/chart8.xml"/><Relationship Id="rId24" Type="http://schemas.openxmlformats.org/officeDocument/2006/relationships/chart" Target="charts/chart7.xml"/><Relationship Id="rId23" Type="http://schemas.openxmlformats.org/officeDocument/2006/relationships/chart" Target="charts/chart6.xml"/><Relationship Id="rId22" Type="http://schemas.openxmlformats.org/officeDocument/2006/relationships/chart" Target="charts/chart5.xml"/><Relationship Id="rId21" Type="http://schemas.openxmlformats.org/officeDocument/2006/relationships/chart" Target="charts/chart4.xml"/><Relationship Id="rId20" Type="http://schemas.openxmlformats.org/officeDocument/2006/relationships/chart" Target="charts/chart3.xml"/><Relationship Id="rId2" Type="http://schemas.openxmlformats.org/officeDocument/2006/relationships/settings" Target="settings.xml"/><Relationship Id="rId19" Type="http://schemas.openxmlformats.org/officeDocument/2006/relationships/chart" Target="charts/chart2.xml"/><Relationship Id="rId18" Type="http://schemas.openxmlformats.org/officeDocument/2006/relationships/chart" Target="charts/chart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LT123\Documents\&#33258;&#23450;&#20041;%20Office%20&#27169;&#26495;\&#21021;&#35774;2020-1-8.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26131;&#38376;&#21439;\12&#26376;21&#26085;\001%20&#21313;&#22235;&#20116;&#27700;&#23433;&#20840;&#20445;&#38556;&#35268;&#21010;&#39033;&#30446;&#34920;&#35780;&#23457;&#31295;(12.21&#20462;&#25913;&#26131;&#38376;&#2143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01%20&#29577;&#28330;\&#26131;&#38376;\02&#26131;&#38376;&#21439;&#21313;&#22235;&#20116;\&#26131;&#38376;&#21439;&#21313;&#22235;&#20116;&#27700;&#23433;&#20840;&#20445;&#38556;&#35268;&#21010;20201219\&#38468;&#34920;1%20%20&#21313;&#22235;&#20116;&#27700;&#23433;&#20840;&#20445;&#38556;&#35268;&#21010;&#39033;&#30446;&#34920;(2021.10.19&#20462;&#25913;&#26131;&#38376;&#2143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LL\Desktop\&#26131;&#38376;&#21439;&#21313;&#22235;&#20116;&#27700;&#23433;&#20840;\12.21\001%20&#21313;&#22235;&#20116;&#27700;&#23433;&#20840;&#20445;&#38556;&#35268;&#21010;&#39033;&#30446;&#34920;&#35780;&#23457;&#31295;(12.21&#20462;&#25913;&#26131;&#38376;&#2143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26131;&#38376;&#21439;&#21313;&#22235;&#20116;&#27700;&#23433;&#20840;\12.21\001%20&#21313;&#22235;&#20116;&#27700;&#23433;&#20840;&#20445;&#38556;&#35268;&#21010;&#39033;&#30446;&#34920;&#35780;&#23457;&#31295;(12.21&#20462;&#25913;&#26131;&#38376;&#2143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26131;&#38376;&#21439;&#21313;&#22235;&#20116;&#27700;&#23433;&#20840;\12.21\001%20&#21313;&#22235;&#20116;&#27700;&#23433;&#20840;&#20445;&#38556;&#35268;&#21010;&#39033;&#30446;&#34920;&#35780;&#23457;&#31295;(12.21&#20462;&#25913;&#26131;&#38376;&#2143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26131;&#38376;&#21439;&#21313;&#22235;&#20116;&#27700;&#23433;&#20840;\12.21\001%20&#21313;&#22235;&#20116;&#27700;&#23433;&#20840;&#20445;&#38556;&#35268;&#21010;&#39033;&#30446;&#34920;&#35780;&#23457;&#31295;(12.21&#20462;&#25913;&#26131;&#38376;&#2143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Desktop\&#26131;&#38376;&#21439;&#21313;&#22235;&#20116;&#27700;&#23433;&#20840;\12.21\001%20&#21313;&#22235;&#20116;&#27700;&#23433;&#20840;&#20445;&#38556;&#35268;&#21010;&#39033;&#30446;&#34920;&#35780;&#23457;&#31295;(12.21&#20462;&#25913;&#26131;&#38376;&#2143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LL\Desktop\&#26131;&#38376;&#21439;&#21313;&#22235;&#20116;&#27700;&#23433;&#20840;\12.21\001%20&#21313;&#22235;&#20116;&#27700;&#23433;&#20840;&#20445;&#38556;&#35268;&#21010;&#39033;&#30446;&#34920;&#35780;&#23457;&#31295;(12.21&#20462;&#25913;&#26131;&#38376;&#2143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esktop\&#26131;&#38376;&#21439;&#21313;&#22235;&#20116;&#27700;&#23433;&#20840;\12.21\001%20&#21313;&#22235;&#20116;&#27700;&#23433;&#20840;&#20445;&#38556;&#35268;&#21010;&#39033;&#30446;&#34920;&#35780;&#23457;&#31295;(12.21&#20462;&#25913;&#26131;&#38376;&#2143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LL\Desktop\&#26131;&#38376;&#21439;&#21313;&#22235;&#20116;&#27700;&#23433;&#20840;\12.21\001%20&#21313;&#22235;&#20116;&#27700;&#23433;&#20840;&#20445;&#38556;&#35268;&#21010;&#39033;&#30446;&#34920;&#35780;&#23457;&#31295;(12.21&#20462;&#25913;&#26131;&#38376;&#2143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01%20&#29577;&#28330;\&#26131;&#38376;\02&#26131;&#38376;&#21439;&#21313;&#22235;&#20116;\&#26131;&#38376;&#21439;&#21313;&#22235;&#20116;&#27700;&#23433;&#20840;&#20445;&#38556;&#35268;&#21010;20201219\&#38468;&#34920;1%20%20&#21313;&#22235;&#20116;&#27700;&#23433;&#20840;&#20445;&#38556;&#35268;&#21010;&#39033;&#30446;&#34920;(2021.10.19&#20462;&#25913;&#26131;&#38376;&#2143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易门县“十四五”水安全保障规划项目投资额及其占比图</a:t>
            </a:r>
            <a:endParaRPr lang="zh-CN" altLang="en-US" sz="1400"/>
          </a:p>
        </c:rich>
      </c:tx>
      <c:layout>
        <c:manualLayout>
          <c:xMode val="edge"/>
          <c:yMode val="edge"/>
          <c:x val="0.102122475508178"/>
          <c:y val="0.0696262373731474"/>
        </c:manualLayout>
      </c:layout>
      <c:overlay val="0"/>
    </c:title>
    <c:autoTitleDeleted val="0"/>
    <c:plotArea>
      <c:layout>
        <c:manualLayout>
          <c:layoutTarget val="inner"/>
          <c:xMode val="edge"/>
          <c:yMode val="edge"/>
          <c:x val="0.275393537016976"/>
          <c:y val="0.42529628158498"/>
          <c:w val="0.391172205901247"/>
          <c:h val="0.470296554177019"/>
        </c:manualLayout>
      </c:layout>
      <c:pieChart>
        <c:varyColors val="1"/>
        <c:ser>
          <c:idx val="0"/>
          <c:order val="0"/>
          <c:explosion val="0"/>
          <c:dPt>
            <c:idx val="0"/>
            <c:bubble3D val="0"/>
            <c:spPr>
              <a:solidFill>
                <a:schemeClr val="accent1">
                  <a:lumMod val="60000"/>
                  <a:lumOff val="40000"/>
                </a:schemeClr>
              </a:solidFill>
            </c:spPr>
          </c:dPt>
          <c:dPt>
            <c:idx val="1"/>
            <c:bubble3D val="0"/>
            <c:spPr>
              <a:solidFill>
                <a:schemeClr val="accent2">
                  <a:lumMod val="60000"/>
                  <a:lumOff val="40000"/>
                </a:schemeClr>
              </a:solidFill>
            </c:spPr>
          </c:dPt>
          <c:dPt>
            <c:idx val="2"/>
            <c:bubble3D val="0"/>
            <c:spPr>
              <a:solidFill>
                <a:schemeClr val="accent3">
                  <a:lumMod val="60000"/>
                  <a:lumOff val="40000"/>
                </a:schemeClr>
              </a:solidFill>
            </c:spPr>
          </c:dPt>
          <c:dPt>
            <c:idx val="3"/>
            <c:bubble3D val="0"/>
            <c:spPr>
              <a:solidFill>
                <a:schemeClr val="accent4">
                  <a:lumMod val="40000"/>
                  <a:lumOff val="60000"/>
                </a:schemeClr>
              </a:solidFill>
            </c:spPr>
          </c:dPt>
          <c:dLbls>
            <c:dLbl>
              <c:idx val="0"/>
              <c:layout>
                <c:manualLayout>
                  <c:x val="0.0431154152848454"/>
                  <c:y val="-0.043600592160646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b="1"/>
                      <a:t>防洪类项目</a:t>
                    </a:r>
                    <a:r>
                      <a:rPr lang="en-US" altLang="zh-CN" sz="1000"/>
                      <a:t>:68</a:t>
                    </a:r>
                    <a:r>
                      <a:rPr lang="zh-CN" altLang="en-US" sz="1000"/>
                      <a:t>件</a:t>
                    </a:r>
                    <a:r>
                      <a:rPr lang="en-US" altLang="zh-CN" sz="1000"/>
                      <a:t>,</a:t>
                    </a:r>
                    <a:r>
                      <a:rPr lang="zh-CN" altLang="en-US" sz="1000"/>
                      <a:t>投资</a:t>
                    </a:r>
                    <a:r>
                      <a:rPr lang="en-US" altLang="zh-CN" sz="1000"/>
                      <a:t>10.2347</a:t>
                    </a:r>
                    <a:r>
                      <a:rPr lang="zh-CN" altLang="en-US" sz="1000"/>
                      <a:t>亿元</a:t>
                    </a:r>
                    <a:r>
                      <a:rPr lang="en-US" altLang="zh-CN" sz="1000"/>
                      <a:t>, </a:t>
                    </a:r>
                    <a:r>
                      <a:rPr lang="zh-CN" altLang="en-US" sz="1000"/>
                      <a:t>占比</a:t>
                    </a:r>
                    <a:r>
                      <a:rPr lang="en-US" altLang="zh-CN" sz="1000"/>
                      <a:t>16%</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0295931872929245"/>
                  <c:y val="-0.050704079839411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b="1"/>
                      <a:t>供水类项目</a:t>
                    </a:r>
                    <a:r>
                      <a:rPr lang="en-US" altLang="zh-CN" sz="1000"/>
                      <a:t>:214</a:t>
                    </a:r>
                    <a:r>
                      <a:rPr lang="zh-CN" altLang="en-US" sz="1000"/>
                      <a:t>件</a:t>
                    </a:r>
                    <a:r>
                      <a:rPr lang="en-US" altLang="zh-CN" sz="1000"/>
                      <a:t>,</a:t>
                    </a:r>
                    <a:r>
                      <a:rPr lang="zh-CN" altLang="en-US" sz="1000"/>
                      <a:t>投资 </a:t>
                    </a:r>
                    <a:r>
                      <a:rPr lang="en-US" altLang="zh-CN" sz="1000"/>
                      <a:t>33.2332</a:t>
                    </a:r>
                    <a:r>
                      <a:rPr lang="zh-CN" altLang="en-US" sz="1000"/>
                      <a:t>亿元</a:t>
                    </a:r>
                    <a:r>
                      <a:rPr lang="en-US" altLang="zh-CN" sz="1000"/>
                      <a:t>, </a:t>
                    </a:r>
                    <a:r>
                      <a:rPr lang="zh-CN" altLang="en-US" sz="1000"/>
                      <a:t>占比</a:t>
                    </a:r>
                    <a:r>
                      <a:rPr lang="en-US" altLang="zh-CN" sz="1000"/>
                      <a:t>52%</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manualLayout>
                      <c:w val="0.241848347730701"/>
                      <c:h val="0.188592152983844"/>
                    </c:manualLayout>
                  </c15:layout>
                </c:ext>
              </c:extLst>
            </c:dLbl>
            <c:dLbl>
              <c:idx val="2"/>
              <c:layout>
                <c:manualLayout>
                  <c:x val="-0.237177057927405"/>
                  <c:y val="-0.010136270058230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b="1"/>
                      <a:t>水生态类项目</a:t>
                    </a:r>
                    <a:r>
                      <a:rPr lang="en-US" altLang="zh-CN" sz="1000"/>
                      <a:t>:23</a:t>
                    </a:r>
                    <a:r>
                      <a:rPr lang="zh-CN" altLang="en-US" sz="1000"/>
                      <a:t>件</a:t>
                    </a:r>
                    <a:r>
                      <a:rPr lang="en-US" altLang="zh-CN" sz="1000"/>
                      <a:t>,</a:t>
                    </a:r>
                    <a:r>
                      <a:rPr lang="zh-CN" altLang="en-US" sz="1000"/>
                      <a:t>投资 </a:t>
                    </a:r>
                    <a:r>
                      <a:rPr lang="en-US" altLang="zh-CN" sz="1000"/>
                      <a:t>12.331</a:t>
                    </a:r>
                    <a:r>
                      <a:rPr lang="zh-CN" altLang="en-US" sz="1000"/>
                      <a:t>亿元</a:t>
                    </a:r>
                    <a:r>
                      <a:rPr lang="en-US" altLang="zh-CN" sz="1000"/>
                      <a:t>,</a:t>
                    </a:r>
                    <a:r>
                      <a:rPr lang="zh-CN" altLang="en-US" sz="1000"/>
                      <a:t>占比 </a:t>
                    </a:r>
                    <a:r>
                      <a:rPr lang="en-US" altLang="zh-CN" sz="1000"/>
                      <a:t>19%</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manualLayout>
                      <c:w val="0.243329219799808"/>
                      <c:h val="0.188592152983844"/>
                    </c:manualLayout>
                  </c15:layout>
                </c:ext>
              </c:extLst>
            </c:dLbl>
            <c:dLbl>
              <c:idx val="3"/>
              <c:layout>
                <c:manualLayout>
                  <c:x val="0.0591217388097607"/>
                  <c:y val="-0.064450555027304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b="1"/>
                      <a:t>水利信息化建设</a:t>
                    </a:r>
                    <a:r>
                      <a:rPr lang="en-US" altLang="zh-CN" sz="1000"/>
                      <a:t>:7</a:t>
                    </a:r>
                    <a:r>
                      <a:rPr lang="zh-CN" altLang="en-US" sz="1000"/>
                      <a:t>件</a:t>
                    </a:r>
                    <a:r>
                      <a:rPr lang="en-US" altLang="zh-CN" sz="1000"/>
                      <a:t>,</a:t>
                    </a:r>
                    <a:r>
                      <a:rPr lang="zh-CN" altLang="en-US" sz="1000"/>
                      <a:t>投资 </a:t>
                    </a:r>
                    <a:r>
                      <a:rPr lang="en-US" altLang="zh-CN" sz="1000"/>
                      <a:t>8.3568</a:t>
                    </a:r>
                    <a:r>
                      <a:rPr lang="zh-CN" altLang="en-US" sz="1000"/>
                      <a:t>亿元</a:t>
                    </a:r>
                    <a:r>
                      <a:rPr lang="en-US" altLang="zh-CN" sz="1000"/>
                      <a:t>, </a:t>
                    </a:r>
                    <a:r>
                      <a:rPr lang="zh-CN" altLang="en-US" sz="1000"/>
                      <a:t>占比</a:t>
                    </a:r>
                    <a:r>
                      <a:rPr lang="en-US" altLang="zh-CN" sz="1000"/>
                      <a:t>13%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manualLayout>
                      <c:w val="0.261812697106815"/>
                      <c:h val="0.188592152983844"/>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前言!$B$2:$B$5</c:f>
              <c:strCache>
                <c:ptCount val="4"/>
                <c:pt idx="0">
                  <c:v>防洪类项目</c:v>
                </c:pt>
                <c:pt idx="1">
                  <c:v>供水类项目</c:v>
                </c:pt>
                <c:pt idx="2">
                  <c:v>水生态类项目</c:v>
                </c:pt>
                <c:pt idx="3">
                  <c:v>水利信息化建设</c:v>
                </c:pt>
              </c:strCache>
            </c:strRef>
          </c:cat>
          <c:val>
            <c:numRef>
              <c:f>前言!$C$2:$C$5</c:f>
              <c:numCache>
                <c:formatCode>General</c:formatCode>
                <c:ptCount val="4"/>
                <c:pt idx="0">
                  <c:v>10.2347</c:v>
                </c:pt>
                <c:pt idx="1">
                  <c:v>28.8529</c:v>
                </c:pt>
                <c:pt idx="2">
                  <c:v>12.331</c:v>
                </c:pt>
                <c:pt idx="3">
                  <c:v>8.3568</c:v>
                </c:pt>
              </c:numCache>
            </c:numRef>
          </c:val>
        </c:ser>
        <c:dLbls>
          <c:showLegendKey val="0"/>
          <c:showVal val="1"/>
          <c:showCatName val="0"/>
          <c:showSerName val="0"/>
          <c:showPercent val="0"/>
          <c:showBubbleSize val="0"/>
          <c:showLeaderLines val="1"/>
        </c:dLbls>
        <c:firstSliceAng val="88"/>
      </c:pieChart>
    </c:plotArea>
    <c:plotVisOnly val="1"/>
    <c:dispBlanksAs val="gap"/>
    <c:showDLblsOverMax val="0"/>
    <c:extLst>
      <c:ext uri="{0b15fc19-7d7d-44ad-8c2d-2c3a37ce22c3}">
        <chartProps xmlns="https://web.wps.cn/et/2018/main" chartId="{0f4e7fe9-5c41-43a8-b456-02c3864a5e25}"/>
      </c:ext>
    </c:extLst>
  </c:chart>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sz="1400"/>
              <a:t>易门县乡镇抗旱水源工程建设项目投资额及其占比图</a:t>
            </a:r>
            <a:endParaRPr lang="zh-CN" sz="1400"/>
          </a:p>
        </c:rich>
      </c:tx>
      <c:layout>
        <c:manualLayout>
          <c:xMode val="edge"/>
          <c:yMode val="edge"/>
          <c:x val="0.126600153638372"/>
          <c:y val="0.0352526166131789"/>
        </c:manualLayout>
      </c:layout>
      <c:overlay val="0"/>
    </c:title>
    <c:autoTitleDeleted val="0"/>
    <c:plotArea>
      <c:layout>
        <c:manualLayout>
          <c:layoutTarget val="inner"/>
          <c:xMode val="edge"/>
          <c:yMode val="edge"/>
          <c:x val="0.335713247781744"/>
          <c:y val="0.383517615527201"/>
          <c:w val="0.353333287923785"/>
          <c:h val="0.479968602632074"/>
        </c:manualLayout>
      </c:layout>
      <c:pieChart>
        <c:varyColors val="1"/>
        <c:ser>
          <c:idx val="0"/>
          <c:order val="0"/>
          <c:explosion val="0"/>
          <c:dPt>
            <c:idx val="0"/>
            <c:bubble3D val="0"/>
          </c:dPt>
          <c:dPt>
            <c:idx val="1"/>
            <c:bubble3D val="0"/>
          </c:dPt>
          <c:dPt>
            <c:idx val="2"/>
            <c:bubble3D val="0"/>
          </c:dPt>
          <c:dPt>
            <c:idx val="3"/>
            <c:bubble3D val="0"/>
          </c:dPt>
          <c:dLbls>
            <c:dLbl>
              <c:idx val="0"/>
              <c:layout>
                <c:manualLayout>
                  <c:x val="0.0180229363630584"/>
                  <c:y val="0.0081034817768813"/>
                </c:manualLayout>
              </c:layout>
              <c:tx>
                <c:rich>
                  <a:bodyPr rot="0" spcFirstLastPara="0" vertOverflow="ellipsis" vert="horz" wrap="square" lIns="38100" tIns="19050" rIns="38100" bIns="19050" anchor="ctr" anchorCtr="1"/>
                  <a:lstStyle/>
                  <a:p>
                    <a:fld id="{bf8de5b2-f6eb-41ad-96a4-f8bbb5fcb157}" type="CATEGORYNAME">
                      <a:t>[CATEGORY NAME]</a:t>
                    </a:fld>
                    <a:r>
                      <a:t>,</a:t>
                    </a:r>
                    <a:fld id="{221f6fa1-799e-44e2-b8e0-0b026ebbb9b6}"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628833701150678"/>
                  <c:y val="0.0551964494449945"/>
                </c:manualLayout>
              </c:layout>
              <c:tx>
                <c:rich>
                  <a:bodyPr rot="0" spcFirstLastPara="0" vertOverflow="ellipsis" vert="horz" wrap="square" lIns="38100" tIns="19050" rIns="38100" bIns="19050" anchor="ctr" anchorCtr="1"/>
                  <a:lstStyle/>
                  <a:p>
                    <a:fld id="{2e92f1f3-ccf4-4d97-9895-a307a060cfd1}" type="CATEGORYNAME">
                      <a:t>[CATEGORY NAME]</a:t>
                    </a:fld>
                    <a:r>
                      <a:t>,</a:t>
                    </a:r>
                    <a:fld id="{76c39ac3-b057-4e67-9981-9a1d86e46ea3}"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471759801651091"/>
                  <c:y val="-0.0714869953829214"/>
                </c:manualLayout>
              </c:layout>
              <c:tx>
                <c:rich>
                  <a:bodyPr rot="0" spcFirstLastPara="0" vertOverflow="ellipsis" vert="horz" wrap="square" lIns="38100" tIns="19050" rIns="38100" bIns="19050" anchor="ctr" anchorCtr="1"/>
                  <a:lstStyle/>
                  <a:p>
                    <a:fld id="{7ba8fb18-e068-47f8-a25c-e18591ccd973}" type="CATEGORYNAME">
                      <a:t>[CATEGORY NAME]</a:t>
                    </a:fld>
                    <a:r>
                      <a:t>,</a:t>
                    </a:r>
                    <a:fld id="{b0d137b9-5e4d-429f-85ae-70effb5cf4cf}"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15267292870122"/>
                  <c:y val="0.0186993223966863"/>
                </c:manualLayout>
              </c:layout>
              <c:tx>
                <c:rich>
                  <a:bodyPr rot="0" spcFirstLastPara="0" vertOverflow="ellipsis" vert="horz" wrap="square" lIns="38100" tIns="19050" rIns="38100" bIns="19050" anchor="ctr" anchorCtr="1"/>
                  <a:lstStyle/>
                  <a:p>
                    <a:fld id="{14ebc2d0-c58f-4109-87e1-12a022e40a7a}" type="CATEGORYNAME">
                      <a:t>[CATEGORY NAME]</a:t>
                    </a:fld>
                    <a:r>
                      <a:t>,</a:t>
                    </a:r>
                    <a:fld id="{59400210-1307-46dc-859b-73d046d75c2f}"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1"/>
              <c:showSerName val="0"/>
              <c:showPercent val="1"/>
              <c:showBubbleSize val="0"/>
              <c:extLst>
                <c:ext xmlns:c15="http://schemas.microsoft.com/office/drawing/2012/chart" uri="{CE6537A1-D6FC-4f65-9D91-7224C49458BB}">
                  <c15:layout>
                    <c:manualLayout>
                      <c:w val="0.219226407962706"/>
                      <c:h val="0.22378892733564"/>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第7章!$I$2:$I$5</c:f>
              <c:strCache>
                <c:ptCount val="4"/>
                <c:pt idx="0">
                  <c:v>小（1）型水库工程</c:v>
                </c:pt>
                <c:pt idx="1">
                  <c:v>小（2）型水库工程</c:v>
                </c:pt>
                <c:pt idx="2">
                  <c:v>引调提水工程的连通工程</c:v>
                </c:pt>
                <c:pt idx="3">
                  <c:v>引调提水工程的其他配套工程</c:v>
                </c:pt>
              </c:strCache>
            </c:strRef>
          </c:cat>
          <c:val>
            <c:numRef>
              <c:f>第7章!$J$2:$J$5</c:f>
              <c:numCache>
                <c:formatCode>General"万元"</c:formatCode>
                <c:ptCount val="4"/>
                <c:pt idx="0">
                  <c:v>4800</c:v>
                </c:pt>
                <c:pt idx="1">
                  <c:v>12000</c:v>
                </c:pt>
                <c:pt idx="2">
                  <c:v>12900</c:v>
                </c:pt>
                <c:pt idx="3">
                  <c:v>5153</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extLst>
      <c:ext uri="{0b15fc19-7d7d-44ad-8c2d-2c3a37ce22c3}">
        <chartProps xmlns="https://web.wps.cn/et/2018/main" chartId="{c3d5e7cd-f91e-4eff-bfea-00337941013f}"/>
      </c:ext>
    </c:extLst>
  </c:chart>
  <c:txPr>
    <a:bodyPr/>
    <a:lstStyle/>
    <a:p>
      <a:pPr>
        <a:defRPr lang="zh-CN" sz="1050"/>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易门县水利信息化建设项目投资额及其占比图</a:t>
            </a:r>
            <a:endParaRPr lang="zh-CN" altLang="en-US" sz="1400"/>
          </a:p>
        </c:rich>
      </c:tx>
      <c:layout>
        <c:manualLayout>
          <c:xMode val="edge"/>
          <c:yMode val="edge"/>
          <c:x val="0.128391200284304"/>
          <c:y val="0.0425079881319183"/>
        </c:manualLayout>
      </c:layout>
      <c:overlay val="0"/>
    </c:title>
    <c:autoTitleDeleted val="0"/>
    <c:plotArea>
      <c:layout>
        <c:manualLayout>
          <c:layoutTarget val="inner"/>
          <c:xMode val="edge"/>
          <c:yMode val="edge"/>
          <c:x val="0.28984413547083"/>
          <c:y val="0.385332458442695"/>
          <c:w val="0.376497876395515"/>
          <c:h val="0.495264654418198"/>
        </c:manualLayout>
      </c:layout>
      <c:pieChart>
        <c:varyColors val="1"/>
        <c:ser>
          <c:idx val="0"/>
          <c:order val="0"/>
          <c:explosion val="0"/>
          <c:dPt>
            <c:idx val="0"/>
            <c:bubble3D val="0"/>
            <c:spPr>
              <a:solidFill>
                <a:schemeClr val="accent1">
                  <a:lumMod val="75000"/>
                </a:schemeClr>
              </a:solidFill>
            </c:spPr>
          </c:dPt>
          <c:dPt>
            <c:idx val="1"/>
            <c:bubble3D val="0"/>
            <c:spPr>
              <a:solidFill>
                <a:schemeClr val="accent2">
                  <a:lumMod val="60000"/>
                  <a:lumOff val="40000"/>
                </a:schemeClr>
              </a:solidFill>
            </c:spPr>
          </c:dPt>
          <c:dPt>
            <c:idx val="2"/>
            <c:bubble3D val="0"/>
            <c:spPr>
              <a:solidFill>
                <a:schemeClr val="accent3">
                  <a:lumMod val="60000"/>
                  <a:lumOff val="40000"/>
                </a:schemeClr>
              </a:solidFill>
            </c:spPr>
          </c:dPt>
          <c:dPt>
            <c:idx val="3"/>
            <c:bubble3D val="0"/>
            <c:spPr>
              <a:solidFill>
                <a:schemeClr val="accent4">
                  <a:lumMod val="40000"/>
                  <a:lumOff val="60000"/>
                </a:schemeClr>
              </a:solidFill>
            </c:spPr>
          </c:dPt>
          <c:dPt>
            <c:idx val="4"/>
            <c:bubble3D val="0"/>
            <c:spPr>
              <a:solidFill>
                <a:schemeClr val="accent5">
                  <a:lumMod val="60000"/>
                  <a:lumOff val="40000"/>
                </a:schemeClr>
              </a:solidFill>
            </c:spPr>
          </c:dPt>
          <c:dPt>
            <c:idx val="5"/>
            <c:bubble3D val="0"/>
            <c:spPr>
              <a:solidFill>
                <a:schemeClr val="accent6">
                  <a:lumMod val="60000"/>
                  <a:lumOff val="40000"/>
                </a:schemeClr>
              </a:solidFill>
            </c:spPr>
          </c:dPt>
          <c:dPt>
            <c:idx val="6"/>
            <c:bubble3D val="0"/>
            <c:spPr>
              <a:solidFill>
                <a:schemeClr val="accent1">
                  <a:lumMod val="40000"/>
                  <a:lumOff val="60000"/>
                </a:schemeClr>
              </a:solidFill>
            </c:spPr>
          </c:dPt>
          <c:dLbls>
            <c:dLbl>
              <c:idx val="0"/>
              <c:layout>
                <c:manualLayout>
                  <c:x val="0.0760839790451432"/>
                  <c:y val="0.041418689851268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国家基本水文站提档升级改造</a:t>
                    </a:r>
                    <a:r>
                      <a:rPr lang="en-US" altLang="zh-CN" sz="900"/>
                      <a:t>:</a:t>
                    </a:r>
                    <a:r>
                      <a:rPr lang="zh-CN" altLang="en-US" sz="900"/>
                      <a:t>投资</a:t>
                    </a:r>
                    <a:r>
                      <a:rPr lang="en-US" altLang="zh-CN" sz="900"/>
                      <a:t>668</a:t>
                    </a:r>
                    <a:r>
                      <a:rPr lang="zh-CN" altLang="en-US" sz="900"/>
                      <a:t>万元</a:t>
                    </a:r>
                    <a:r>
                      <a:rPr lang="en-US" altLang="zh-CN" sz="900"/>
                      <a:t>, </a:t>
                    </a:r>
                    <a:r>
                      <a:rPr lang="zh-CN" altLang="en-US" sz="900"/>
                      <a:t>占比</a:t>
                    </a:r>
                    <a:r>
                      <a:rPr lang="en-US" altLang="zh-CN" sz="900"/>
                      <a:t>1%</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225067681793109"/>
                  <c:y val="0.072114774715660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易门县农村饮水安全智慧供用水系统</a:t>
                    </a:r>
                    <a:r>
                      <a:rPr lang="en-US" altLang="zh-CN" sz="900"/>
                      <a:t>:</a:t>
                    </a:r>
                    <a:r>
                      <a:rPr lang="zh-CN" altLang="en-US" sz="900"/>
                      <a:t>投资</a:t>
                    </a:r>
                    <a:r>
                      <a:rPr lang="en-US" altLang="zh-CN" sz="900"/>
                      <a:t>13000</a:t>
                    </a:r>
                    <a:r>
                      <a:rPr lang="zh-CN" altLang="en-US" sz="900"/>
                      <a:t>万元</a:t>
                    </a:r>
                    <a:r>
                      <a:rPr lang="en-US" altLang="zh-CN" sz="900"/>
                      <a:t>, </a:t>
                    </a:r>
                    <a:r>
                      <a:rPr lang="zh-CN" altLang="en-US" sz="900"/>
                      <a:t>占比</a:t>
                    </a:r>
                    <a:r>
                      <a:rPr lang="en-US" altLang="zh-CN" sz="900"/>
                      <a:t>16%</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576742819162313"/>
                  <c:y val="-0.056340223097112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易门县水库水情测报、远程控制系统</a:t>
                    </a:r>
                    <a:r>
                      <a:rPr lang="en-US" altLang="zh-CN" sz="900"/>
                      <a:t>:</a:t>
                    </a:r>
                    <a:r>
                      <a:rPr lang="zh-CN" altLang="en-US" sz="900"/>
                      <a:t>投资</a:t>
                    </a:r>
                    <a:r>
                      <a:rPr lang="en-US" altLang="zh-CN" sz="900"/>
                      <a:t>26300</a:t>
                    </a:r>
                    <a:r>
                      <a:rPr lang="zh-CN" altLang="en-US" sz="900"/>
                      <a:t>万元</a:t>
                    </a:r>
                    <a:r>
                      <a:rPr lang="en-US" altLang="zh-CN" sz="900"/>
                      <a:t>, </a:t>
                    </a:r>
                    <a:r>
                      <a:rPr lang="zh-CN" altLang="en-US" sz="900"/>
                      <a:t>占比</a:t>
                    </a:r>
                    <a:r>
                      <a:rPr lang="en-US" altLang="zh-CN" sz="900"/>
                      <a:t>31%</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283221392884848"/>
                  <c:y val="0.04875195595237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易门县农业灌溉智慧用水系统</a:t>
                    </a:r>
                    <a:r>
                      <a:rPr lang="en-US" altLang="zh-CN" sz="900"/>
                      <a:t>:</a:t>
                    </a:r>
                    <a:r>
                      <a:rPr lang="zh-CN" altLang="en-US" sz="900"/>
                      <a:t>投资</a:t>
                    </a:r>
                    <a:r>
                      <a:rPr lang="en-US" altLang="zh-CN" sz="900"/>
                      <a:t>16000</a:t>
                    </a:r>
                    <a:r>
                      <a:rPr lang="zh-CN" altLang="en-US" sz="900"/>
                      <a:t>万元</a:t>
                    </a:r>
                    <a:r>
                      <a:rPr lang="en-US" altLang="zh-CN" sz="900"/>
                      <a:t>, </a:t>
                    </a:r>
                    <a:r>
                      <a:rPr lang="zh-CN" altLang="en-US" sz="900"/>
                      <a:t>占比</a:t>
                    </a:r>
                    <a:r>
                      <a:rPr lang="en-US" altLang="zh-CN" sz="900"/>
                      <a:t>19%</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0331521280535785"/>
                  <c:y val="-0.033009623797025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易门县工业智慧用水系统</a:t>
                    </a:r>
                    <a:r>
                      <a:rPr lang="en-US" altLang="zh-CN" sz="900"/>
                      <a:t>:</a:t>
                    </a:r>
                    <a:r>
                      <a:rPr lang="zh-CN" altLang="en-US" sz="900"/>
                      <a:t>投资 </a:t>
                    </a:r>
                    <a:r>
                      <a:rPr lang="en-US" altLang="zh-CN" sz="900"/>
                      <a:t>8000</a:t>
                    </a:r>
                    <a:r>
                      <a:rPr lang="zh-CN" altLang="en-US" sz="900"/>
                      <a:t>万元</a:t>
                    </a:r>
                    <a:r>
                      <a:rPr lang="en-US" altLang="zh-CN" sz="900"/>
                      <a:t>, </a:t>
                    </a:r>
                    <a:r>
                      <a:rPr lang="zh-CN" altLang="en-US" sz="900"/>
                      <a:t>占比</a:t>
                    </a:r>
                    <a:r>
                      <a:rPr lang="en-US" altLang="zh-CN" sz="900"/>
                      <a:t>10%</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0312331782738223"/>
                  <c:y val="-0.040283519247594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易门中小河流水情信息动态监测系统和智能感知网络</a:t>
                    </a:r>
                    <a:r>
                      <a:rPr lang="en-US" altLang="zh-CN" sz="900"/>
                      <a:t>:</a:t>
                    </a:r>
                    <a:r>
                      <a:rPr lang="zh-CN" altLang="en-US" sz="900"/>
                      <a:t>投资</a:t>
                    </a:r>
                    <a:r>
                      <a:rPr lang="en-US" altLang="zh-CN" sz="900"/>
                      <a:t>12600</a:t>
                    </a:r>
                    <a:r>
                      <a:rPr lang="zh-CN" altLang="en-US" sz="900"/>
                      <a:t>万元</a:t>
                    </a:r>
                    <a:r>
                      <a:rPr lang="en-US" altLang="zh-CN" sz="900"/>
                      <a:t>, </a:t>
                    </a:r>
                    <a:r>
                      <a:rPr lang="zh-CN" altLang="en-US" sz="900"/>
                      <a:t>占比</a:t>
                    </a:r>
                    <a:r>
                      <a:rPr lang="en-US" altLang="zh-CN" sz="900"/>
                      <a:t>15%</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0815417523816966"/>
                  <c:y val="-0.087379702537182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易门县山洪灾害水情信息动态监测系统和智能感知网络</a:t>
                    </a:r>
                    <a:r>
                      <a:rPr lang="en-US" altLang="zh-CN" sz="900"/>
                      <a:t>:</a:t>
                    </a:r>
                    <a:r>
                      <a:rPr lang="zh-CN" altLang="en-US" sz="900"/>
                      <a:t>投资 </a:t>
                    </a:r>
                    <a:r>
                      <a:rPr lang="en-US" altLang="zh-CN" sz="900"/>
                      <a:t>7000</a:t>
                    </a:r>
                    <a:r>
                      <a:rPr lang="zh-CN" altLang="en-US" sz="900"/>
                      <a:t>万元</a:t>
                    </a:r>
                    <a:r>
                      <a:rPr lang="en-US" altLang="zh-CN" sz="900"/>
                      <a:t>, </a:t>
                    </a:r>
                    <a:r>
                      <a:rPr lang="zh-CN" altLang="en-US" sz="900"/>
                      <a:t>占比</a:t>
                    </a:r>
                    <a:r>
                      <a:rPr lang="en-US" altLang="zh-CN" sz="900"/>
                      <a:t>8%</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第9章!$D$3:$D$9</c:f>
              <c:strCache>
                <c:ptCount val="7"/>
                <c:pt idx="0">
                  <c:v>国家基本水文站提档升级改造</c:v>
                </c:pt>
                <c:pt idx="1">
                  <c:v>易门县农村饮水安全智慧供用水系统</c:v>
                </c:pt>
                <c:pt idx="2">
                  <c:v>易门县水库水情测报、远程控制系统</c:v>
                </c:pt>
                <c:pt idx="3">
                  <c:v>易门县农业灌溉智慧用水系统</c:v>
                </c:pt>
                <c:pt idx="4">
                  <c:v>易门县工业智慧用水系统</c:v>
                </c:pt>
                <c:pt idx="5">
                  <c:v>易门中小河流水情信息动态监测系统和智能感知网络</c:v>
                </c:pt>
                <c:pt idx="6">
                  <c:v>易门县山洪灾害水情信息动态监测系统和智能感知网络</c:v>
                </c:pt>
              </c:strCache>
            </c:strRef>
          </c:cat>
          <c:val>
            <c:numRef>
              <c:f>第9章!$E$3:$E$9</c:f>
              <c:numCache>
                <c:formatCode>General</c:formatCode>
                <c:ptCount val="7"/>
                <c:pt idx="0">
                  <c:v>668</c:v>
                </c:pt>
                <c:pt idx="1">
                  <c:v>13000</c:v>
                </c:pt>
                <c:pt idx="2">
                  <c:v>26300</c:v>
                </c:pt>
                <c:pt idx="3">
                  <c:v>16000</c:v>
                </c:pt>
                <c:pt idx="4">
                  <c:v>8000</c:v>
                </c:pt>
                <c:pt idx="5">
                  <c:v>12600</c:v>
                </c:pt>
                <c:pt idx="6">
                  <c:v>7000</c:v>
                </c:pt>
              </c:numCache>
            </c:numRef>
          </c:val>
        </c:ser>
        <c:dLbls>
          <c:showLegendKey val="0"/>
          <c:showVal val="1"/>
          <c:showCatName val="0"/>
          <c:showSerName val="0"/>
          <c:showPercent val="0"/>
          <c:showBubbleSize val="0"/>
          <c:showLeaderLines val="1"/>
        </c:dLbls>
        <c:firstSliceAng val="89"/>
      </c:pieChart>
    </c:plotArea>
    <c:plotVisOnly val="1"/>
    <c:dispBlanksAs val="gap"/>
    <c:showDLblsOverMax val="0"/>
    <c:extLst>
      <c:ext uri="{0b15fc19-7d7d-44ad-8c2d-2c3a37ce22c3}">
        <chartProps xmlns="https://web.wps.cn/et/2018/main" chartId="{59569598-160b-4b0e-a4ed-26dd247b7a1c}"/>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zh-CN" altLang="en-US" sz="1600"/>
              <a:t>易门县治理工程投资额及其占比图</a:t>
            </a:r>
            <a:endParaRPr lang="zh-CN" altLang="en-US" sz="1600"/>
          </a:p>
        </c:rich>
      </c:tx>
      <c:layout>
        <c:manualLayout>
          <c:xMode val="edge"/>
          <c:yMode val="edge"/>
          <c:x val="0.224305505774404"/>
          <c:y val="0.02929715625342"/>
        </c:manualLayout>
      </c:layout>
      <c:overlay val="0"/>
    </c:title>
    <c:autoTitleDeleted val="0"/>
    <c:plotArea>
      <c:layout>
        <c:manualLayout>
          <c:layoutTarget val="inner"/>
          <c:xMode val="edge"/>
          <c:yMode val="edge"/>
          <c:x val="0.303617781381058"/>
          <c:y val="0.300624679596104"/>
          <c:w val="0.410692640080672"/>
          <c:h val="0.589576805476635"/>
        </c:manualLayout>
      </c:layout>
      <c:pieChart>
        <c:varyColors val="1"/>
        <c:ser>
          <c:idx val="0"/>
          <c:order val="0"/>
          <c:explosion val="17"/>
          <c:dPt>
            <c:idx val="0"/>
            <c:bubble3D val="0"/>
            <c:explosion val="0"/>
            <c:spPr>
              <a:solidFill>
                <a:schemeClr val="accent1">
                  <a:lumMod val="60000"/>
                  <a:lumOff val="40000"/>
                </a:schemeClr>
              </a:solidFill>
            </c:spPr>
          </c:dPt>
          <c:dPt>
            <c:idx val="1"/>
            <c:bubble3D val="0"/>
            <c:explosion val="0"/>
            <c:spPr>
              <a:solidFill>
                <a:schemeClr val="accent2">
                  <a:lumMod val="40000"/>
                  <a:lumOff val="60000"/>
                </a:schemeClr>
              </a:solidFill>
            </c:spPr>
          </c:dPt>
          <c:dPt>
            <c:idx val="2"/>
            <c:bubble3D val="0"/>
            <c:explosion val="0"/>
            <c:spPr>
              <a:solidFill>
                <a:schemeClr val="accent6">
                  <a:lumMod val="40000"/>
                  <a:lumOff val="60000"/>
                </a:schemeClr>
              </a:solidFill>
            </c:spPr>
          </c:dPt>
          <c:dPt>
            <c:idx val="3"/>
            <c:bubble3D val="0"/>
            <c:explosion val="0"/>
            <c:spPr>
              <a:solidFill>
                <a:schemeClr val="accent4">
                  <a:lumMod val="40000"/>
                  <a:lumOff val="60000"/>
                </a:schemeClr>
              </a:solidFill>
            </c:spPr>
          </c:dPt>
          <c:dLbls>
            <c:dLbl>
              <c:idx val="0"/>
              <c:layout>
                <c:manualLayout>
                  <c:x val="0.0671969348144423"/>
                  <c:y val="-0.0272699286949074"/>
                </c:manualLayout>
              </c:layout>
              <c:tx>
                <c:rich>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r>
                      <a:rPr lang="zh-CN" altLang="en-US" sz="1050" b="1"/>
                      <a:t>重要支流及中小河流治理项目</a:t>
                    </a:r>
                    <a:r>
                      <a:rPr lang="en-US" altLang="zh-CN" sz="1050"/>
                      <a:t>:15</a:t>
                    </a:r>
                    <a:r>
                      <a:rPr lang="zh-CN" altLang="en-US" sz="1050"/>
                      <a:t>件</a:t>
                    </a:r>
                    <a:r>
                      <a:rPr lang="en-US" altLang="zh-CN" sz="1050"/>
                      <a:t>,</a:t>
                    </a:r>
                    <a:r>
                      <a:rPr lang="zh-CN" altLang="en-US" sz="1050"/>
                      <a:t>投资</a:t>
                    </a:r>
                    <a:r>
                      <a:rPr lang="en-US" altLang="zh-CN" sz="1050"/>
                      <a:t>45860</a:t>
                    </a:r>
                    <a:r>
                      <a:rPr lang="zh-CN" altLang="en-US" sz="1050"/>
                      <a:t>万元</a:t>
                    </a:r>
                    <a:r>
                      <a:rPr lang="en-US" altLang="zh-CN" sz="1050"/>
                      <a:t>,</a:t>
                    </a:r>
                    <a:r>
                      <a:rPr lang="zh-CN" altLang="en-US" sz="1050"/>
                      <a:t>占比 </a:t>
                    </a:r>
                    <a:r>
                      <a:rPr lang="en-US" altLang="zh-CN" sz="1050"/>
                      <a:t>45%</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37313375120229"/>
                  <c:y val="7.08414553829859e-5"/>
                </c:manualLayout>
              </c:layout>
              <c:tx>
                <c:rich>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r>
                      <a:rPr lang="zh-CN" altLang="en-US" sz="1050" b="1"/>
                      <a:t>山洪沟治理</a:t>
                    </a:r>
                    <a:r>
                      <a:rPr lang="en-US" altLang="zh-CN" sz="1050"/>
                      <a:t>:</a:t>
                    </a:r>
                    <a:endParaRPr lang="en-US" altLang="zh-CN" sz="1050"/>
                  </a:p>
                  <a:p>
                    <a:pPr>
                      <a:defRPr lang="zh-CN" sz="1050" b="0" i="0" u="none" strike="noStrike" kern="1200" baseline="0">
                        <a:solidFill>
                          <a:schemeClr val="tx1"/>
                        </a:solidFill>
                        <a:latin typeface="+mn-lt"/>
                        <a:ea typeface="+mn-ea"/>
                        <a:cs typeface="+mn-cs"/>
                      </a:defRPr>
                    </a:pPr>
                    <a:r>
                      <a:rPr lang="en-US" altLang="zh-CN" sz="1050"/>
                      <a:t> 10</a:t>
                    </a:r>
                    <a:r>
                      <a:rPr lang="zh-CN" altLang="en-US" sz="1050"/>
                      <a:t>件</a:t>
                    </a:r>
                    <a:r>
                      <a:rPr lang="en-US" altLang="zh-CN" sz="1050"/>
                      <a:t>,</a:t>
                    </a:r>
                    <a:r>
                      <a:rPr lang="zh-CN" altLang="en-US" sz="1050"/>
                      <a:t>投资</a:t>
                    </a:r>
                    <a:r>
                      <a:rPr lang="en-US" altLang="zh-CN" sz="1050"/>
                      <a:t>11049</a:t>
                    </a:r>
                    <a:r>
                      <a:rPr lang="zh-CN" altLang="en-US" sz="1050"/>
                      <a:t>万元</a:t>
                    </a:r>
                    <a:r>
                      <a:rPr lang="en-US" altLang="zh-CN" sz="1050"/>
                      <a:t>, </a:t>
                    </a:r>
                    <a:r>
                      <a:rPr lang="zh-CN" altLang="en-US" sz="1050"/>
                      <a:t>占比</a:t>
                    </a:r>
                    <a:r>
                      <a:rPr lang="en-US" altLang="zh-CN" sz="1050"/>
                      <a:t>11%</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435951795611037"/>
                  <c:y val="0.0344027417371074"/>
                </c:manualLayout>
              </c:layout>
              <c:tx>
                <c:rich>
                  <a:bodyPr rot="0" spcFirstLastPara="0" vertOverflow="ellipsis" vert="horz" wrap="square" lIns="38100" tIns="19050" rIns="38100" bIns="19050" anchor="ctr" anchorCtr="0"/>
                  <a:lstStyle/>
                  <a:p>
                    <a:pPr>
                      <a:defRPr lang="zh-CN" sz="1050" b="0" i="0" u="none" strike="noStrike" kern="1200" baseline="0">
                        <a:solidFill>
                          <a:schemeClr val="tx1"/>
                        </a:solidFill>
                        <a:latin typeface="+mn-lt"/>
                        <a:ea typeface="+mn-ea"/>
                        <a:cs typeface="+mn-cs"/>
                      </a:defRPr>
                    </a:pPr>
                    <a:r>
                      <a:rPr lang="zh-CN" altLang="en-US" sz="1050" b="1"/>
                      <a:t>病险除险、清淤增效工程</a:t>
                    </a:r>
                    <a:r>
                      <a:rPr lang="en-US" altLang="zh-CN" sz="1050" b="1"/>
                      <a:t>:</a:t>
                    </a:r>
                    <a:r>
                      <a:rPr lang="en-US" altLang="zh-CN" sz="1050"/>
                      <a:t>42</a:t>
                    </a:r>
                    <a:r>
                      <a:rPr lang="zh-CN" altLang="en-US" sz="1050"/>
                      <a:t>件</a:t>
                    </a:r>
                    <a:r>
                      <a:rPr lang="en-US" altLang="zh-CN" sz="1050"/>
                      <a:t>,</a:t>
                    </a:r>
                    <a:r>
                      <a:rPr lang="zh-CN" altLang="en-US" sz="1050"/>
                      <a:t>投资</a:t>
                    </a:r>
                    <a:r>
                      <a:rPr lang="en-US" altLang="zh-CN" sz="1050"/>
                      <a:t>42437.8</a:t>
                    </a:r>
                    <a:r>
                      <a:rPr lang="zh-CN" altLang="en-US" sz="1050"/>
                      <a:t>万元</a:t>
                    </a:r>
                    <a:r>
                      <a:rPr lang="en-US" altLang="zh-CN" sz="1050"/>
                      <a:t>, </a:t>
                    </a:r>
                    <a:r>
                      <a:rPr lang="zh-CN" altLang="en-US" sz="1050"/>
                      <a:t>占比</a:t>
                    </a:r>
                    <a:r>
                      <a:rPr lang="en-US" altLang="zh-CN" sz="1050"/>
                      <a:t>41%</a:t>
                    </a:r>
                    <a:endParaRPr lang="zh-CN" altLang="en-US"/>
                  </a:p>
                </c:rich>
              </c:tx>
              <c:numFmt formatCode="General" sourceLinked="1"/>
              <c:spPr>
                <a:noFill/>
                <a:ln>
                  <a:noFill/>
                </a:ln>
                <a:effectLst/>
              </c:spPr>
              <c:txPr>
                <a:bodyPr rot="0" spcFirstLastPara="0" vertOverflow="ellipsis" vert="horz" wrap="square" lIns="38100" tIns="19050" rIns="38100" bIns="19050" anchor="ctr" anchorCtr="0"/>
                <a:lstStyle/>
                <a:p>
                  <a:pPr>
                    <a:defRPr lang="zh-CN" sz="105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260258579759884"/>
                  <c:y val="0.0272437231158837"/>
                </c:manualLayout>
              </c:layout>
              <c:tx>
                <c:rich>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r>
                      <a:rPr lang="zh-CN" altLang="en-US" sz="1050" b="1"/>
                      <a:t>防洪排涝提升工程</a:t>
                    </a:r>
                    <a:r>
                      <a:rPr lang="zh-CN" altLang="en-US" sz="1050"/>
                      <a:t>（三五大河）</a:t>
                    </a:r>
                    <a:r>
                      <a:rPr lang="en-US" altLang="zh-CN" sz="1050"/>
                      <a:t>:1</a:t>
                    </a:r>
                    <a:r>
                      <a:rPr lang="zh-CN" altLang="en-US" sz="1050"/>
                      <a:t>件</a:t>
                    </a:r>
                    <a:r>
                      <a:rPr lang="en-US" altLang="zh-CN" sz="1050"/>
                      <a:t>,</a:t>
                    </a:r>
                    <a:r>
                      <a:rPr lang="zh-CN" altLang="en-US" sz="1050"/>
                      <a:t>投资 </a:t>
                    </a:r>
                    <a:r>
                      <a:rPr lang="en-US" altLang="zh-CN" sz="1050"/>
                      <a:t>3000</a:t>
                    </a:r>
                    <a:r>
                      <a:rPr lang="zh-CN" altLang="en-US" sz="1050"/>
                      <a:t>万元</a:t>
                    </a:r>
                    <a:r>
                      <a:rPr lang="en-US" altLang="zh-CN" sz="1050"/>
                      <a:t>,</a:t>
                    </a:r>
                    <a:r>
                      <a:rPr lang="zh-CN" altLang="en-US" sz="1050"/>
                      <a:t>占比</a:t>
                    </a:r>
                    <a:r>
                      <a:rPr lang="en-US" altLang="zh-CN" sz="1050"/>
                      <a:t>3%</a:t>
                    </a:r>
                    <a:endParaRPr lang="zh-CN" altLang="en-US"/>
                  </a:p>
                </c:rich>
              </c:tx>
              <c:numFmt formatCode="General" sourceLinked="1"/>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manualLayout>
                      <c:w val="0.221424296828247"/>
                      <c:h val="0.248395061728395"/>
                    </c:manualLayout>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第4章!$I$17:$I$20</c:f>
              <c:strCache>
                <c:ptCount val="4"/>
                <c:pt idx="0">
                  <c:v>重要支流及中小河流治理项目</c:v>
                </c:pt>
                <c:pt idx="1">
                  <c:v>山洪沟治理</c:v>
                </c:pt>
                <c:pt idx="2">
                  <c:v>病险除险、清淤增效工程</c:v>
                </c:pt>
                <c:pt idx="3">
                  <c:v>防洪排涝提升工程（三五大河）</c:v>
                </c:pt>
              </c:strCache>
            </c:strRef>
          </c:cat>
          <c:val>
            <c:numRef>
              <c:f>第4章!$K$17:$K$20</c:f>
              <c:numCache>
                <c:formatCode>General</c:formatCode>
                <c:ptCount val="4"/>
                <c:pt idx="0">
                  <c:v>45860</c:v>
                </c:pt>
                <c:pt idx="1">
                  <c:v>11049</c:v>
                </c:pt>
                <c:pt idx="2">
                  <c:v>42437.8</c:v>
                </c:pt>
                <c:pt idx="3">
                  <c:v>3000</c:v>
                </c:pt>
              </c:numCache>
            </c:numRef>
          </c:val>
        </c:ser>
        <c:dLbls>
          <c:showLegendKey val="0"/>
          <c:showVal val="1"/>
          <c:showCatName val="0"/>
          <c:showSerName val="0"/>
          <c:showPercent val="0"/>
          <c:showBubbleSize val="0"/>
          <c:showLeaderLines val="1"/>
        </c:dLbls>
        <c:firstSliceAng val="51"/>
      </c:pieChart>
    </c:plotArea>
    <c:plotVisOnly val="1"/>
    <c:dispBlanksAs val="gap"/>
    <c:showDLblsOverMax val="0"/>
    <c:extLst>
      <c:ext uri="{0b15fc19-7d7d-44ad-8c2d-2c3a37ce22c3}">
        <chartProps xmlns="https://web.wps.cn/et/2018/main" chartId="{2e2b6401-c75d-487a-aa11-6c93a6b58e6e}"/>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zh-CN" altLang="en-US" sz="1600"/>
              <a:t>易门县治理工程投资额及其占比图</a:t>
            </a:r>
            <a:endParaRPr lang="zh-CN" altLang="en-US" sz="1600"/>
          </a:p>
        </c:rich>
      </c:tx>
      <c:layout>
        <c:manualLayout>
          <c:xMode val="edge"/>
          <c:yMode val="edge"/>
          <c:x val="0.210899632169635"/>
          <c:y val="0.0262643230202285"/>
        </c:manualLayout>
      </c:layout>
      <c:overlay val="0"/>
    </c:title>
    <c:autoTitleDeleted val="0"/>
    <c:plotArea>
      <c:layout>
        <c:manualLayout>
          <c:layoutTarget val="inner"/>
          <c:xMode val="edge"/>
          <c:yMode val="edge"/>
          <c:x val="0.344458555583778"/>
          <c:y val="0.342259126700072"/>
          <c:w val="0.38216370803112"/>
          <c:h val="0.430802725416899"/>
        </c:manualLayout>
      </c:layout>
      <c:pieChart>
        <c:varyColors val="1"/>
        <c:ser>
          <c:idx val="0"/>
          <c:order val="0"/>
          <c:explosion val="0"/>
          <c:dPt>
            <c:idx val="0"/>
            <c:bubble3D val="0"/>
            <c:spPr>
              <a:solidFill>
                <a:schemeClr val="tx2">
                  <a:lumMod val="40000"/>
                  <a:lumOff val="60000"/>
                </a:schemeClr>
              </a:solidFill>
            </c:spPr>
          </c:dPt>
          <c:dPt>
            <c:idx val="1"/>
            <c:bubble3D val="0"/>
            <c:spPr>
              <a:solidFill>
                <a:schemeClr val="accent2">
                  <a:lumMod val="40000"/>
                  <a:lumOff val="60000"/>
                </a:schemeClr>
              </a:solidFill>
            </c:spPr>
          </c:dPt>
          <c:dPt>
            <c:idx val="2"/>
            <c:bubble3D val="0"/>
            <c:spPr>
              <a:solidFill>
                <a:schemeClr val="accent3">
                  <a:lumMod val="60000"/>
                  <a:lumOff val="40000"/>
                </a:schemeClr>
              </a:solidFill>
            </c:spPr>
          </c:dPt>
          <c:dPt>
            <c:idx val="3"/>
            <c:bubble3D val="0"/>
            <c:spPr>
              <a:solidFill>
                <a:schemeClr val="accent4">
                  <a:lumMod val="40000"/>
                  <a:lumOff val="60000"/>
                </a:schemeClr>
              </a:solidFill>
            </c:spPr>
          </c:dPt>
          <c:dPt>
            <c:idx val="4"/>
            <c:bubble3D val="0"/>
            <c:spPr>
              <a:solidFill>
                <a:schemeClr val="accent5">
                  <a:lumMod val="60000"/>
                  <a:lumOff val="40000"/>
                </a:schemeClr>
              </a:solidFill>
            </c:spPr>
          </c:dPt>
          <c:dPt>
            <c:idx val="5"/>
            <c:bubble3D val="0"/>
            <c:spPr>
              <a:solidFill>
                <a:schemeClr val="accent6">
                  <a:lumMod val="60000"/>
                  <a:lumOff val="40000"/>
                </a:schemeClr>
              </a:solidFill>
            </c:spPr>
          </c:dPt>
          <c:dPt>
            <c:idx val="6"/>
            <c:bubble3D val="0"/>
            <c:spPr>
              <a:solidFill>
                <a:schemeClr val="accent1">
                  <a:lumMod val="60000"/>
                  <a:lumOff val="40000"/>
                </a:schemeClr>
              </a:solidFill>
            </c:spPr>
          </c:dPt>
          <c:dPt>
            <c:idx val="7"/>
            <c:bubble3D val="0"/>
            <c:spPr>
              <a:solidFill>
                <a:schemeClr val="accent2">
                  <a:lumMod val="40000"/>
                  <a:lumOff val="60000"/>
                </a:schemeClr>
              </a:solidFill>
            </c:spPr>
          </c:dPt>
          <c:dPt>
            <c:idx val="8"/>
            <c:bubble3D val="0"/>
            <c:spPr>
              <a:solidFill>
                <a:schemeClr val="accent3">
                  <a:lumMod val="60000"/>
                  <a:lumOff val="40000"/>
                </a:schemeClr>
              </a:solidFill>
            </c:spPr>
          </c:dPt>
          <c:dPt>
            <c:idx val="9"/>
            <c:bubble3D val="0"/>
            <c:spPr>
              <a:solidFill>
                <a:schemeClr val="accent4">
                  <a:lumMod val="40000"/>
                  <a:lumOff val="60000"/>
                </a:schemeClr>
              </a:solidFill>
            </c:spPr>
          </c:dPt>
          <c:dPt>
            <c:idx val="10"/>
            <c:bubble3D val="0"/>
            <c:spPr>
              <a:solidFill>
                <a:schemeClr val="accent1">
                  <a:lumMod val="60000"/>
                  <a:lumOff val="40000"/>
                </a:schemeClr>
              </a:solidFill>
            </c:spPr>
          </c:dPt>
          <c:dPt>
            <c:idx val="11"/>
            <c:bubble3D val="0"/>
            <c:spPr>
              <a:solidFill>
                <a:schemeClr val="accent6">
                  <a:lumMod val="60000"/>
                  <a:lumOff val="40000"/>
                </a:schemeClr>
              </a:solidFill>
            </c:spPr>
          </c:dPt>
          <c:dPt>
            <c:idx val="12"/>
            <c:bubble3D val="0"/>
            <c:spPr>
              <a:solidFill>
                <a:schemeClr val="accent5">
                  <a:lumMod val="60000"/>
                  <a:lumOff val="40000"/>
                </a:schemeClr>
              </a:solidFill>
            </c:spPr>
          </c:dPt>
          <c:dLbls>
            <c:dLbl>
              <c:idx val="0"/>
              <c:layout>
                <c:manualLayout>
                  <c:x val="0.0746157536759518"/>
                  <c:y val="0.13510050637609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重要支流治理</a:t>
                    </a:r>
                    <a:r>
                      <a:rPr lang="en-US" altLang="zh-CN" sz="900"/>
                      <a:t>3000</a:t>
                    </a:r>
                    <a:r>
                      <a:rPr lang="en-US" altLang="en-US" sz="900"/>
                      <a:t>km²</a:t>
                    </a:r>
                    <a:r>
                      <a:rPr lang="zh-CN" altLang="en-US" sz="900"/>
                      <a:t>以上</a:t>
                    </a:r>
                    <a:r>
                      <a:rPr lang="en-US" altLang="zh-CN" sz="900"/>
                      <a:t>:1</a:t>
                    </a:r>
                    <a:r>
                      <a:rPr lang="zh-CN" altLang="en-US" sz="900"/>
                      <a:t>件</a:t>
                    </a:r>
                    <a:r>
                      <a:rPr lang="en-US" altLang="zh-CN" sz="900"/>
                      <a:t>,</a:t>
                    </a:r>
                    <a:r>
                      <a:rPr lang="zh-CN" altLang="en-US" sz="900"/>
                      <a:t>投资额 </a:t>
                    </a:r>
                    <a:r>
                      <a:rPr lang="en-US" altLang="zh-CN" sz="900"/>
                      <a:t>17280</a:t>
                    </a:r>
                    <a:r>
                      <a:rPr lang="zh-CN" altLang="en-US" sz="900"/>
                      <a:t>万元</a:t>
                    </a:r>
                    <a:r>
                      <a:rPr lang="en-US" altLang="zh-CN" sz="900"/>
                      <a:t>, </a:t>
                    </a:r>
                    <a:r>
                      <a:rPr lang="zh-CN" altLang="en-US" sz="900"/>
                      <a:t>占比</a:t>
                    </a:r>
                    <a:r>
                      <a:rPr lang="en-US" altLang="zh-CN" sz="900"/>
                      <a:t>17%</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483630137630646"/>
                  <c:y val="-0.00371971685357512"/>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中小河流治理</a:t>
                    </a:r>
                    <a:r>
                      <a:rPr lang="en-US" altLang="zh-CN" sz="900"/>
                      <a:t>200~3000</a:t>
                    </a:r>
                    <a:r>
                      <a:rPr lang="en-US" altLang="en-US" sz="900"/>
                      <a:t>km²:9</a:t>
                    </a:r>
                    <a:r>
                      <a:rPr lang="zh-CN" altLang="en-US" sz="900"/>
                      <a:t>件</a:t>
                    </a:r>
                    <a:r>
                      <a:rPr lang="en-US" altLang="zh-CN" sz="900"/>
                      <a:t>,</a:t>
                    </a:r>
                    <a:r>
                      <a:rPr lang="zh-CN" altLang="en-US" sz="900"/>
                      <a:t>投资 </a:t>
                    </a:r>
                    <a:r>
                      <a:rPr lang="en-US" altLang="zh-CN" sz="900"/>
                      <a:t>17380</a:t>
                    </a:r>
                    <a:r>
                      <a:rPr lang="zh-CN" altLang="en-US" sz="900"/>
                      <a:t>万元</a:t>
                    </a:r>
                    <a:r>
                      <a:rPr lang="en-US" altLang="zh-CN" sz="900"/>
                      <a:t>, </a:t>
                    </a:r>
                    <a:r>
                      <a:rPr lang="zh-CN" altLang="en-US" sz="900"/>
                      <a:t>占比</a:t>
                    </a:r>
                    <a:r>
                      <a:rPr lang="en-US" altLang="zh-CN" sz="900"/>
                      <a:t>17%</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29717306842021"/>
                  <c:y val="-0.015691614305787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中小河流治理</a:t>
                    </a:r>
                    <a:r>
                      <a:rPr lang="en-US" altLang="zh-CN" sz="900"/>
                      <a:t>200</a:t>
                    </a:r>
                    <a:r>
                      <a:rPr lang="en-US" altLang="en-US" sz="900"/>
                      <a:t>km²</a:t>
                    </a:r>
                    <a:r>
                      <a:rPr lang="zh-CN" altLang="en-US" sz="900"/>
                      <a:t>以下</a:t>
                    </a:r>
                    <a:r>
                      <a:rPr lang="en-US" altLang="zh-CN" sz="900"/>
                      <a:t>:5</a:t>
                    </a:r>
                    <a:r>
                      <a:rPr lang="zh-CN" altLang="en-US" sz="900"/>
                      <a:t>件</a:t>
                    </a:r>
                    <a:r>
                      <a:rPr lang="en-US" altLang="zh-CN" sz="900"/>
                      <a:t>,</a:t>
                    </a:r>
                    <a:r>
                      <a:rPr lang="zh-CN" altLang="en-US" sz="900"/>
                      <a:t>投资 </a:t>
                    </a:r>
                    <a:r>
                      <a:rPr lang="en-US" altLang="zh-CN" sz="900"/>
                      <a:t>11200</a:t>
                    </a:r>
                    <a:r>
                      <a:rPr lang="zh-CN" altLang="en-US" sz="900"/>
                      <a:t>万元</a:t>
                    </a:r>
                    <a:r>
                      <a:rPr lang="en-US" altLang="zh-CN" sz="900"/>
                      <a:t>,</a:t>
                    </a:r>
                    <a:r>
                      <a:rPr lang="zh-CN" altLang="en-US" sz="900"/>
                      <a:t>占比 </a:t>
                    </a:r>
                    <a:r>
                      <a:rPr lang="en-US" altLang="zh-CN" sz="900"/>
                      <a:t>11%</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222662677917948"/>
                  <c:y val="0.069468225562713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山洪沟治理</a:t>
                    </a:r>
                    <a:r>
                      <a:rPr lang="en-US" altLang="zh-CN" sz="900"/>
                      <a:t>:10</a:t>
                    </a:r>
                    <a:r>
                      <a:rPr lang="zh-CN" altLang="en-US" sz="900"/>
                      <a:t>件</a:t>
                    </a:r>
                    <a:r>
                      <a:rPr lang="en-US" altLang="zh-CN" sz="900"/>
                      <a:t>,</a:t>
                    </a:r>
                    <a:r>
                      <a:rPr lang="zh-CN" altLang="en-US" sz="900"/>
                      <a:t>投资 </a:t>
                    </a:r>
                    <a:r>
                      <a:rPr lang="en-US" altLang="zh-CN" sz="900"/>
                      <a:t>11049</a:t>
                    </a:r>
                    <a:r>
                      <a:rPr lang="zh-CN" altLang="en-US" sz="900"/>
                      <a:t>万元</a:t>
                    </a:r>
                    <a:r>
                      <a:rPr lang="en-US" altLang="zh-CN" sz="900"/>
                      <a:t>, </a:t>
                    </a:r>
                    <a:r>
                      <a:rPr lang="zh-CN" altLang="en-US" sz="900"/>
                      <a:t>占比</a:t>
                    </a:r>
                    <a:r>
                      <a:rPr lang="en-US" altLang="zh-CN" sz="900"/>
                      <a:t>11%</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068982775002587"/>
                  <c:y val="0.17765858055621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除险加固</a:t>
                    </a:r>
                    <a:r>
                      <a:rPr lang="en-US" altLang="zh-CN" sz="900"/>
                      <a:t>(</a:t>
                    </a:r>
                    <a:r>
                      <a:rPr lang="zh-CN" altLang="en-US" sz="900"/>
                      <a:t>中型水库）</a:t>
                    </a:r>
                    <a:r>
                      <a:rPr lang="en-US" altLang="zh-CN" sz="900"/>
                      <a:t>:2</a:t>
                    </a:r>
                    <a:r>
                      <a:rPr lang="zh-CN" altLang="en-US" sz="900"/>
                      <a:t>件</a:t>
                    </a:r>
                    <a:r>
                      <a:rPr lang="en-US" altLang="zh-CN" sz="900"/>
                      <a:t>,</a:t>
                    </a:r>
                    <a:r>
                      <a:rPr lang="zh-CN" altLang="en-US" sz="900"/>
                      <a:t>投资 </a:t>
                    </a:r>
                    <a:r>
                      <a:rPr lang="en-US" altLang="zh-CN" sz="900"/>
                      <a:t>9823</a:t>
                    </a:r>
                    <a:r>
                      <a:rPr lang="zh-CN" altLang="en-US" sz="900"/>
                      <a:t>万元</a:t>
                    </a:r>
                    <a:r>
                      <a:rPr lang="en-US" altLang="zh-CN" sz="900"/>
                      <a:t>, </a:t>
                    </a:r>
                    <a:r>
                      <a:rPr lang="zh-CN" altLang="en-US" sz="900"/>
                      <a:t>占比</a:t>
                    </a:r>
                    <a:r>
                      <a:rPr lang="en-US" altLang="zh-CN" sz="900"/>
                      <a:t>10%</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06805426203445"/>
                  <c:y val="0.14956960682944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除险加固（小（</a:t>
                    </a:r>
                    <a:r>
                      <a:rPr lang="en-US" altLang="zh-CN" sz="900"/>
                      <a:t>1</a:t>
                    </a:r>
                    <a:r>
                      <a:rPr lang="zh-CN" altLang="en-US" sz="900"/>
                      <a:t>）型水库）</a:t>
                    </a:r>
                    <a:r>
                      <a:rPr lang="en-US" altLang="zh-CN" sz="900"/>
                      <a:t>:1</a:t>
                    </a:r>
                    <a:r>
                      <a:rPr lang="zh-CN" altLang="en-US" sz="900"/>
                      <a:t>件</a:t>
                    </a:r>
                    <a:r>
                      <a:rPr lang="en-US" altLang="zh-CN" sz="900"/>
                      <a:t>,</a:t>
                    </a:r>
                    <a:r>
                      <a:rPr lang="zh-CN" altLang="en-US" sz="900"/>
                      <a:t>投资 </a:t>
                    </a:r>
                    <a:r>
                      <a:rPr lang="en-US" altLang="zh-CN" sz="900"/>
                      <a:t>800</a:t>
                    </a:r>
                    <a:r>
                      <a:rPr lang="zh-CN" altLang="en-US" sz="900"/>
                      <a:t>万元</a:t>
                    </a:r>
                    <a:r>
                      <a:rPr lang="en-US" altLang="zh-CN" sz="900"/>
                      <a:t>, </a:t>
                    </a:r>
                    <a:r>
                      <a:rPr lang="zh-CN" altLang="en-US" sz="900"/>
                      <a:t>占比</a:t>
                    </a:r>
                    <a:r>
                      <a:rPr lang="en-US" altLang="zh-CN" sz="900"/>
                      <a:t>1%</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0897430831898701"/>
                  <c:y val="0.063610169940878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除险加固（小（</a:t>
                    </a:r>
                    <a:r>
                      <a:rPr lang="en-US" altLang="zh-CN" sz="900"/>
                      <a:t>2</a:t>
                    </a:r>
                    <a:r>
                      <a:rPr lang="zh-CN" altLang="en-US" sz="900"/>
                      <a:t>）型水库）</a:t>
                    </a:r>
                    <a:r>
                      <a:rPr lang="en-US" altLang="zh-CN" sz="900"/>
                      <a:t>:14</a:t>
                    </a:r>
                    <a:r>
                      <a:rPr lang="zh-CN" altLang="en-US" sz="900"/>
                      <a:t>件</a:t>
                    </a:r>
                    <a:r>
                      <a:rPr lang="en-US" altLang="zh-CN" sz="900"/>
                      <a:t>, </a:t>
                    </a:r>
                    <a:r>
                      <a:rPr lang="zh-CN" altLang="en-US" sz="900"/>
                      <a:t>投资</a:t>
                    </a:r>
                    <a:r>
                      <a:rPr lang="en-US" altLang="zh-CN" sz="900"/>
                      <a:t>3500</a:t>
                    </a:r>
                    <a:r>
                      <a:rPr lang="zh-CN" altLang="en-US" sz="900"/>
                      <a:t>万元</a:t>
                    </a:r>
                    <a:r>
                      <a:rPr lang="en-US" altLang="zh-CN" sz="900"/>
                      <a:t>, </a:t>
                    </a:r>
                    <a:r>
                      <a:rPr lang="zh-CN" altLang="en-US" sz="900"/>
                      <a:t>占比</a:t>
                    </a:r>
                    <a:r>
                      <a:rPr lang="en-US" altLang="zh-CN" sz="900"/>
                      <a:t>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7"/>
              <c:layout>
                <c:manualLayout>
                  <c:x val="-0.095723948484934"/>
                  <c:y val="0.012065855404438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除险加固</a:t>
                    </a:r>
                    <a:r>
                      <a:rPr lang="en-US" altLang="zh-CN" sz="900"/>
                      <a:t>(</a:t>
                    </a:r>
                    <a:r>
                      <a:rPr lang="zh-CN" altLang="en-US" sz="900"/>
                      <a:t>小坝塘</a:t>
                    </a:r>
                    <a:r>
                      <a:rPr lang="en-US" altLang="zh-CN" sz="900"/>
                      <a:t>):1</a:t>
                    </a:r>
                    <a:r>
                      <a:rPr lang="zh-CN" altLang="en-US" sz="900"/>
                      <a:t>件</a:t>
                    </a:r>
                    <a:r>
                      <a:rPr lang="en-US" altLang="zh-CN" sz="900"/>
                      <a:t>,</a:t>
                    </a:r>
                    <a:r>
                      <a:rPr lang="zh-CN" altLang="en-US" sz="900"/>
                      <a:t>投资 </a:t>
                    </a:r>
                    <a:r>
                      <a:rPr lang="en-US" altLang="zh-CN" sz="900"/>
                      <a:t>6900</a:t>
                    </a:r>
                    <a:r>
                      <a:rPr lang="zh-CN" altLang="en-US" sz="900"/>
                      <a:t>万元</a:t>
                    </a:r>
                    <a:r>
                      <a:rPr lang="en-US" altLang="zh-CN" sz="900"/>
                      <a:t>, </a:t>
                    </a:r>
                    <a:r>
                      <a:rPr lang="zh-CN" altLang="en-US" sz="900"/>
                      <a:t>占比</a:t>
                    </a:r>
                    <a:r>
                      <a:rPr lang="en-US" altLang="zh-CN" sz="900"/>
                      <a:t>7%</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8"/>
              <c:layout>
                <c:manualLayout>
                  <c:x val="-0.107247481161629"/>
                  <c:y val="-0.052785492722500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病险闸除险加固</a:t>
                    </a:r>
                    <a:r>
                      <a:rPr lang="en-US" altLang="zh-CN" sz="900"/>
                      <a:t>:2</a:t>
                    </a:r>
                    <a:r>
                      <a:rPr lang="zh-CN" altLang="en-US" sz="900"/>
                      <a:t>件</a:t>
                    </a:r>
                    <a:r>
                      <a:rPr lang="en-US" altLang="zh-CN" sz="900"/>
                      <a:t>,</a:t>
                    </a:r>
                    <a:r>
                      <a:rPr lang="zh-CN" altLang="en-US" sz="900"/>
                      <a:t>投资 </a:t>
                    </a:r>
                    <a:r>
                      <a:rPr lang="en-US" altLang="zh-CN" sz="900"/>
                      <a:t>2000</a:t>
                    </a:r>
                    <a:r>
                      <a:rPr lang="zh-CN" altLang="en-US" sz="900"/>
                      <a:t>万元</a:t>
                    </a:r>
                    <a:r>
                      <a:rPr lang="en-US" altLang="zh-CN" sz="900"/>
                      <a:t>,</a:t>
                    </a:r>
                    <a:r>
                      <a:rPr lang="zh-CN" altLang="en-US" sz="900"/>
                      <a:t>占比 </a:t>
                    </a:r>
                    <a:r>
                      <a:rPr lang="en-US" altLang="zh-CN" sz="900"/>
                      <a:t>2%</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9"/>
              <c:layout>
                <c:manualLayout>
                  <c:x val="-0.143118749941204"/>
                  <c:y val="-0.062896259179723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清淤增效工程（中型水库）</a:t>
                    </a:r>
                    <a:r>
                      <a:rPr lang="en-US" altLang="zh-CN" sz="900"/>
                      <a:t>:2</a:t>
                    </a:r>
                    <a:r>
                      <a:rPr lang="zh-CN" altLang="en-US" sz="900"/>
                      <a:t>件</a:t>
                    </a:r>
                    <a:r>
                      <a:rPr lang="en-US" altLang="zh-CN" sz="900"/>
                      <a:t>, </a:t>
                    </a:r>
                    <a:r>
                      <a:rPr lang="zh-CN" altLang="en-US" sz="900"/>
                      <a:t>投资</a:t>
                    </a:r>
                    <a:r>
                      <a:rPr lang="en-US" altLang="zh-CN" sz="900"/>
                      <a:t>14787.6</a:t>
                    </a:r>
                    <a:r>
                      <a:rPr lang="zh-CN" altLang="en-US" sz="900"/>
                      <a:t>万元</a:t>
                    </a:r>
                    <a:r>
                      <a:rPr lang="en-US" altLang="zh-CN" sz="900"/>
                      <a:t>, </a:t>
                    </a:r>
                    <a:r>
                      <a:rPr lang="zh-CN" altLang="en-US" sz="900"/>
                      <a:t>占比</a:t>
                    </a:r>
                    <a:r>
                      <a:rPr lang="en-US" altLang="zh-CN" sz="900"/>
                      <a:t>14%</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0"/>
              <c:layout>
                <c:manualLayout>
                  <c:x val="-0.0867488875718492"/>
                  <c:y val="-0.05853834937299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清淤增效工程（小（</a:t>
                    </a:r>
                    <a:r>
                      <a:rPr lang="en-US" altLang="zh-CN" sz="900"/>
                      <a:t>1</a:t>
                    </a:r>
                    <a:r>
                      <a:rPr lang="zh-CN" altLang="en-US" sz="900"/>
                      <a:t>）型水库）</a:t>
                    </a:r>
                    <a:r>
                      <a:rPr lang="en-US" altLang="zh-CN" sz="900"/>
                      <a:t>:4</a:t>
                    </a:r>
                    <a:r>
                      <a:rPr lang="zh-CN" altLang="en-US" sz="900"/>
                      <a:t>件</a:t>
                    </a:r>
                    <a:r>
                      <a:rPr lang="en-US" altLang="zh-CN" sz="900"/>
                      <a:t>,</a:t>
                    </a:r>
                    <a:r>
                      <a:rPr lang="zh-CN" altLang="en-US" sz="900"/>
                      <a:t>投资 </a:t>
                    </a:r>
                    <a:r>
                      <a:rPr lang="en-US" altLang="zh-CN" sz="900"/>
                      <a:t>2170.4</a:t>
                    </a:r>
                    <a:r>
                      <a:rPr lang="zh-CN" altLang="en-US" sz="900"/>
                      <a:t>万元</a:t>
                    </a:r>
                    <a:r>
                      <a:rPr lang="en-US" altLang="zh-CN" sz="900"/>
                      <a:t>, </a:t>
                    </a:r>
                    <a:r>
                      <a:rPr lang="zh-CN" altLang="en-US" sz="900"/>
                      <a:t>占比</a:t>
                    </a:r>
                    <a:r>
                      <a:rPr lang="en-US" altLang="zh-CN" sz="900"/>
                      <a:t>2%</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1"/>
              <c:layout>
                <c:manualLayout>
                  <c:x val="0.0852416297425187"/>
                  <c:y val="-0.076544128953577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水库清淤增效工程（小（</a:t>
                    </a:r>
                    <a:r>
                      <a:rPr lang="en-US" altLang="zh-CN" sz="900"/>
                      <a:t>2</a:t>
                    </a:r>
                    <a:r>
                      <a:rPr lang="zh-CN" altLang="en-US" sz="900"/>
                      <a:t>）型水库）</a:t>
                    </a:r>
                    <a:r>
                      <a:rPr lang="en-US" altLang="zh-CN" sz="900"/>
                      <a:t>:16</a:t>
                    </a:r>
                    <a:r>
                      <a:rPr lang="zh-CN" altLang="en-US" sz="900"/>
                      <a:t>件</a:t>
                    </a:r>
                    <a:r>
                      <a:rPr lang="en-US" altLang="zh-CN" sz="900"/>
                      <a:t>,</a:t>
                    </a:r>
                    <a:r>
                      <a:rPr lang="zh-CN" altLang="en-US" sz="900"/>
                      <a:t>投资 </a:t>
                    </a:r>
                    <a:r>
                      <a:rPr lang="en-US" altLang="zh-CN" sz="900"/>
                      <a:t>2456.8</a:t>
                    </a:r>
                    <a:r>
                      <a:rPr lang="zh-CN" altLang="en-US" sz="900"/>
                      <a:t>万元</a:t>
                    </a:r>
                    <a:r>
                      <a:rPr lang="en-US" altLang="zh-CN" sz="900"/>
                      <a:t>,</a:t>
                    </a:r>
                    <a:r>
                      <a:rPr lang="zh-CN" altLang="en-US" sz="900"/>
                      <a:t>占比 </a:t>
                    </a:r>
                    <a:r>
                      <a:rPr lang="en-US" altLang="zh-CN" sz="900"/>
                      <a:t>2%</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2"/>
              <c:layout>
                <c:manualLayout>
                  <c:x val="0.168156426683224"/>
                  <c:y val="0.061979373790397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重点城市防洪排涝提升工程建设（三五大河）</a:t>
                    </a:r>
                    <a:r>
                      <a:rPr lang="en-US" altLang="zh-CN" sz="900"/>
                      <a:t>:1</a:t>
                    </a:r>
                    <a:r>
                      <a:rPr lang="zh-CN" altLang="en-US" sz="900"/>
                      <a:t>件</a:t>
                    </a:r>
                    <a:r>
                      <a:rPr lang="en-US" altLang="zh-CN" sz="900"/>
                      <a:t>,</a:t>
                    </a:r>
                    <a:r>
                      <a:rPr lang="zh-CN" altLang="en-US" sz="900"/>
                      <a:t>投资 </a:t>
                    </a:r>
                    <a:r>
                      <a:rPr lang="en-US" altLang="zh-CN" sz="900"/>
                      <a:t>3000</a:t>
                    </a:r>
                    <a:r>
                      <a:rPr lang="zh-CN" altLang="en-US" sz="900"/>
                      <a:t>万元</a:t>
                    </a:r>
                    <a:r>
                      <a:rPr lang="en-US" altLang="zh-CN" sz="900"/>
                      <a:t>, </a:t>
                    </a:r>
                    <a:r>
                      <a:rPr lang="zh-CN" altLang="en-US" sz="900"/>
                      <a:t>占比</a:t>
                    </a:r>
                    <a:r>
                      <a:rPr lang="en-US" altLang="zh-CN" sz="900"/>
                      <a:t>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第4章!$B$17:$B$29</c:f>
              <c:strCache>
                <c:ptCount val="13"/>
                <c:pt idx="0">
                  <c:v>重要支流治理3000km²以上</c:v>
                </c:pt>
                <c:pt idx="1">
                  <c:v>中小河流治理200~3000km²</c:v>
                </c:pt>
                <c:pt idx="2">
                  <c:v>中小河流治理200km²以下</c:v>
                </c:pt>
                <c:pt idx="3">
                  <c:v>山洪沟治理</c:v>
                </c:pt>
                <c:pt idx="4">
                  <c:v>病险水库除险加固(中型水库）</c:v>
                </c:pt>
                <c:pt idx="5">
                  <c:v>病险水库除险加固（小（1）型水库）</c:v>
                </c:pt>
                <c:pt idx="6">
                  <c:v>病险水库除险加固（小（2）型水库）</c:v>
                </c:pt>
                <c:pt idx="7">
                  <c:v>病险水库除险加固(小坝塘)</c:v>
                </c:pt>
                <c:pt idx="8">
                  <c:v>病险闸除险加固</c:v>
                </c:pt>
                <c:pt idx="9">
                  <c:v>水库清淤增效工程（中型水库）</c:v>
                </c:pt>
                <c:pt idx="10">
                  <c:v>水库清淤增效工程（小（1）型水库）</c:v>
                </c:pt>
                <c:pt idx="11">
                  <c:v>水库清淤增效工程（小（2）型水库）</c:v>
                </c:pt>
                <c:pt idx="12">
                  <c:v>重点城市防洪排涝提升工程建设（三五大河）</c:v>
                </c:pt>
              </c:strCache>
            </c:strRef>
          </c:cat>
          <c:val>
            <c:numRef>
              <c:f>第4章!$D$17:$D$29</c:f>
              <c:numCache>
                <c:formatCode>General</c:formatCode>
                <c:ptCount val="13"/>
                <c:pt idx="0">
                  <c:v>17280</c:v>
                </c:pt>
                <c:pt idx="1">
                  <c:v>17380</c:v>
                </c:pt>
                <c:pt idx="2">
                  <c:v>11200</c:v>
                </c:pt>
                <c:pt idx="3">
                  <c:v>11049</c:v>
                </c:pt>
                <c:pt idx="4">
                  <c:v>9823</c:v>
                </c:pt>
                <c:pt idx="5">
                  <c:v>800</c:v>
                </c:pt>
                <c:pt idx="6">
                  <c:v>3500</c:v>
                </c:pt>
                <c:pt idx="7">
                  <c:v>6900</c:v>
                </c:pt>
                <c:pt idx="8">
                  <c:v>2000</c:v>
                </c:pt>
                <c:pt idx="9">
                  <c:v>14787.6</c:v>
                </c:pt>
                <c:pt idx="10">
                  <c:v>2170.4</c:v>
                </c:pt>
                <c:pt idx="11">
                  <c:v>2456.8</c:v>
                </c:pt>
                <c:pt idx="12">
                  <c:v>3000</c:v>
                </c:pt>
              </c:numCache>
            </c:numRef>
          </c:val>
        </c:ser>
        <c:dLbls>
          <c:showLegendKey val="0"/>
          <c:showVal val="1"/>
          <c:showCatName val="0"/>
          <c:showSerName val="0"/>
          <c:showPercent val="0"/>
          <c:showBubbleSize val="0"/>
          <c:showLeaderLines val="1"/>
        </c:dLbls>
        <c:firstSliceAng val="20"/>
      </c:pieChart>
    </c:plotArea>
    <c:plotVisOnly val="1"/>
    <c:dispBlanksAs val="gap"/>
    <c:showDLblsOverMax val="0"/>
    <c:extLst>
      <c:ext uri="{0b15fc19-7d7d-44ad-8c2d-2c3a37ce22c3}">
        <chartProps xmlns="https://web.wps.cn/et/2018/main" chartId="{cee06400-c7bc-4bbb-a208-bef1d6b8f8c0}"/>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b="1"/>
              <a:t>易门县水源、水系连通工程投资额及其占比图</a:t>
            </a:r>
            <a:endParaRPr lang="zh-CN" altLang="en-US" sz="1400" b="1"/>
          </a:p>
        </c:rich>
      </c:tx>
      <c:layout>
        <c:manualLayout>
          <c:xMode val="edge"/>
          <c:yMode val="edge"/>
          <c:x val="0.153002525627693"/>
          <c:y val="0.0663996564918497"/>
        </c:manualLayout>
      </c:layout>
      <c:overlay val="0"/>
    </c:title>
    <c:autoTitleDeleted val="0"/>
    <c:plotArea>
      <c:layout>
        <c:manualLayout>
          <c:layoutTarget val="inner"/>
          <c:xMode val="edge"/>
          <c:yMode val="edge"/>
          <c:x val="0.292374376621471"/>
          <c:y val="0.308905645751936"/>
          <c:w val="0.3898916319035"/>
          <c:h val="0.525782200677684"/>
        </c:manualLayout>
      </c:layout>
      <c:pieChart>
        <c:varyColors val="1"/>
        <c:ser>
          <c:idx val="0"/>
          <c:order val="0"/>
          <c:explosion val="0"/>
          <c:dPt>
            <c:idx val="0"/>
            <c:bubble3D val="0"/>
            <c:spPr>
              <a:solidFill>
                <a:schemeClr val="accent1">
                  <a:lumMod val="60000"/>
                  <a:lumOff val="40000"/>
                </a:schemeClr>
              </a:solidFill>
            </c:spPr>
          </c:dPt>
          <c:dPt>
            <c:idx val="1"/>
            <c:bubble3D val="0"/>
            <c:spPr>
              <a:solidFill>
                <a:schemeClr val="accent2">
                  <a:lumMod val="40000"/>
                  <a:lumOff val="60000"/>
                </a:schemeClr>
              </a:solidFill>
            </c:spPr>
          </c:dPt>
          <c:dLbls>
            <c:dLbl>
              <c:idx val="0"/>
              <c:layout/>
              <c:tx>
                <c:rich>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r>
                      <a:rPr lang="zh-CN" altLang="en-US" sz="1050" b="1"/>
                      <a:t>重点水源工程建设项目</a:t>
                    </a:r>
                    <a:r>
                      <a:rPr lang="en-US" altLang="zh-CN" sz="1050"/>
                      <a:t>:</a:t>
                    </a:r>
                    <a:endParaRPr lang="en-US" altLang="zh-CN" sz="1050"/>
                  </a:p>
                  <a:p>
                    <a:pPr>
                      <a:defRPr lang="zh-CN" sz="1050" b="0" i="0" u="none" strike="noStrike" kern="1200" baseline="0">
                        <a:solidFill>
                          <a:schemeClr val="tx1"/>
                        </a:solidFill>
                        <a:latin typeface="+mn-lt"/>
                        <a:ea typeface="+mn-ea"/>
                        <a:cs typeface="+mn-cs"/>
                      </a:defRPr>
                    </a:pPr>
                    <a:r>
                      <a:rPr lang="en-US" altLang="zh-CN" sz="1050"/>
                      <a:t>6</a:t>
                    </a:r>
                    <a:r>
                      <a:rPr lang="zh-CN" altLang="en-US" sz="1050"/>
                      <a:t>件，投资 </a:t>
                    </a:r>
                    <a:r>
                      <a:rPr lang="en-US" altLang="zh-CN" sz="1050"/>
                      <a:t>57300</a:t>
                    </a:r>
                    <a:r>
                      <a:rPr lang="zh-CN" altLang="en-US" sz="1050"/>
                      <a:t>万元</a:t>
                    </a:r>
                    <a:r>
                      <a:rPr lang="en-US" altLang="zh-CN" sz="1050"/>
                      <a:t>, </a:t>
                    </a:r>
                    <a:r>
                      <a:rPr lang="zh-CN" altLang="en-US" sz="1050"/>
                      <a:t>占比</a:t>
                    </a:r>
                    <a:r>
                      <a:rPr lang="en-US" altLang="zh-CN" sz="1050"/>
                      <a:t>30%</a:t>
                    </a:r>
                    <a:endParaRPr lang="zh-CN" altLang="en-US" sz="900"/>
                  </a:p>
                </c:rich>
              </c:tx>
              <c:numFmt formatCode="General" sourceLinked="1"/>
              <c:spPr>
                <a:noFill/>
                <a:ln w="0">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outEnd"/>
              <c:showLegendKey val="0"/>
              <c:showVal val="1"/>
              <c:showCatName val="1"/>
              <c:showSerName val="0"/>
              <c:showPercent val="1"/>
              <c:showBubbleSize val="0"/>
              <c:extLst>
                <c:ext xmlns:c15="http://schemas.microsoft.com/office/drawing/2012/chart" uri="{CE6537A1-D6FC-4f65-9D91-7224C49458BB}"/>
              </c:extLst>
            </c:dLbl>
            <c:dLbl>
              <c:idx val="1"/>
              <c:layout>
                <c:manualLayout>
                  <c:x val="0.0212124993809736"/>
                  <c:y val="-0.0225082479215238"/>
                </c:manualLayout>
              </c:layout>
              <c:tx>
                <c:rich>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r>
                      <a:rPr lang="zh-CN" altLang="en-US" sz="1050" b="1"/>
                      <a:t>重点水系连通工程建设项目</a:t>
                    </a:r>
                    <a:r>
                      <a:rPr lang="en-US" altLang="zh-CN" sz="1050"/>
                      <a:t>:2</a:t>
                    </a:r>
                    <a:r>
                      <a:rPr lang="zh-CN" altLang="en-US" sz="1050"/>
                      <a:t>件</a:t>
                    </a:r>
                    <a:r>
                      <a:rPr lang="en-US" altLang="zh-CN" sz="1050"/>
                      <a:t>, </a:t>
                    </a:r>
                    <a:r>
                      <a:rPr lang="zh-CN" altLang="en-US" sz="1050"/>
                      <a:t>投资</a:t>
                    </a:r>
                    <a:r>
                      <a:rPr lang="en-US" altLang="zh-CN" sz="1050"/>
                      <a:t>131720</a:t>
                    </a:r>
                    <a:r>
                      <a:rPr lang="zh-CN" altLang="en-US" sz="1050"/>
                      <a:t>万元</a:t>
                    </a:r>
                    <a:r>
                      <a:rPr lang="en-US" altLang="zh-CN" sz="1050"/>
                      <a:t>, </a:t>
                    </a:r>
                    <a:r>
                      <a:rPr lang="zh-CN" altLang="en-US" sz="1050"/>
                      <a:t>占比</a:t>
                    </a:r>
                    <a:r>
                      <a:rPr lang="en-US" altLang="zh-CN" sz="1050"/>
                      <a:t>70%</a:t>
                    </a:r>
                    <a:endParaRPr lang="zh-CN" altLang="en-US" sz="900"/>
                  </a:p>
                </c:rich>
              </c:tx>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第5章!$G$3:$G$4</c:f>
              <c:strCache>
                <c:ptCount val="2"/>
                <c:pt idx="0">
                  <c:v>重点水源工程建设项目</c:v>
                </c:pt>
                <c:pt idx="1">
                  <c:v>重点水系连通工程建设项目</c:v>
                </c:pt>
              </c:strCache>
            </c:strRef>
          </c:cat>
          <c:val>
            <c:numRef>
              <c:f>第5章!$H$3:$H$4</c:f>
              <c:numCache>
                <c:formatCode>General</c:formatCode>
                <c:ptCount val="2"/>
                <c:pt idx="0">
                  <c:v>57300</c:v>
                </c:pt>
                <c:pt idx="1">
                  <c:v>131720</c:v>
                </c:pt>
              </c:numCache>
            </c:numRef>
          </c:val>
        </c:ser>
        <c:dLbls>
          <c:showLegendKey val="0"/>
          <c:showVal val="1"/>
          <c:showCatName val="0"/>
          <c:showSerName val="0"/>
          <c:showPercent val="0"/>
          <c:showBubbleSize val="0"/>
          <c:showLeaderLines val="1"/>
        </c:dLbls>
        <c:firstSliceAng val="54"/>
      </c:pieChart>
    </c:plotArea>
    <c:plotVisOnly val="1"/>
    <c:dispBlanksAs val="gap"/>
    <c:showDLblsOverMax val="0"/>
    <c:extLst>
      <c:ext uri="{0b15fc19-7d7d-44ad-8c2d-2c3a37ce22c3}">
        <chartProps xmlns="https://web.wps.cn/et/2018/main" chartId="{56d00f28-4cae-40a6-b162-9a7b54b8acc4}"/>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易门县水源工程、水系连通工程投资额及其占比图</a:t>
            </a:r>
            <a:endParaRPr lang="zh-CN" altLang="en-US" sz="1400"/>
          </a:p>
        </c:rich>
      </c:tx>
      <c:layout>
        <c:manualLayout>
          <c:xMode val="edge"/>
          <c:yMode val="edge"/>
          <c:x val="0.0953841636912503"/>
          <c:y val="0.0381923932603892"/>
        </c:manualLayout>
      </c:layout>
      <c:overlay val="0"/>
    </c:title>
    <c:autoTitleDeleted val="0"/>
    <c:plotArea>
      <c:layout>
        <c:manualLayout>
          <c:layoutTarget val="inner"/>
          <c:xMode val="edge"/>
          <c:yMode val="edge"/>
          <c:x val="0.282259118062731"/>
          <c:y val="0.392863155512501"/>
          <c:w val="0.34474254066658"/>
          <c:h val="0.48068202831113"/>
        </c:manualLayout>
      </c:layout>
      <c:pieChart>
        <c:varyColors val="1"/>
        <c:ser>
          <c:idx val="0"/>
          <c:order val="0"/>
          <c:explosion val="0"/>
          <c:dPt>
            <c:idx val="0"/>
            <c:bubble3D val="0"/>
            <c:spPr>
              <a:solidFill>
                <a:schemeClr val="accent1">
                  <a:lumMod val="20000"/>
                  <a:lumOff val="80000"/>
                </a:schemeClr>
              </a:solidFill>
            </c:spPr>
          </c:dPt>
          <c:dPt>
            <c:idx val="1"/>
            <c:bubble3D val="0"/>
            <c:spPr>
              <a:solidFill>
                <a:schemeClr val="accent2">
                  <a:lumMod val="60000"/>
                  <a:lumOff val="40000"/>
                </a:schemeClr>
              </a:solidFill>
            </c:spPr>
          </c:dPt>
          <c:dPt>
            <c:idx val="2"/>
            <c:bubble3D val="0"/>
            <c:spPr>
              <a:solidFill>
                <a:schemeClr val="accent3">
                  <a:lumMod val="60000"/>
                  <a:lumOff val="40000"/>
                </a:schemeClr>
              </a:solidFill>
            </c:spPr>
          </c:dPt>
          <c:dPt>
            <c:idx val="3"/>
            <c:bubble3D val="0"/>
            <c:spPr>
              <a:solidFill>
                <a:schemeClr val="accent4">
                  <a:lumMod val="60000"/>
                  <a:lumOff val="40000"/>
                </a:schemeClr>
              </a:solidFill>
            </c:spPr>
          </c:dPt>
          <c:dPt>
            <c:idx val="4"/>
            <c:bubble3D val="0"/>
            <c:spPr>
              <a:solidFill>
                <a:schemeClr val="accent5">
                  <a:lumMod val="60000"/>
                  <a:lumOff val="40000"/>
                </a:schemeClr>
              </a:solidFill>
            </c:spPr>
          </c:dPt>
          <c:dPt>
            <c:idx val="5"/>
            <c:bubble3D val="0"/>
            <c:spPr>
              <a:solidFill>
                <a:schemeClr val="accent6">
                  <a:lumMod val="60000"/>
                  <a:lumOff val="40000"/>
                </a:schemeClr>
              </a:solidFill>
            </c:spPr>
          </c:dPt>
          <c:dPt>
            <c:idx val="6"/>
            <c:bubble3D val="0"/>
            <c:spPr>
              <a:solidFill>
                <a:schemeClr val="accent1">
                  <a:lumMod val="60000"/>
                  <a:lumOff val="40000"/>
                </a:schemeClr>
              </a:solidFill>
            </c:spPr>
          </c:dPt>
          <c:dPt>
            <c:idx val="7"/>
            <c:bubble3D val="0"/>
            <c:spPr>
              <a:solidFill>
                <a:schemeClr val="accent2">
                  <a:lumMod val="40000"/>
                  <a:lumOff val="60000"/>
                </a:schemeClr>
              </a:solidFill>
            </c:spPr>
          </c:dPt>
          <c:dLbls>
            <c:dLbl>
              <c:idx val="0"/>
              <c:layout>
                <c:manualLayout>
                  <c:x val="-0.117182858729034"/>
                  <c:y val="-0.10829706028937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白龙水库扩建工程</a:t>
                    </a:r>
                    <a:r>
                      <a:rPr lang="en-US" altLang="zh-CN" sz="1000"/>
                      <a:t>:</a:t>
                    </a:r>
                    <a:r>
                      <a:rPr lang="zh-CN" altLang="en-US" sz="1000"/>
                      <a:t>投资</a:t>
                    </a:r>
                    <a:r>
                      <a:rPr lang="en-US" altLang="zh-CN" sz="1000"/>
                      <a:t>11000</a:t>
                    </a:r>
                    <a:r>
                      <a:rPr lang="zh-CN" altLang="en-US" sz="1000"/>
                      <a:t>万元</a:t>
                    </a:r>
                    <a:r>
                      <a:rPr lang="en-US" altLang="zh-CN" sz="1000"/>
                      <a:t>,</a:t>
                    </a:r>
                    <a:r>
                      <a:rPr lang="zh-CN" altLang="en-US" sz="1000"/>
                      <a:t>占比 </a:t>
                    </a:r>
                    <a:r>
                      <a:rPr lang="en-US" altLang="zh-CN" sz="1000"/>
                      <a:t>6%</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250447612407857"/>
                  <c:y val="-0.19151040763971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丰收水库扩建工程</a:t>
                    </a:r>
                    <a:r>
                      <a:rPr lang="en-US" altLang="zh-CN" sz="1000"/>
                      <a:t>:</a:t>
                    </a:r>
                    <a:r>
                      <a:rPr lang="zh-CN" altLang="en-US" sz="1000"/>
                      <a:t>投资</a:t>
                    </a:r>
                    <a:r>
                      <a:rPr lang="en-US" altLang="zh-CN" sz="1000"/>
                      <a:t>21250</a:t>
                    </a:r>
                    <a:r>
                      <a:rPr lang="zh-CN" altLang="en-US" sz="1000"/>
                      <a:t>万元</a:t>
                    </a:r>
                    <a:r>
                      <a:rPr lang="en-US" altLang="zh-CN" sz="1000"/>
                      <a:t>, </a:t>
                    </a:r>
                    <a:r>
                      <a:rPr lang="zh-CN" altLang="en-US" sz="1000"/>
                      <a:t>占比</a:t>
                    </a:r>
                    <a:r>
                      <a:rPr lang="en-US" altLang="zh-CN" sz="1000"/>
                      <a:t>11%</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574650765519453"/>
                  <c:y val="-0.16613162035237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坡拖水库扩建工程</a:t>
                    </a:r>
                    <a:r>
                      <a:rPr lang="en-US" altLang="zh-CN" sz="1000"/>
                      <a:t>:</a:t>
                    </a:r>
                    <a:r>
                      <a:rPr lang="zh-CN" altLang="en-US" sz="1000"/>
                      <a:t>投资 </a:t>
                    </a:r>
                    <a:r>
                      <a:rPr lang="en-US" altLang="zh-CN" sz="1000"/>
                      <a:t>5550</a:t>
                    </a:r>
                    <a:r>
                      <a:rPr lang="zh-CN" altLang="en-US" sz="1000"/>
                      <a:t>万元</a:t>
                    </a:r>
                    <a:r>
                      <a:rPr lang="en-US" altLang="zh-CN" sz="1000"/>
                      <a:t>,</a:t>
                    </a:r>
                    <a:r>
                      <a:rPr lang="zh-CN" altLang="en-US" sz="1000"/>
                      <a:t>占比 </a:t>
                    </a:r>
                    <a:r>
                      <a:rPr lang="en-US" altLang="zh-CN" sz="1000"/>
                      <a:t>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954465920313434"/>
                  <c:y val="-0.075682249109860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新建羊角村水库工程</a:t>
                    </a:r>
                    <a:r>
                      <a:rPr lang="en-US" altLang="zh-CN" sz="1000"/>
                      <a:t>:</a:t>
                    </a:r>
                    <a:r>
                      <a:rPr lang="zh-CN" altLang="en-US" sz="1000"/>
                      <a:t>投资</a:t>
                    </a:r>
                    <a:r>
                      <a:rPr lang="en-US" altLang="zh-CN" sz="1000"/>
                      <a:t>8800</a:t>
                    </a:r>
                    <a:r>
                      <a:rPr lang="zh-CN" altLang="en-US" sz="1000"/>
                      <a:t>万元</a:t>
                    </a:r>
                    <a:r>
                      <a:rPr lang="en-US" altLang="zh-CN" sz="1000"/>
                      <a:t>, </a:t>
                    </a:r>
                    <a:r>
                      <a:rPr lang="zh-CN" altLang="en-US" sz="1000"/>
                      <a:t>占比</a:t>
                    </a:r>
                    <a:r>
                      <a:rPr lang="en-US" altLang="zh-CN" sz="1000"/>
                      <a:t>5%</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114883134786305"/>
                  <c:y val="0.0056713347896169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大兴坝水库扩建工程</a:t>
                    </a:r>
                    <a:r>
                      <a:rPr lang="en-US" altLang="zh-CN" sz="1000"/>
                      <a:t>:</a:t>
                    </a:r>
                    <a:r>
                      <a:rPr lang="zh-CN" altLang="en-US" sz="1000"/>
                      <a:t>投资</a:t>
                    </a:r>
                    <a:r>
                      <a:rPr lang="en-US" altLang="zh-CN" sz="1000"/>
                      <a:t>5300</a:t>
                    </a:r>
                    <a:r>
                      <a:rPr lang="zh-CN" altLang="en-US" sz="1000"/>
                      <a:t>万元</a:t>
                    </a:r>
                    <a:r>
                      <a:rPr lang="en-US" altLang="zh-CN" sz="1000"/>
                      <a:t>, </a:t>
                    </a:r>
                    <a:r>
                      <a:rPr lang="zh-CN" altLang="en-US" sz="1000"/>
                      <a:t>占比</a:t>
                    </a:r>
                    <a:r>
                      <a:rPr lang="en-US" altLang="zh-CN" sz="1000"/>
                      <a:t>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0111062007480654"/>
                  <c:y val="0.1019010799295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螃蟹箐水库扩建工程</a:t>
                    </a:r>
                    <a:r>
                      <a:rPr lang="en-US" altLang="zh-CN" sz="1000"/>
                      <a:t>:</a:t>
                    </a:r>
                    <a:r>
                      <a:rPr lang="zh-CN" altLang="en-US" sz="1000"/>
                      <a:t>投资</a:t>
                    </a:r>
                    <a:r>
                      <a:rPr lang="en-US" altLang="zh-CN" sz="1000"/>
                      <a:t>5400</a:t>
                    </a:r>
                    <a:r>
                      <a:rPr lang="zh-CN" altLang="en-US" sz="1000"/>
                      <a:t>万元</a:t>
                    </a:r>
                    <a:r>
                      <a:rPr lang="en-US" altLang="zh-CN" sz="1000"/>
                      <a:t>,</a:t>
                    </a:r>
                    <a:r>
                      <a:rPr lang="zh-CN" altLang="en-US" sz="1000"/>
                      <a:t>占比 </a:t>
                    </a:r>
                    <a:r>
                      <a:rPr lang="en-US" altLang="zh-CN" sz="1000"/>
                      <a:t>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0236340656827055"/>
                  <c:y val="0.03724563248037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全域现代化水网建设项目</a:t>
                    </a:r>
                    <a:r>
                      <a:rPr lang="en-US" altLang="zh-CN" sz="1000"/>
                      <a:t>:</a:t>
                    </a:r>
                    <a:r>
                      <a:rPr lang="zh-CN" altLang="en-US" sz="1000"/>
                      <a:t>投资 </a:t>
                    </a:r>
                    <a:r>
                      <a:rPr lang="en-US" altLang="zh-CN" sz="1000"/>
                      <a:t>120000</a:t>
                    </a:r>
                    <a:r>
                      <a:rPr lang="zh-CN" altLang="en-US" sz="1000"/>
                      <a:t>万元</a:t>
                    </a:r>
                    <a:r>
                      <a:rPr lang="en-US" altLang="zh-CN" sz="1000"/>
                      <a:t>, </a:t>
                    </a:r>
                    <a:r>
                      <a:rPr lang="zh-CN" altLang="en-US" sz="1000"/>
                      <a:t>占比</a:t>
                    </a:r>
                    <a:r>
                      <a:rPr lang="en-US" altLang="zh-CN" sz="1000"/>
                      <a:t>63%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7"/>
              <c:layout>
                <c:manualLayout>
                  <c:x val="-0.217749683062143"/>
                  <c:y val="-0.048616185224685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b="0"/>
                      <a:t>大谷厂水库连通工程</a:t>
                    </a:r>
                    <a:r>
                      <a:rPr lang="en-US" altLang="zh-CN" sz="1000"/>
                      <a:t>:</a:t>
                    </a:r>
                    <a:r>
                      <a:rPr lang="zh-CN" altLang="en-US" sz="1000"/>
                      <a:t>投资 </a:t>
                    </a:r>
                    <a:r>
                      <a:rPr lang="en-US" altLang="zh-CN" sz="1000"/>
                      <a:t>11720</a:t>
                    </a:r>
                    <a:r>
                      <a:rPr lang="zh-CN" altLang="en-US" sz="1000"/>
                      <a:t>万元</a:t>
                    </a:r>
                    <a:r>
                      <a:rPr lang="en-US" altLang="zh-CN" sz="1000"/>
                      <a:t>,</a:t>
                    </a:r>
                    <a:r>
                      <a:rPr lang="zh-CN" altLang="en-US" sz="1000"/>
                      <a:t>占比 </a:t>
                    </a:r>
                    <a:r>
                      <a:rPr lang="en-US" altLang="zh-CN" sz="1000"/>
                      <a:t>6%</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第5章!$D$3:$D$10</c:f>
              <c:strCache>
                <c:ptCount val="8"/>
                <c:pt idx="0">
                  <c:v>白龙水库扩建工程</c:v>
                </c:pt>
                <c:pt idx="1">
                  <c:v>丰收水库扩建工程</c:v>
                </c:pt>
                <c:pt idx="2">
                  <c:v>坡拖水库扩建工程</c:v>
                </c:pt>
                <c:pt idx="3">
                  <c:v>新建羊角村水库工程</c:v>
                </c:pt>
                <c:pt idx="4">
                  <c:v>大兴坝水库扩建工程</c:v>
                </c:pt>
                <c:pt idx="5">
                  <c:v>螃蟹箐水库扩建工程</c:v>
                </c:pt>
                <c:pt idx="6">
                  <c:v>全域现代化水网建设项目</c:v>
                </c:pt>
                <c:pt idx="7">
                  <c:v>大谷厂水库连通工程</c:v>
                </c:pt>
              </c:strCache>
            </c:strRef>
          </c:cat>
          <c:val>
            <c:numRef>
              <c:f>第5章!$E$3:$E$10</c:f>
              <c:numCache>
                <c:formatCode>General</c:formatCode>
                <c:ptCount val="8"/>
                <c:pt idx="0">
                  <c:v>11000</c:v>
                </c:pt>
                <c:pt idx="1">
                  <c:v>21250</c:v>
                </c:pt>
                <c:pt idx="2">
                  <c:v>5550</c:v>
                </c:pt>
                <c:pt idx="3">
                  <c:v>8800</c:v>
                </c:pt>
                <c:pt idx="4">
                  <c:v>5300</c:v>
                </c:pt>
                <c:pt idx="5">
                  <c:v>5400</c:v>
                </c:pt>
                <c:pt idx="6">
                  <c:v>120000</c:v>
                </c:pt>
                <c:pt idx="7">
                  <c:v>11720</c:v>
                </c:pt>
              </c:numCache>
            </c:numRef>
          </c:val>
        </c:ser>
        <c:dLbls>
          <c:showLegendKey val="0"/>
          <c:showVal val="1"/>
          <c:showCatName val="0"/>
          <c:showSerName val="0"/>
          <c:showPercent val="0"/>
          <c:showBubbleSize val="0"/>
          <c:showLeaderLines val="1"/>
        </c:dLbls>
        <c:firstSliceAng val="15"/>
      </c:pieChart>
    </c:plotArea>
    <c:plotVisOnly val="1"/>
    <c:dispBlanksAs val="gap"/>
    <c:showDLblsOverMax val="0"/>
    <c:extLst>
      <c:ext uri="{0b15fc19-7d7d-44ad-8c2d-2c3a37ce22c3}">
        <chartProps xmlns="https://web.wps.cn/et/2018/main" chartId="{661ad53d-34cb-4137-93b9-07a4e3690c30}"/>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 易门县重点河湖生态治理与修复项目工程投资额及其占比图</a:t>
            </a:r>
            <a:endParaRPr lang="zh-CN" altLang="en-US" sz="1400"/>
          </a:p>
        </c:rich>
      </c:tx>
      <c:layout>
        <c:manualLayout>
          <c:xMode val="edge"/>
          <c:yMode val="edge"/>
          <c:x val="0.0960613156888323"/>
          <c:y val="0.032575816018419"/>
        </c:manualLayout>
      </c:layout>
      <c:overlay val="0"/>
    </c:title>
    <c:autoTitleDeleted val="0"/>
    <c:plotArea>
      <c:layout>
        <c:manualLayout>
          <c:layoutTarget val="inner"/>
          <c:xMode val="edge"/>
          <c:yMode val="edge"/>
          <c:x val="0.345255106584731"/>
          <c:y val="0.461249379314241"/>
          <c:w val="0.34843753672582"/>
          <c:h val="0.497370295056501"/>
        </c:manualLayout>
      </c:layout>
      <c:pieChart>
        <c:varyColors val="1"/>
        <c:ser>
          <c:idx val="0"/>
          <c:order val="0"/>
          <c:explosion val="0"/>
          <c:dPt>
            <c:idx val="0"/>
            <c:bubble3D val="0"/>
            <c:spPr>
              <a:solidFill>
                <a:schemeClr val="accent1">
                  <a:lumMod val="60000"/>
                  <a:lumOff val="40000"/>
                </a:schemeClr>
              </a:solidFill>
            </c:spPr>
          </c:dPt>
          <c:dPt>
            <c:idx val="1"/>
            <c:bubble3D val="0"/>
            <c:spPr>
              <a:solidFill>
                <a:schemeClr val="accent2">
                  <a:lumMod val="60000"/>
                  <a:lumOff val="40000"/>
                </a:schemeClr>
              </a:solidFill>
            </c:spPr>
          </c:dPt>
          <c:dPt>
            <c:idx val="2"/>
            <c:bubble3D val="0"/>
            <c:spPr>
              <a:solidFill>
                <a:schemeClr val="accent3">
                  <a:lumMod val="60000"/>
                  <a:lumOff val="40000"/>
                </a:schemeClr>
              </a:solidFill>
            </c:spPr>
          </c:dPt>
          <c:dPt>
            <c:idx val="3"/>
            <c:bubble3D val="0"/>
            <c:spPr>
              <a:solidFill>
                <a:schemeClr val="accent6">
                  <a:lumMod val="40000"/>
                  <a:lumOff val="60000"/>
                </a:schemeClr>
              </a:solidFill>
            </c:spPr>
          </c:dPt>
          <c:dLbls>
            <c:dLbl>
              <c:idx val="0"/>
              <c:layout>
                <c:manualLayout>
                  <c:x val="-0.0497208208255405"/>
                  <c:y val="0.067601235612857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绿汁江（易门段）生态廊道保护修复综合治理工程</a:t>
                    </a:r>
                    <a:r>
                      <a:rPr lang="en-US" altLang="zh-CN" sz="1000"/>
                      <a:t>:</a:t>
                    </a:r>
                    <a:r>
                      <a:rPr lang="zh-CN" altLang="en-US" sz="1000"/>
                      <a:t>投资</a:t>
                    </a:r>
                    <a:r>
                      <a:rPr lang="en-US" altLang="zh-CN" sz="1000"/>
                      <a:t>6000</a:t>
                    </a:r>
                    <a:r>
                      <a:rPr lang="zh-CN" altLang="en-US" sz="1000"/>
                      <a:t>万元</a:t>
                    </a:r>
                    <a:r>
                      <a:rPr lang="en-US" altLang="zh-CN" sz="1000"/>
                      <a:t>, </a:t>
                    </a:r>
                    <a:r>
                      <a:rPr lang="zh-CN" altLang="en-US" sz="1000"/>
                      <a:t>占比</a:t>
                    </a:r>
                    <a:r>
                      <a:rPr lang="en-US" altLang="zh-CN" sz="1000"/>
                      <a:t>7%</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43928730465578"/>
                  <c:y val="-0.011188370114510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扒河生态廊道保护修复综合治理工程</a:t>
                    </a:r>
                    <a:r>
                      <a:rPr lang="en-US" altLang="zh-CN" sz="1000"/>
                      <a:t>:</a:t>
                    </a:r>
                    <a:r>
                      <a:rPr lang="zh-CN" altLang="en-US" sz="1000"/>
                      <a:t>投资 </a:t>
                    </a:r>
                    <a:r>
                      <a:rPr lang="en-US" altLang="zh-CN" sz="1000"/>
                      <a:t>13000</a:t>
                    </a:r>
                    <a:r>
                      <a:rPr lang="zh-CN" altLang="en-US" sz="1000"/>
                      <a:t>万元</a:t>
                    </a:r>
                    <a:r>
                      <a:rPr lang="en-US" altLang="zh-CN" sz="1000"/>
                      <a:t>, </a:t>
                    </a:r>
                    <a:r>
                      <a:rPr lang="zh-CN" altLang="en-US" sz="1000"/>
                      <a:t>占比</a:t>
                    </a:r>
                    <a:r>
                      <a:rPr lang="en-US" altLang="zh-CN" sz="1000"/>
                      <a:t>16%</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985022081820611"/>
                  <c:y val="-0.013553223600075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易门县苗茂水库库尾生态治理工程</a:t>
                    </a:r>
                    <a:r>
                      <a:rPr lang="en-US" altLang="zh-CN" sz="1000"/>
                      <a:t>:</a:t>
                    </a:r>
                    <a:r>
                      <a:rPr lang="zh-CN" altLang="en-US" sz="1000"/>
                      <a:t>投资 </a:t>
                    </a:r>
                    <a:r>
                      <a:rPr lang="en-US" altLang="zh-CN" sz="1000"/>
                      <a:t>2410</a:t>
                    </a:r>
                    <a:r>
                      <a:rPr lang="zh-CN" altLang="en-US" sz="1000"/>
                      <a:t>万元</a:t>
                    </a:r>
                    <a:r>
                      <a:rPr lang="en-US" altLang="zh-CN" sz="1000"/>
                      <a:t>, </a:t>
                    </a:r>
                    <a:r>
                      <a:rPr lang="zh-CN" altLang="en-US" sz="1000"/>
                      <a:t>占比</a:t>
                    </a:r>
                    <a:r>
                      <a:rPr lang="en-US" altLang="zh-CN" sz="1000"/>
                      <a:t>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187846878421634"/>
                  <c:y val="-0.16218885579772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岔河</a:t>
                    </a:r>
                    <a:r>
                      <a:rPr lang="zh-CN" altLang="en-US" sz="1000" i="0"/>
                      <a:t>水库生态治理</a:t>
                    </a:r>
                    <a:r>
                      <a:rPr lang="zh-CN" altLang="en-US" sz="1000"/>
                      <a:t>与修复工程</a:t>
                    </a:r>
                    <a:r>
                      <a:rPr lang="en-US" altLang="zh-CN" sz="1000"/>
                      <a:t>:</a:t>
                    </a:r>
                    <a:r>
                      <a:rPr lang="zh-CN" altLang="en-US" sz="1000"/>
                      <a:t>投资</a:t>
                    </a:r>
                    <a:r>
                      <a:rPr lang="en-US" altLang="zh-CN" sz="1000"/>
                      <a:t>60000</a:t>
                    </a:r>
                    <a:r>
                      <a:rPr lang="zh-CN" altLang="en-US" sz="1000"/>
                      <a:t>万元</a:t>
                    </a:r>
                    <a:r>
                      <a:rPr lang="en-US" altLang="zh-CN" sz="1000"/>
                      <a:t>,</a:t>
                    </a:r>
                    <a:r>
                      <a:rPr lang="zh-CN" altLang="en-US" sz="1000"/>
                      <a:t>占比 </a:t>
                    </a:r>
                    <a:r>
                      <a:rPr lang="en-US" altLang="zh-CN" sz="1000"/>
                      <a:t>74%</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第6章!$B$2:$B$5</c:f>
              <c:strCache>
                <c:ptCount val="4"/>
                <c:pt idx="0">
                  <c:v>绿汁江（易门段）生态廊道保护修复综合治理工程</c:v>
                </c:pt>
                <c:pt idx="1">
                  <c:v>扒河生态廊道保护修复综合治理工程</c:v>
                </c:pt>
                <c:pt idx="2">
                  <c:v>易门县苗茂水库库尾生态治理工程</c:v>
                </c:pt>
                <c:pt idx="3">
                  <c:v>岔河水库生态治理与修复工程</c:v>
                </c:pt>
              </c:strCache>
            </c:strRef>
          </c:cat>
          <c:val>
            <c:numRef>
              <c:f>第6章!$C$2:$C$5</c:f>
              <c:numCache>
                <c:formatCode>General</c:formatCode>
                <c:ptCount val="4"/>
                <c:pt idx="0">
                  <c:v>6000</c:v>
                </c:pt>
                <c:pt idx="1">
                  <c:v>13000</c:v>
                </c:pt>
                <c:pt idx="2">
                  <c:v>2410</c:v>
                </c:pt>
                <c:pt idx="3">
                  <c:v>60000</c:v>
                </c:pt>
              </c:numCache>
            </c:numRef>
          </c:val>
        </c:ser>
        <c:dLbls>
          <c:showLegendKey val="0"/>
          <c:showVal val="1"/>
          <c:showCatName val="0"/>
          <c:showSerName val="0"/>
          <c:showPercent val="0"/>
          <c:showBubbleSize val="0"/>
          <c:showLeaderLines val="1"/>
        </c:dLbls>
        <c:firstSliceAng val="255"/>
      </c:pieChart>
    </c:plotArea>
    <c:plotVisOnly val="1"/>
    <c:dispBlanksAs val="gap"/>
    <c:showDLblsOverMax val="0"/>
    <c:extLst>
      <c:ext uri="{0b15fc19-7d7d-44ad-8c2d-2c3a37ce22c3}">
        <chartProps xmlns="https://web.wps.cn/et/2018/main" chartId="{e7b8aef6-85bc-4a00-bd56-678360e1aa29}"/>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易门县小流域坡耕地水土流失综合治理工程投资额及其占比图</a:t>
            </a:r>
            <a:endParaRPr lang="zh-CN" altLang="en-US" sz="1400"/>
          </a:p>
        </c:rich>
      </c:tx>
      <c:layout>
        <c:manualLayout>
          <c:xMode val="edge"/>
          <c:yMode val="edge"/>
          <c:x val="0.103013768848514"/>
          <c:y val="0.0275981063787482"/>
        </c:manualLayout>
      </c:layout>
      <c:overlay val="0"/>
    </c:title>
    <c:autoTitleDeleted val="0"/>
    <c:plotArea>
      <c:layout>
        <c:manualLayout>
          <c:layoutTarget val="inner"/>
          <c:xMode val="edge"/>
          <c:yMode val="edge"/>
          <c:x val="0.31777820598617"/>
          <c:y val="0.327988230601678"/>
          <c:w val="0.339383652992743"/>
          <c:h val="0.485586508654831"/>
        </c:manualLayout>
      </c:layout>
      <c:pieChart>
        <c:varyColors val="1"/>
        <c:ser>
          <c:idx val="0"/>
          <c:order val="0"/>
          <c:tx>
            <c:strRef>
              <c:f>第6章!$H$1</c:f>
              <c:strCache>
                <c:ptCount val="1"/>
                <c:pt idx="0">
                  <c:v>投资（万元）</c:v>
                </c:pt>
              </c:strCache>
            </c:strRef>
          </c:tx>
          <c:explosion val="0"/>
          <c:dPt>
            <c:idx val="0"/>
            <c:bubble3D val="0"/>
            <c:spPr>
              <a:solidFill>
                <a:schemeClr val="accent1">
                  <a:lumMod val="60000"/>
                  <a:lumOff val="40000"/>
                </a:schemeClr>
              </a:solidFill>
            </c:spPr>
          </c:dPt>
          <c:dPt>
            <c:idx val="1"/>
            <c:bubble3D val="0"/>
            <c:spPr>
              <a:solidFill>
                <a:schemeClr val="accent2">
                  <a:lumMod val="60000"/>
                  <a:lumOff val="40000"/>
                </a:schemeClr>
              </a:solidFill>
            </c:spPr>
          </c:dPt>
          <c:dPt>
            <c:idx val="2"/>
            <c:bubble3D val="0"/>
            <c:spPr>
              <a:solidFill>
                <a:schemeClr val="accent3">
                  <a:lumMod val="60000"/>
                  <a:lumOff val="40000"/>
                </a:schemeClr>
              </a:solidFill>
            </c:spPr>
          </c:dPt>
          <c:dPt>
            <c:idx val="3"/>
            <c:bubble3D val="0"/>
            <c:spPr>
              <a:solidFill>
                <a:schemeClr val="accent4">
                  <a:lumMod val="60000"/>
                  <a:lumOff val="40000"/>
                </a:schemeClr>
              </a:solidFill>
            </c:spPr>
          </c:dPt>
          <c:dPt>
            <c:idx val="4"/>
            <c:bubble3D val="0"/>
            <c:spPr>
              <a:solidFill>
                <a:schemeClr val="accent5">
                  <a:lumMod val="60000"/>
                  <a:lumOff val="40000"/>
                </a:schemeClr>
              </a:solidFill>
            </c:spPr>
          </c:dPt>
          <c:dPt>
            <c:idx val="5"/>
            <c:bubble3D val="0"/>
            <c:spPr>
              <a:solidFill>
                <a:schemeClr val="accent6">
                  <a:lumMod val="60000"/>
                  <a:lumOff val="40000"/>
                </a:schemeClr>
              </a:solidFill>
            </c:spPr>
          </c:dPt>
          <c:dPt>
            <c:idx val="6"/>
            <c:bubble3D val="0"/>
            <c:spPr>
              <a:solidFill>
                <a:schemeClr val="tx2">
                  <a:lumMod val="60000"/>
                  <a:lumOff val="40000"/>
                </a:schemeClr>
              </a:solidFill>
            </c:spPr>
          </c:dPt>
          <c:dPt>
            <c:idx val="7"/>
            <c:bubble3D val="0"/>
            <c:spPr>
              <a:solidFill>
                <a:schemeClr val="accent2">
                  <a:lumMod val="60000"/>
                  <a:lumOff val="40000"/>
                </a:schemeClr>
              </a:solidFill>
            </c:spPr>
          </c:dPt>
          <c:dPt>
            <c:idx val="8"/>
            <c:bubble3D val="0"/>
            <c:spPr>
              <a:solidFill>
                <a:schemeClr val="accent3">
                  <a:lumMod val="60000"/>
                  <a:lumOff val="40000"/>
                </a:schemeClr>
              </a:solidFill>
            </c:spPr>
          </c:dPt>
          <c:dPt>
            <c:idx val="9"/>
            <c:bubble3D val="0"/>
            <c:spPr>
              <a:solidFill>
                <a:schemeClr val="accent4">
                  <a:lumMod val="60000"/>
                  <a:lumOff val="40000"/>
                </a:schemeClr>
              </a:solidFill>
            </c:spPr>
          </c:dPt>
          <c:dPt>
            <c:idx val="10"/>
            <c:bubble3D val="0"/>
            <c:spPr>
              <a:solidFill>
                <a:schemeClr val="accent5">
                  <a:lumMod val="60000"/>
                  <a:lumOff val="40000"/>
                </a:schemeClr>
              </a:solidFill>
            </c:spPr>
          </c:dPt>
          <c:dPt>
            <c:idx val="11"/>
            <c:bubble3D val="0"/>
            <c:spPr>
              <a:solidFill>
                <a:schemeClr val="accent6">
                  <a:lumMod val="20000"/>
                  <a:lumOff val="80000"/>
                </a:schemeClr>
              </a:solidFill>
            </c:spPr>
          </c:dPt>
          <c:dPt>
            <c:idx val="12"/>
            <c:bubble3D val="0"/>
          </c:dPt>
          <c:dLbls>
            <c:dLbl>
              <c:idx val="0"/>
              <c:layout>
                <c:manualLayout>
                  <c:x val="0.032184519407852"/>
                  <c:y val="-0.05004631847630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罗尹河</a:t>
                    </a:r>
                    <a:r>
                      <a:rPr lang="en-US" altLang="zh-CN" sz="1000"/>
                      <a:t>:</a:t>
                    </a:r>
                    <a:r>
                      <a:rPr lang="zh-CN" altLang="en-US" sz="1000"/>
                      <a:t>投资 </a:t>
                    </a:r>
                    <a:r>
                      <a:rPr lang="en-US" altLang="zh-CN" sz="1000"/>
                      <a:t>1250</a:t>
                    </a:r>
                    <a:r>
                      <a:rPr lang="zh-CN" altLang="en-US" sz="1000"/>
                      <a:t>万元</a:t>
                    </a:r>
                    <a:r>
                      <a:rPr lang="en-US" altLang="zh-CN" sz="1000"/>
                      <a:t>, </a:t>
                    </a:r>
                    <a:r>
                      <a:rPr lang="zh-CN" altLang="en-US" sz="1000"/>
                      <a:t>占比</a:t>
                    </a:r>
                    <a:r>
                      <a:rPr lang="en-US" altLang="zh-CN" sz="1000"/>
                      <a:t>8.33%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504551657485191"/>
                  <c:y val="0.0055949936287246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龙泉</a:t>
                    </a:r>
                    <a:r>
                      <a:rPr lang="en-US" altLang="zh-CN" sz="1000"/>
                      <a:t>:</a:t>
                    </a:r>
                    <a:r>
                      <a:rPr lang="zh-CN" altLang="en-US" sz="1000"/>
                      <a:t>投资</a:t>
                    </a:r>
                    <a:r>
                      <a:rPr lang="en-US" altLang="zh-CN" sz="1000"/>
                      <a:t>1250</a:t>
                    </a:r>
                    <a:r>
                      <a:rPr lang="zh-CN" altLang="en-US" sz="1000"/>
                      <a:t>万元</a:t>
                    </a:r>
                    <a:r>
                      <a:rPr lang="en-US" altLang="zh-CN" sz="1000"/>
                      <a:t>,</a:t>
                    </a:r>
                    <a:r>
                      <a:rPr lang="zh-CN" altLang="en-US" sz="1000"/>
                      <a:t>占比 </a:t>
                    </a:r>
                    <a:r>
                      <a:rPr lang="en-US" altLang="zh-CN" sz="1000"/>
                      <a:t>8.33%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147576092179226"/>
                  <c:y val="-0.0020522762648621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金田</a:t>
                    </a:r>
                    <a:r>
                      <a:rPr lang="en-US" altLang="zh-CN" sz="1000"/>
                      <a:t>:</a:t>
                    </a:r>
                    <a:r>
                      <a:rPr lang="zh-CN" altLang="en-US" sz="1000"/>
                      <a:t>投资</a:t>
                    </a:r>
                    <a:r>
                      <a:rPr lang="en-US" altLang="zh-CN" sz="1000"/>
                      <a:t>1250</a:t>
                    </a:r>
                    <a:r>
                      <a:rPr lang="zh-CN" altLang="en-US" sz="1000"/>
                      <a:t>万元</a:t>
                    </a:r>
                    <a:r>
                      <a:rPr lang="en-US" altLang="zh-CN" sz="1000"/>
                      <a:t>, </a:t>
                    </a:r>
                    <a:r>
                      <a:rPr lang="zh-CN" altLang="en-US" sz="1000"/>
                      <a:t>占比</a:t>
                    </a:r>
                    <a:r>
                      <a:rPr lang="en-US" altLang="zh-CN" sz="1000"/>
                      <a:t>8.33%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199199831581997"/>
                  <c:y val="-0.013406018221251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普厂</a:t>
                    </a:r>
                    <a:r>
                      <a:rPr lang="en-US" altLang="zh-CN" sz="1000"/>
                      <a:t>:</a:t>
                    </a:r>
                    <a:r>
                      <a:rPr lang="zh-CN" altLang="en-US" sz="1000"/>
                      <a:t>投资 </a:t>
                    </a:r>
                    <a:r>
                      <a:rPr lang="en-US" altLang="zh-CN" sz="1000"/>
                      <a:t>1250</a:t>
                    </a:r>
                    <a:r>
                      <a:rPr lang="zh-CN" altLang="en-US" sz="1000"/>
                      <a:t>万元</a:t>
                    </a:r>
                    <a:r>
                      <a:rPr lang="en-US" altLang="zh-CN" sz="1000"/>
                      <a:t>, </a:t>
                    </a:r>
                    <a:r>
                      <a:rPr lang="zh-CN" altLang="en-US" sz="1000"/>
                      <a:t>占比</a:t>
                    </a:r>
                    <a:r>
                      <a:rPr lang="en-US" altLang="zh-CN" sz="1000"/>
                      <a:t>8.33%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0387766539139901"/>
                  <c:y val="-0.0060626512059701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白邑</a:t>
                    </a:r>
                    <a:r>
                      <a:rPr lang="en-US" altLang="zh-CN" sz="1000"/>
                      <a:t>:</a:t>
                    </a:r>
                    <a:r>
                      <a:rPr lang="zh-CN" altLang="en-US" sz="1000"/>
                      <a:t>投资 </a:t>
                    </a:r>
                    <a:r>
                      <a:rPr lang="en-US" altLang="zh-CN" sz="1000"/>
                      <a:t>1250</a:t>
                    </a:r>
                    <a:r>
                      <a:rPr lang="zh-CN" altLang="en-US" sz="1000"/>
                      <a:t>万元</a:t>
                    </a:r>
                    <a:r>
                      <a:rPr lang="en-US" altLang="zh-CN" sz="1000"/>
                      <a:t>, </a:t>
                    </a:r>
                    <a:r>
                      <a:rPr lang="zh-CN" altLang="en-US" sz="1000"/>
                      <a:t>占比</a:t>
                    </a:r>
                    <a:r>
                      <a:rPr lang="en-US" altLang="zh-CN" sz="1000"/>
                      <a:t>8.33%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0180760364849583"/>
                  <c:y val="0.04470304489313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米茂</a:t>
                    </a:r>
                    <a:r>
                      <a:rPr lang="en-US" altLang="zh-CN" sz="1000"/>
                      <a:t>:</a:t>
                    </a:r>
                    <a:r>
                      <a:rPr lang="zh-CN" altLang="en-US" sz="1000"/>
                      <a:t>投资</a:t>
                    </a:r>
                    <a:r>
                      <a:rPr lang="en-US" altLang="zh-CN" sz="1000"/>
                      <a:t>1250</a:t>
                    </a:r>
                    <a:r>
                      <a:rPr lang="zh-CN" altLang="en-US" sz="1000"/>
                      <a:t>万元</a:t>
                    </a:r>
                    <a:r>
                      <a:rPr lang="en-US" altLang="zh-CN" sz="1000"/>
                      <a:t>,</a:t>
                    </a:r>
                    <a:r>
                      <a:rPr lang="zh-CN" altLang="en-US" sz="1000"/>
                      <a:t>占比 </a:t>
                    </a:r>
                    <a:r>
                      <a:rPr lang="en-US" altLang="zh-CN" sz="1000"/>
                      <a:t>8.33%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0161302122838692"/>
                  <c:y val="0.052592592224459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浦贝河</a:t>
                    </a:r>
                    <a:r>
                      <a:rPr lang="en-US" altLang="zh-CN" sz="1000"/>
                      <a:t>:</a:t>
                    </a:r>
                    <a:r>
                      <a:rPr lang="zh-CN" altLang="en-US" sz="1000"/>
                      <a:t>投资 </a:t>
                    </a:r>
                    <a:r>
                      <a:rPr lang="en-US" altLang="zh-CN" sz="1000"/>
                      <a:t>1250</a:t>
                    </a:r>
                    <a:r>
                      <a:rPr lang="zh-CN" altLang="en-US" sz="1000"/>
                      <a:t>万元</a:t>
                    </a:r>
                    <a:r>
                      <a:rPr lang="en-US" altLang="zh-CN" sz="1000"/>
                      <a:t>, </a:t>
                    </a:r>
                    <a:r>
                      <a:rPr lang="zh-CN" altLang="en-US" sz="1000"/>
                      <a:t>占比</a:t>
                    </a:r>
                    <a:r>
                      <a:rPr lang="en-US" altLang="zh-CN" sz="1000"/>
                      <a:t>8.33%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7"/>
              <c:layout>
                <c:manualLayout>
                  <c:x val="-0.0172710759821625"/>
                  <c:y val="0.00024898665908607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占马田</a:t>
                    </a:r>
                    <a:r>
                      <a:rPr lang="en-US" altLang="zh-CN" sz="1000"/>
                      <a:t>:</a:t>
                    </a:r>
                    <a:r>
                      <a:rPr lang="zh-CN" altLang="en-US" sz="1000"/>
                      <a:t>投资</a:t>
                    </a:r>
                    <a:r>
                      <a:rPr lang="en-US" altLang="zh-CN" sz="1000"/>
                      <a:t>1250</a:t>
                    </a:r>
                    <a:r>
                      <a:rPr lang="zh-CN" altLang="en-US" sz="1000"/>
                      <a:t>万元</a:t>
                    </a:r>
                    <a:r>
                      <a:rPr lang="en-US" altLang="zh-CN" sz="1000"/>
                      <a:t>, </a:t>
                    </a:r>
                    <a:r>
                      <a:rPr lang="zh-CN" altLang="en-US" sz="1000"/>
                      <a:t>占比</a:t>
                    </a:r>
                    <a:r>
                      <a:rPr lang="en-US" altLang="zh-CN" sz="1000"/>
                      <a:t>8.33%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8"/>
              <c:layout>
                <c:manualLayout>
                  <c:x val="-0.0233851908850158"/>
                  <c:y val="0.0047404376201447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绿汁</a:t>
                    </a:r>
                    <a:r>
                      <a:rPr lang="en-US" altLang="zh-CN" sz="1000"/>
                      <a:t>:</a:t>
                    </a:r>
                    <a:r>
                      <a:rPr lang="zh-CN" altLang="en-US" sz="1000"/>
                      <a:t>投资</a:t>
                    </a:r>
                    <a:r>
                      <a:rPr lang="en-US" altLang="zh-CN" sz="1000"/>
                      <a:t>1250</a:t>
                    </a:r>
                    <a:r>
                      <a:rPr lang="zh-CN" altLang="en-US" sz="1000"/>
                      <a:t>万元</a:t>
                    </a:r>
                    <a:r>
                      <a:rPr lang="en-US" altLang="zh-CN" sz="1000"/>
                      <a:t>, </a:t>
                    </a:r>
                    <a:r>
                      <a:rPr lang="zh-CN" altLang="en-US" sz="1000"/>
                      <a:t>占比</a:t>
                    </a:r>
                    <a:r>
                      <a:rPr lang="en-US" altLang="zh-CN" sz="1000"/>
                      <a:t>8.33%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9"/>
              <c:layout>
                <c:manualLayout>
                  <c:x val="-0.0233851908850158"/>
                  <c:y val="0.0042596100898737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浦贝</a:t>
                    </a:r>
                    <a:r>
                      <a:rPr lang="en-US" altLang="zh-CN" sz="1000"/>
                      <a:t>:</a:t>
                    </a:r>
                    <a:r>
                      <a:rPr lang="zh-CN" altLang="en-US" sz="1000"/>
                      <a:t>投资</a:t>
                    </a:r>
                    <a:r>
                      <a:rPr lang="en-US" altLang="zh-CN" sz="1000"/>
                      <a:t>1250</a:t>
                    </a:r>
                    <a:r>
                      <a:rPr lang="zh-CN" altLang="en-US" sz="1000"/>
                      <a:t>万元</a:t>
                    </a:r>
                    <a:r>
                      <a:rPr lang="en-US" altLang="zh-CN" sz="1000"/>
                      <a:t>,</a:t>
                    </a:r>
                    <a:r>
                      <a:rPr lang="zh-CN" altLang="en-US" sz="1000"/>
                      <a:t>占比 </a:t>
                    </a:r>
                    <a:r>
                      <a:rPr lang="en-US" altLang="zh-CN" sz="1000"/>
                      <a:t>8.33%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0"/>
              <c:layout>
                <c:manualLayout>
                  <c:x val="-0.0361444824539279"/>
                  <c:y val="0.0055949936287246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六街</a:t>
                    </a:r>
                    <a:r>
                      <a:rPr lang="en-US" altLang="zh-CN" sz="1000"/>
                      <a:t>:</a:t>
                    </a:r>
                    <a:r>
                      <a:rPr lang="zh-CN" altLang="en-US" sz="1000"/>
                      <a:t>投资</a:t>
                    </a:r>
                    <a:r>
                      <a:rPr lang="en-US" altLang="zh-CN" sz="1000"/>
                      <a:t>1250</a:t>
                    </a:r>
                    <a:r>
                      <a:rPr lang="zh-CN" altLang="en-US" sz="1000"/>
                      <a:t>万元</a:t>
                    </a:r>
                    <a:r>
                      <a:rPr lang="en-US" altLang="zh-CN" sz="1000"/>
                      <a:t>, </a:t>
                    </a:r>
                    <a:r>
                      <a:rPr lang="zh-CN" altLang="en-US" sz="1000"/>
                      <a:t>占比</a:t>
                    </a:r>
                    <a:r>
                      <a:rPr lang="en-US" altLang="zh-CN" sz="1000"/>
                      <a:t>8.33%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1"/>
              <c:layout>
                <c:manualLayout>
                  <c:x val="0.0436830537066502"/>
                  <c:y val="-0.04359279300412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a:t>小街</a:t>
                    </a:r>
                    <a:r>
                      <a:rPr lang="en-US" altLang="zh-CN" sz="1000"/>
                      <a:t>:</a:t>
                    </a:r>
                    <a:r>
                      <a:rPr lang="zh-CN" altLang="en-US" sz="1000"/>
                      <a:t>投资 </a:t>
                    </a:r>
                    <a:r>
                      <a:rPr lang="en-US" altLang="zh-CN" sz="1000"/>
                      <a:t>1250</a:t>
                    </a:r>
                    <a:r>
                      <a:rPr lang="zh-CN" altLang="en-US" sz="1000"/>
                      <a:t>万元</a:t>
                    </a:r>
                    <a:r>
                      <a:rPr lang="en-US" altLang="zh-CN" sz="1000"/>
                      <a:t>,</a:t>
                    </a:r>
                    <a:r>
                      <a:rPr lang="zh-CN" altLang="en-US" sz="1000"/>
                      <a:t>占比 </a:t>
                    </a:r>
                    <a:r>
                      <a:rPr lang="en-US" altLang="zh-CN" sz="1000"/>
                      <a:t>8.33%</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第6章!$G$2:$G$14</c:f>
              <c:strCache>
                <c:ptCount val="13"/>
                <c:pt idx="0">
                  <c:v>罗尹河</c:v>
                </c:pt>
                <c:pt idx="1">
                  <c:v>龙泉</c:v>
                </c:pt>
                <c:pt idx="2">
                  <c:v>金田</c:v>
                </c:pt>
                <c:pt idx="3">
                  <c:v>普厂</c:v>
                </c:pt>
                <c:pt idx="4">
                  <c:v>白邑</c:v>
                </c:pt>
                <c:pt idx="5">
                  <c:v>米茂</c:v>
                </c:pt>
                <c:pt idx="6">
                  <c:v>浦贝河</c:v>
                </c:pt>
                <c:pt idx="7">
                  <c:v>占马田</c:v>
                </c:pt>
                <c:pt idx="8">
                  <c:v>绿汁</c:v>
                </c:pt>
                <c:pt idx="9">
                  <c:v>浦贝</c:v>
                </c:pt>
                <c:pt idx="10">
                  <c:v>六街</c:v>
                </c:pt>
                <c:pt idx="11">
                  <c:v>小街</c:v>
                </c:pt>
                <c:pt idx="12">
                  <c:v>小流域坡耕地水土流失综合治理工程</c:v>
                </c:pt>
              </c:strCache>
            </c:strRef>
          </c:cat>
          <c:val>
            <c:numRef>
              <c:f>第6章!$H$2:$H$14</c:f>
              <c:numCache>
                <c:formatCode>General</c:formatCode>
                <c:ptCount val="13"/>
                <c:pt idx="0">
                  <c:v>1250</c:v>
                </c:pt>
                <c:pt idx="1">
                  <c:v>1250</c:v>
                </c:pt>
                <c:pt idx="2">
                  <c:v>1250</c:v>
                </c:pt>
                <c:pt idx="3">
                  <c:v>1250</c:v>
                </c:pt>
                <c:pt idx="4">
                  <c:v>1250</c:v>
                </c:pt>
                <c:pt idx="5">
                  <c:v>1250</c:v>
                </c:pt>
                <c:pt idx="6">
                  <c:v>1250</c:v>
                </c:pt>
                <c:pt idx="7">
                  <c:v>1250</c:v>
                </c:pt>
                <c:pt idx="8">
                  <c:v>1250</c:v>
                </c:pt>
                <c:pt idx="9">
                  <c:v>1250</c:v>
                </c:pt>
                <c:pt idx="10">
                  <c:v>1250</c:v>
                </c:pt>
                <c:pt idx="11">
                  <c:v>1250</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extLst>
      <c:ext uri="{0b15fc19-7d7d-44ad-8c2d-2c3a37ce22c3}">
        <chartProps xmlns="https://web.wps.cn/et/2018/main" chartId="{72471cba-cf4f-44c5-9646-a0ec2dd3aef8}"/>
      </c:ext>
    </c:extLst>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易门县水系连通及农村水系综合整治工程投资额及其占比图</a:t>
            </a:r>
            <a:endParaRPr lang="zh-CN" altLang="en-US" sz="1400"/>
          </a:p>
        </c:rich>
      </c:tx>
      <c:layout>
        <c:manualLayout>
          <c:xMode val="edge"/>
          <c:yMode val="edge"/>
          <c:x val="0.127734806629834"/>
          <c:y val="0.0285429637610504"/>
        </c:manualLayout>
      </c:layout>
      <c:overlay val="0"/>
    </c:title>
    <c:autoTitleDeleted val="0"/>
    <c:plotArea>
      <c:layout>
        <c:manualLayout>
          <c:layoutTarget val="inner"/>
          <c:xMode val="edge"/>
          <c:yMode val="edge"/>
          <c:x val="0.347270999111382"/>
          <c:y val="0.39997807883729"/>
          <c:w val="0.350193368686057"/>
          <c:h val="0.45102568553805"/>
        </c:manualLayout>
      </c:layout>
      <c:pieChart>
        <c:varyColors val="1"/>
        <c:ser>
          <c:idx val="0"/>
          <c:order val="0"/>
          <c:explosion val="0"/>
          <c:dPt>
            <c:idx val="0"/>
            <c:bubble3D val="0"/>
            <c:spPr>
              <a:solidFill>
                <a:schemeClr val="accent1">
                  <a:lumMod val="60000"/>
                  <a:lumOff val="40000"/>
                </a:schemeClr>
              </a:solidFill>
            </c:spPr>
          </c:dPt>
          <c:dPt>
            <c:idx val="1"/>
            <c:bubble3D val="0"/>
            <c:spPr>
              <a:solidFill>
                <a:schemeClr val="accent2">
                  <a:lumMod val="60000"/>
                  <a:lumOff val="40000"/>
                </a:schemeClr>
              </a:solidFill>
            </c:spPr>
          </c:dPt>
          <c:dPt>
            <c:idx val="2"/>
            <c:bubble3D val="0"/>
            <c:spPr>
              <a:solidFill>
                <a:schemeClr val="accent3">
                  <a:lumMod val="60000"/>
                  <a:lumOff val="40000"/>
                </a:schemeClr>
              </a:solidFill>
            </c:spPr>
          </c:dPt>
          <c:dPt>
            <c:idx val="3"/>
            <c:bubble3D val="0"/>
            <c:spPr>
              <a:solidFill>
                <a:schemeClr val="accent4">
                  <a:lumMod val="60000"/>
                  <a:lumOff val="40000"/>
                </a:schemeClr>
              </a:solidFill>
            </c:spPr>
          </c:dPt>
          <c:dPt>
            <c:idx val="4"/>
            <c:bubble3D val="0"/>
            <c:spPr>
              <a:solidFill>
                <a:schemeClr val="accent5">
                  <a:lumMod val="60000"/>
                  <a:lumOff val="40000"/>
                </a:schemeClr>
              </a:solidFill>
            </c:spPr>
          </c:dPt>
          <c:dPt>
            <c:idx val="5"/>
            <c:bubble3D val="0"/>
            <c:spPr>
              <a:solidFill>
                <a:schemeClr val="accent6">
                  <a:lumMod val="60000"/>
                  <a:lumOff val="40000"/>
                </a:schemeClr>
              </a:solidFill>
            </c:spPr>
          </c:dPt>
          <c:dPt>
            <c:idx val="6"/>
            <c:bubble3D val="0"/>
            <c:spPr>
              <a:solidFill>
                <a:schemeClr val="bg2">
                  <a:lumMod val="75000"/>
                </a:schemeClr>
              </a:solidFill>
            </c:spPr>
          </c:dPt>
          <c:dLbls>
            <c:dLbl>
              <c:idx val="0"/>
              <c:layout>
                <c:manualLayout>
                  <c:x val="0.0126332250338162"/>
                  <c:y val="-0.041270209040007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易门县小街乡狮子山河、小街河治理工程</a:t>
                    </a:r>
                    <a:r>
                      <a:rPr lang="en-US" altLang="zh-CN"/>
                      <a:t>:</a:t>
                    </a:r>
                    <a:r>
                      <a:rPr lang="zh-CN" altLang="en-US"/>
                      <a:t>投资 </a:t>
                    </a:r>
                    <a:r>
                      <a:rPr lang="en-US" altLang="zh-CN"/>
                      <a:t>5935</a:t>
                    </a:r>
                    <a:r>
                      <a:rPr lang="zh-CN" altLang="en-US"/>
                      <a:t>万元</a:t>
                    </a:r>
                    <a:r>
                      <a:rPr lang="en-US" altLang="zh-CN"/>
                      <a:t>,</a:t>
                    </a:r>
                    <a:r>
                      <a:rPr lang="zh-CN" altLang="en-US"/>
                      <a:t>占比 </a:t>
                    </a:r>
                    <a:r>
                      <a:rPr lang="en-US" altLang="zh-CN"/>
                      <a:t>22%</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0471609465908854"/>
                  <c:y val="-0.03781450501864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六街街道二街河、王家滩河治理工程</a:t>
                    </a:r>
                    <a:r>
                      <a:rPr lang="en-US" altLang="zh-CN"/>
                      <a:t>:</a:t>
                    </a:r>
                    <a:r>
                      <a:rPr lang="zh-CN" altLang="en-US"/>
                      <a:t>投资 </a:t>
                    </a:r>
                    <a:r>
                      <a:rPr lang="en-US" altLang="zh-CN"/>
                      <a:t>4375</a:t>
                    </a:r>
                    <a:r>
                      <a:rPr lang="zh-CN" altLang="en-US"/>
                      <a:t>万元</a:t>
                    </a:r>
                    <a:r>
                      <a:rPr lang="en-US" altLang="zh-CN"/>
                      <a:t>,</a:t>
                    </a:r>
                    <a:r>
                      <a:rPr lang="zh-CN" altLang="en-US"/>
                      <a:t>占比 </a:t>
                    </a:r>
                    <a:r>
                      <a:rPr lang="en-US" altLang="zh-CN"/>
                      <a:t>16%</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634786885405558"/>
                  <c:y val="-0.037697192221587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龙泉街道打矿箐河治理工程</a:t>
                    </a:r>
                    <a:r>
                      <a:rPr lang="en-US" altLang="zh-CN"/>
                      <a:t>:</a:t>
                    </a:r>
                    <a:r>
                      <a:rPr lang="zh-CN" altLang="en-US"/>
                      <a:t>投资 </a:t>
                    </a:r>
                    <a:r>
                      <a:rPr lang="en-US" altLang="zh-CN"/>
                      <a:t>3075</a:t>
                    </a:r>
                    <a:r>
                      <a:rPr lang="zh-CN" altLang="en-US"/>
                      <a:t>万元</a:t>
                    </a:r>
                    <a:r>
                      <a:rPr lang="en-US" altLang="zh-CN"/>
                      <a:t>, </a:t>
                    </a:r>
                    <a:r>
                      <a:rPr lang="zh-CN" altLang="en-US"/>
                      <a:t>占比</a:t>
                    </a:r>
                    <a:r>
                      <a:rPr lang="en-US" altLang="zh-CN"/>
                      <a:t>12%</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60554151510282"/>
                  <c:y val="-0.015903820469157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浦贝乡苗茂小河治理工程</a:t>
                    </a:r>
                    <a:r>
                      <a:rPr lang="en-US" altLang="zh-CN"/>
                      <a:t>:</a:t>
                    </a:r>
                    <a:r>
                      <a:rPr lang="zh-CN" altLang="en-US"/>
                      <a:t>投资</a:t>
                    </a:r>
                    <a:r>
                      <a:rPr lang="en-US" altLang="zh-CN"/>
                      <a:t>3035</a:t>
                    </a:r>
                    <a:r>
                      <a:rPr lang="zh-CN" altLang="en-US"/>
                      <a:t>万元</a:t>
                    </a:r>
                    <a:r>
                      <a:rPr lang="en-US" altLang="zh-CN"/>
                      <a:t>, </a:t>
                    </a:r>
                    <a:r>
                      <a:rPr lang="zh-CN" altLang="en-US"/>
                      <a:t>占比</a:t>
                    </a:r>
                    <a:r>
                      <a:rPr lang="en-US" altLang="zh-CN"/>
                      <a:t>11%</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0538650244118609"/>
                  <c:y val="-0.076690363826386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十街乡老吾河治理工程</a:t>
                    </a:r>
                    <a:r>
                      <a:rPr lang="en-US" altLang="zh-CN"/>
                      <a:t>:</a:t>
                    </a:r>
                    <a:r>
                      <a:rPr lang="zh-CN" altLang="en-US"/>
                      <a:t>投资</a:t>
                    </a:r>
                    <a:r>
                      <a:rPr lang="en-US" altLang="zh-CN"/>
                      <a:t>1675</a:t>
                    </a:r>
                    <a:r>
                      <a:rPr lang="zh-CN" altLang="en-US"/>
                      <a:t>万元</a:t>
                    </a:r>
                    <a:r>
                      <a:rPr lang="en-US" altLang="zh-CN"/>
                      <a:t>,</a:t>
                    </a:r>
                    <a:r>
                      <a:rPr lang="zh-CN" altLang="en-US"/>
                      <a:t>占比 </a:t>
                    </a:r>
                    <a:r>
                      <a:rPr lang="en-US" altLang="zh-CN"/>
                      <a:t>6%</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0482788729322616"/>
                  <c:y val="0.015012501054862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绿汁镇蚂蟥箐河、一都河、发味河治理工程</a:t>
                    </a:r>
                    <a:r>
                      <a:rPr lang="en-US" altLang="zh-CN"/>
                      <a:t>:</a:t>
                    </a:r>
                    <a:r>
                      <a:rPr lang="zh-CN" altLang="en-US"/>
                      <a:t>投资 </a:t>
                    </a:r>
                    <a:r>
                      <a:rPr lang="en-US" altLang="zh-CN"/>
                      <a:t>5095</a:t>
                    </a:r>
                    <a:r>
                      <a:rPr lang="zh-CN" altLang="en-US"/>
                      <a:t>万元</a:t>
                    </a:r>
                    <a:r>
                      <a:rPr lang="en-US" altLang="zh-CN"/>
                      <a:t>,</a:t>
                    </a:r>
                    <a:r>
                      <a:rPr lang="zh-CN" altLang="en-US"/>
                      <a:t>占比 </a:t>
                    </a:r>
                    <a:r>
                      <a:rPr lang="en-US" altLang="zh-CN"/>
                      <a:t>19%</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0310329715279097"/>
                  <c:y val="0.025437934560429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铜厂乡米茂河、里士河、铜厂河治理工程</a:t>
                    </a:r>
                    <a:r>
                      <a:rPr lang="en-US" altLang="zh-CN"/>
                      <a:t>:</a:t>
                    </a:r>
                    <a:r>
                      <a:rPr lang="zh-CN" altLang="en-US"/>
                      <a:t>投资 </a:t>
                    </a:r>
                    <a:r>
                      <a:rPr lang="en-US" altLang="zh-CN"/>
                      <a:t>3710</a:t>
                    </a:r>
                    <a:r>
                      <a:rPr lang="zh-CN" altLang="en-US"/>
                      <a:t>万元</a:t>
                    </a:r>
                    <a:r>
                      <a:rPr lang="en-US" altLang="zh-CN"/>
                      <a:t>,</a:t>
                    </a:r>
                    <a:r>
                      <a:rPr lang="zh-CN" altLang="en-US"/>
                      <a:t>占比 </a:t>
                    </a:r>
                    <a:r>
                      <a:rPr lang="en-US" altLang="zh-CN"/>
                      <a:t>14%</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第6章!$L$2:$L$8</c:f>
              <c:strCache>
                <c:ptCount val="7"/>
                <c:pt idx="0">
                  <c:v>易门县小街乡狮子山河、小街河治理工程</c:v>
                </c:pt>
                <c:pt idx="1">
                  <c:v>六街街道二街河、王家滩河治理工程</c:v>
                </c:pt>
                <c:pt idx="2">
                  <c:v>龙泉街道打矿箐河治理工程</c:v>
                </c:pt>
                <c:pt idx="3">
                  <c:v>浦贝乡苗茂小河治理工程</c:v>
                </c:pt>
                <c:pt idx="4">
                  <c:v>十街乡老吾河治理工程</c:v>
                </c:pt>
                <c:pt idx="5">
                  <c:v>绿汁镇蚂蟥箐河、一都河、发味河治理工程</c:v>
                </c:pt>
                <c:pt idx="6">
                  <c:v>铜厂乡米茂河、里士河、铜厂河治理工程</c:v>
                </c:pt>
              </c:strCache>
            </c:strRef>
          </c:cat>
          <c:val>
            <c:numRef>
              <c:f>第6章!$M$2:$M$8</c:f>
              <c:numCache>
                <c:formatCode>General</c:formatCode>
                <c:ptCount val="7"/>
                <c:pt idx="0">
                  <c:v>5935</c:v>
                </c:pt>
                <c:pt idx="1">
                  <c:v>4375</c:v>
                </c:pt>
                <c:pt idx="2">
                  <c:v>3075</c:v>
                </c:pt>
                <c:pt idx="3">
                  <c:v>3035</c:v>
                </c:pt>
                <c:pt idx="4">
                  <c:v>1675</c:v>
                </c:pt>
                <c:pt idx="5">
                  <c:v>5095</c:v>
                </c:pt>
                <c:pt idx="6">
                  <c:v>3710</c:v>
                </c:pt>
              </c:numCache>
            </c:numRef>
          </c:val>
        </c:ser>
        <c:dLbls>
          <c:showLegendKey val="0"/>
          <c:showVal val="1"/>
          <c:showCatName val="0"/>
          <c:showSerName val="0"/>
          <c:showPercent val="0"/>
          <c:showBubbleSize val="0"/>
          <c:showLeaderLines val="1"/>
        </c:dLbls>
        <c:firstSliceAng val="100"/>
      </c:pieChart>
    </c:plotArea>
    <c:plotVisOnly val="1"/>
    <c:dispBlanksAs val="gap"/>
    <c:showDLblsOverMax val="0"/>
    <c:extLst>
      <c:ext uri="{0b15fc19-7d7d-44ad-8c2d-2c3a37ce22c3}">
        <chartProps xmlns="https://web.wps.cn/et/2018/main" chartId="{79a35606-ae5d-4a00-87fd-43ba15a8b2bb}"/>
      </c:ext>
    </c:extLst>
  </c:chart>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zh-CN" altLang="en-US" sz="1600"/>
              <a:t>易门县城乡一体化供水灌溉工程投资额及其占比图</a:t>
            </a:r>
            <a:endParaRPr lang="zh-CN" altLang="en-US" sz="1600"/>
          </a:p>
        </c:rich>
      </c:tx>
      <c:layout>
        <c:manualLayout>
          <c:xMode val="edge"/>
          <c:yMode val="edge"/>
          <c:x val="0.088643259790776"/>
          <c:y val="0.0289337999325433"/>
        </c:manualLayout>
      </c:layout>
      <c:overlay val="0"/>
    </c:title>
    <c:autoTitleDeleted val="0"/>
    <c:plotArea>
      <c:layout>
        <c:manualLayout>
          <c:layoutTarget val="inner"/>
          <c:xMode val="edge"/>
          <c:yMode val="edge"/>
          <c:x val="0.304143245672575"/>
          <c:y val="0.392284035390573"/>
          <c:w val="0.385156787810792"/>
          <c:h val="0.520901187323264"/>
        </c:manualLayout>
      </c:layout>
      <c:pieChart>
        <c:varyColors val="1"/>
        <c:ser>
          <c:idx val="0"/>
          <c:order val="0"/>
          <c:explosion val="0"/>
          <c:dPt>
            <c:idx val="0"/>
            <c:bubble3D val="0"/>
            <c:spPr>
              <a:solidFill>
                <a:schemeClr val="accent1">
                  <a:lumMod val="60000"/>
                  <a:lumOff val="40000"/>
                </a:schemeClr>
              </a:solidFill>
            </c:spPr>
          </c:dPt>
          <c:dPt>
            <c:idx val="1"/>
            <c:bubble3D val="0"/>
            <c:spPr>
              <a:solidFill>
                <a:schemeClr val="accent2">
                  <a:lumMod val="60000"/>
                  <a:lumOff val="40000"/>
                </a:schemeClr>
              </a:solidFill>
            </c:spPr>
          </c:dPt>
          <c:dPt>
            <c:idx val="2"/>
            <c:bubble3D val="0"/>
            <c:spPr>
              <a:solidFill>
                <a:schemeClr val="accent3">
                  <a:lumMod val="60000"/>
                  <a:lumOff val="40000"/>
                </a:schemeClr>
              </a:solidFill>
            </c:spPr>
          </c:dPt>
          <c:dPt>
            <c:idx val="3"/>
            <c:bubble3D val="0"/>
            <c:spPr>
              <a:solidFill>
                <a:schemeClr val="accent4">
                  <a:lumMod val="60000"/>
                  <a:lumOff val="40000"/>
                </a:schemeClr>
              </a:solidFill>
            </c:spPr>
          </c:dPt>
          <c:dLbls>
            <c:dLbl>
              <c:idx val="0"/>
              <c:layout>
                <c:manualLayout>
                  <c:x val="-0.0490721782266359"/>
                  <c:y val="0.0295192785264269"/>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0235267476539019"/>
                  <c:y val="-0.016173383636485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517750498620153"/>
                  <c:y val="-0.0284021159202076"/>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341797616935554"/>
                  <c:y val="0.051599250291387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第7章!$P$16:$P$19</c:f>
              <c:strCache>
                <c:ptCount val="4"/>
                <c:pt idx="0">
                  <c:v>乡镇抗旱水源工程建设项目</c:v>
                </c:pt>
                <c:pt idx="1">
                  <c:v>城市备用水源工程建设项目</c:v>
                </c:pt>
                <c:pt idx="2">
                  <c:v>中型灌区续建配套与现代化改造项目</c:v>
                </c:pt>
                <c:pt idx="3">
                  <c:v>农村人饮供水保障专项规划</c:v>
                </c:pt>
              </c:strCache>
            </c:strRef>
          </c:cat>
          <c:val>
            <c:numRef>
              <c:f>第7章!$Q$16:$Q$19</c:f>
              <c:numCache>
                <c:formatCode>General"万元"</c:formatCode>
                <c:ptCount val="4"/>
                <c:pt idx="0">
                  <c:v>34853</c:v>
                </c:pt>
                <c:pt idx="1">
                  <c:v>5882.4</c:v>
                </c:pt>
                <c:pt idx="2">
                  <c:v>49478</c:v>
                </c:pt>
                <c:pt idx="3">
                  <c:v>13098.75</c:v>
                </c:pt>
              </c:numCache>
            </c:numRef>
          </c:val>
        </c:ser>
        <c:dLbls>
          <c:showLegendKey val="0"/>
          <c:showVal val="1"/>
          <c:showCatName val="0"/>
          <c:showSerName val="0"/>
          <c:showPercent val="0"/>
          <c:showBubbleSize val="0"/>
          <c:showLeaderLines val="1"/>
        </c:dLbls>
        <c:firstSliceAng val="269"/>
      </c:pieChart>
    </c:plotArea>
    <c:plotVisOnly val="1"/>
    <c:dispBlanksAs val="gap"/>
    <c:showDLblsOverMax val="0"/>
    <c:extLst>
      <c:ext uri="{0b15fc19-7d7d-44ad-8c2d-2c3a37ce22c3}">
        <chartProps xmlns="https://web.wps.cn/et/2018/main" chartId="{e0162b7e-9bd4-4900-ac2e-70e01bcecde1}"/>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初设2020-1-8</Template>
  <Company>微软中国</Company>
  <Pages>191</Pages>
  <Words>14438</Words>
  <Characters>82302</Characters>
  <Lines>685</Lines>
  <Paragraphs>193</Paragraphs>
  <TotalTime>3</TotalTime>
  <ScaleCrop>false</ScaleCrop>
  <LinksUpToDate>false</LinksUpToDate>
  <CharactersWithSpaces>96547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2021-12-12T02:07:00Z</dcterms:created>
  <dc:creator>LT123</dc:creator>
  <cp:lastModifiedBy>User</cp:lastModifiedBy>
  <cp:lastPrinted>2021-12-13T00:25:00Z</cp:lastPrinted>
  <dcterms:modified xsi:type="dcterms:W3CDTF">2025-06-09T17:24:26Z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57A4B3D732E3588D349AFA649B8C92D5</vt:lpwstr>
  </property>
</Properties>
</file>