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  <w:lang w:eastAsia="zh-CN"/>
        </w:rPr>
        <w:t>附件：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</w:rPr>
        <w:t>2023年</w:t>
      </w:r>
      <w:r>
        <w:rPr>
          <w:rFonts w:hint="eastAsia" w:eastAsia="方正黑体_GBK" w:cs="Times New Roman"/>
          <w:i w:val="0"/>
          <w:iCs w:val="0"/>
          <w:color w:val="333333"/>
          <w:spacing w:val="0"/>
          <w:sz w:val="28"/>
          <w:szCs w:val="28"/>
          <w:lang w:val="en-US" w:eastAsia="zh-CN"/>
        </w:rPr>
        <w:t>易门县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</w:rPr>
        <w:t>征收农用地区片综合地价</w:t>
      </w: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表1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易门县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征收农用地区片综合地价结果表</w:t>
      </w:r>
    </w:p>
    <w:tbl>
      <w:tblPr>
        <w:tblW w:w="14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539"/>
        <w:gridCol w:w="1319"/>
        <w:gridCol w:w="1490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区片编号</w:t>
            </w:r>
          </w:p>
        </w:tc>
        <w:tc>
          <w:tcPr>
            <w:tcW w:w="8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区片范围描述</w:t>
            </w:r>
          </w:p>
        </w:tc>
        <w:tc>
          <w:tcPr>
            <w:tcW w:w="4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区片综合地价（元/亩）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区片标准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土地补偿费（40%）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安置补助费（60%）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8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龙泉街道: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兴文街社区、中心街社区、水桥社区、蔡营社区、韩所社区、曾所社区、梅营社区、方屯社区、江口社区、中屯社区、罗所社区</w:t>
            </w:r>
            <w:r>
              <w:rPr>
                <w:rStyle w:val="15"/>
                <w:color w:val="000000"/>
                <w:bdr w:val="none" w:color="auto" w:sz="0" w:space="0"/>
                <w:lang w:val="en-US" w:eastAsia="zh-CN" w:bidi="ar"/>
              </w:rPr>
              <w:t>、西环路社区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II</w:t>
            </w:r>
          </w:p>
        </w:tc>
        <w:tc>
          <w:tcPr>
            <w:tcW w:w="8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六街街道: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茶树社区、二街社区、柏树社区、旧县社区、六街社区；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浦贝彝族乡: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III</w:t>
            </w:r>
          </w:p>
        </w:tc>
        <w:tc>
          <w:tcPr>
            <w:tcW w:w="8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绿汁镇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:绿汁村、木厂村；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浦贝彝族乡: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阿姑村；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十街彝族乡: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十街村、张所村；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铜厂彝族乡: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股水村、铜厂村；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小街乡: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IV</w:t>
            </w:r>
          </w:p>
        </w:tc>
        <w:tc>
          <w:tcPr>
            <w:tcW w:w="8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六街街道: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铁厂村、白邑村；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绿汁镇: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竹子村、河尾村、龙格利村、者拉村、腊品村、棚苴村；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浦贝彝族乡: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苗茂村、罗台旧村、朋多村、草箐村、水塘村；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十街彝族乡: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老吾村、大村村、脚家店村、金田村、马头村、贾姑村；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铜厂彝族乡: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碧多村、米苴村、芭蕉箐村、里士村、西山村、沙衣村、底尼村；</w:t>
            </w:r>
            <w:r>
              <w:rPr>
                <w:rStyle w:val="14"/>
                <w:color w:val="000000"/>
                <w:bdr w:val="none" w:color="auto" w:sz="0" w:space="0"/>
                <w:lang w:val="en-US" w:eastAsia="zh-CN" w:bidi="ar"/>
              </w:rPr>
              <w:t>小街乡: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罗尹村、狮子山村、木冲村、普厂村、甲浦村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合计/平均综合地价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33182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表2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易门县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征收农用地区片综合地价地类调节系数表</w:t>
      </w:r>
    </w:p>
    <w:p>
      <w:pPr>
        <w:keepNext w:val="0"/>
        <w:keepLines w:val="0"/>
        <w:widowControl/>
        <w:suppressLineNumbers w:val="0"/>
        <w:jc w:val="right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单位：元/亩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84"/>
        <w:gridCol w:w="846"/>
        <w:gridCol w:w="1184"/>
        <w:gridCol w:w="1318"/>
        <w:gridCol w:w="1184"/>
        <w:gridCol w:w="1177"/>
        <w:gridCol w:w="1177"/>
        <w:gridCol w:w="1146"/>
        <w:gridCol w:w="1518"/>
        <w:gridCol w:w="130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区片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030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spacing w:before="156"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787400" cy="144462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1444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1pt;margin-top:0.45pt;height:113.75pt;width:62pt;z-index:251659264;mso-width-relative:page;mso-height-relative:page;" filled="f" stroked="t" coordsize="787400,1444625" o:gfxdata="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V/a/XAAAA&#10;CAEAAA8AAAAAAAAAAQAgAAAAIgAAAGRycy9kb3ducmV2LnhtbFBLAQIUABQAAAAIAIdO4kCjEYOm&#10;5QEAAOMDAAAOAAAAAAAAAAEAIAAAACYBAABkcnMvZTJvRG9jLnhtbFBLBQYAAAAABgAGAFkBAAB9&#10;BQAAAAA=&#10;">
                      <v:fill on="f" focussize="0,0"/>
                      <v:stroke weight="1pt" color="#FFFF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地类名称</w:t>
            </w:r>
          </w:p>
        </w:tc>
        <w:tc>
          <w:tcPr>
            <w:tcW w:w="8704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农用地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集体建设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用地</w:t>
            </w:r>
          </w:p>
        </w:tc>
        <w:tc>
          <w:tcPr>
            <w:tcW w:w="124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耕地</w:t>
            </w:r>
          </w:p>
        </w:tc>
        <w:tc>
          <w:tcPr>
            <w:tcW w:w="117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园地</w:t>
            </w:r>
          </w:p>
        </w:tc>
        <w:tc>
          <w:tcPr>
            <w:tcW w:w="117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林地</w:t>
            </w:r>
          </w:p>
        </w:tc>
        <w:tc>
          <w:tcPr>
            <w:tcW w:w="114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草地</w:t>
            </w:r>
          </w:p>
        </w:tc>
        <w:tc>
          <w:tcPr>
            <w:tcW w:w="151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其他农用地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水田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水浇地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旱地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区片综</w:t>
            </w:r>
          </w:p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合地价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调节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系数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1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0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116250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102600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20520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20520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80250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16050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16050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bookmarkStart w:id="0" w:name="_GoBack"/>
            <w:bookmarkEnd w:id="0"/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53500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68700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13740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13740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45800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116250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ascii="Times New Roman" w:hAnsi="Times New Roman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WI2MjVlOWNhYWIyNmZkNTAyZDYwMGI3MDdmZDkifQ=="/>
  </w:docVars>
  <w:rsids>
    <w:rsidRoot w:val="00000000"/>
    <w:rsid w:val="04C47E6F"/>
    <w:rsid w:val="267B266C"/>
    <w:rsid w:val="32110B19"/>
    <w:rsid w:val="32ED1F0E"/>
    <w:rsid w:val="4C1D3FDE"/>
    <w:rsid w:val="4C353220"/>
    <w:rsid w:val="51637C90"/>
    <w:rsid w:val="5B4F1055"/>
    <w:rsid w:val="5F991851"/>
    <w:rsid w:val="61561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/>
      <w:snapToGrid w:val="0"/>
      <w:spacing w:line="560" w:lineRule="exact"/>
      <w:ind w:firstLine="0" w:firstLineChars="0"/>
      <w:jc w:val="center"/>
    </w:pPr>
    <w:rPr>
      <w:rFonts w:ascii="Times New Roman" w:hAnsi="Times New Roman" w:eastAsia="仿宋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pPr>
      <w:widowControl/>
      <w:jc w:val="center"/>
    </w:pPr>
    <w:rPr>
      <w:rFonts w:ascii="宋体" w:hAnsi="宋体"/>
      <w:kern w:val="0"/>
      <w:szCs w:val="21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表格字体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 w:eastAsia="宋体"/>
      <w:color w:val="000000"/>
      <w:kern w:val="2"/>
      <w:sz w:val="21"/>
      <w:szCs w:val="18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2">
    <w:name w:val="font51"/>
    <w:basedOn w:val="3"/>
    <w:qFormat/>
    <w:uiPriority w:val="0"/>
    <w:rPr>
      <w:rFonts w:hint="default" w:ascii="Times New Roman" w:hAnsi="Times New Roman" w:cs="Times New Roman"/>
      <w:color w:val="auto"/>
      <w:sz w:val="22"/>
      <w:szCs w:val="22"/>
      <w:u w:val="none"/>
    </w:rPr>
  </w:style>
  <w:style w:type="character" w:customStyle="1" w:styleId="13">
    <w:name w:val="font71"/>
    <w:basedOn w:val="3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1003</Words>
  <Characters>1315</Characters>
  <Lines>0</Lines>
  <Paragraphs>0</Paragraphs>
  <TotalTime>0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2025-06-03T16:20:00Z</dcterms:created>
  <dc:creator>Administrator</dc:creator>
  <cp:lastModifiedBy>FaiRy 玥</cp:lastModifiedBy>
  <dcterms:modified xsi:type="dcterms:W3CDTF">2025-06-26T01:11:06Z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5F803BC4F9394E35ABD1DF1EE050F1FE</vt:lpwstr>
  </property>
</Properties>
</file>