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B21367">
      <w:pPr>
        <w:keepNext w:val="0"/>
        <w:keepLines w:val="0"/>
        <w:pageBreakBefore w:val="0"/>
        <w:widowControl/>
        <w:kinsoku w:val="0"/>
        <w:wordWrap/>
        <w:overflowPunct/>
        <w:topLinePunct w:val="0"/>
        <w:autoSpaceDE w:val="0"/>
        <w:autoSpaceDN w:val="0"/>
        <w:bidi w:val="0"/>
        <w:adjustRightInd w:val="0"/>
        <w:snapToGrid w:val="0"/>
        <w:spacing w:line="600" w:lineRule="exact"/>
        <w:ind w:left="23"/>
        <w:textAlignment w:val="baseline"/>
        <w:rPr>
          <w:rFonts w:ascii="方正小标宋简体" w:hAnsi="方正小标宋简体" w:eastAsia="方正小标宋简体" w:cs="方正小标宋简体"/>
          <w:spacing w:val="31"/>
          <w:sz w:val="43"/>
          <w:szCs w:val="43"/>
        </w:rPr>
      </w:pPr>
      <w:r>
        <w:rPr>
          <w:rFonts w:ascii="方正小标宋简体" w:hAnsi="方正小标宋简体" w:eastAsia="方正小标宋简体" w:cs="方正小标宋简体"/>
          <w:spacing w:val="31"/>
          <w:sz w:val="43"/>
          <w:szCs w:val="43"/>
        </w:rPr>
        <w:t>云南省易门县烟草制品零售点合理布局规划</w:t>
      </w:r>
    </w:p>
    <w:p w14:paraId="1FA79FAE">
      <w:pPr>
        <w:keepNext w:val="0"/>
        <w:keepLines w:val="0"/>
        <w:pageBreakBefore w:val="0"/>
        <w:widowControl/>
        <w:kinsoku w:val="0"/>
        <w:wordWrap/>
        <w:overflowPunct/>
        <w:topLinePunct w:val="0"/>
        <w:autoSpaceDE w:val="0"/>
        <w:autoSpaceDN w:val="0"/>
        <w:bidi w:val="0"/>
        <w:adjustRightInd w:val="0"/>
        <w:snapToGrid w:val="0"/>
        <w:spacing w:line="600" w:lineRule="exact"/>
        <w:ind w:left="23"/>
        <w:jc w:val="center"/>
        <w:textAlignment w:val="baseline"/>
        <w:rPr>
          <w:rFonts w:hint="eastAsia" w:ascii="方正小标宋简体" w:hAnsi="方正小标宋简体" w:eastAsia="方正小标宋简体" w:cs="方正小标宋简体"/>
          <w:color w:val="auto"/>
          <w:spacing w:val="31"/>
          <w:sz w:val="43"/>
          <w:szCs w:val="43"/>
          <w:lang w:eastAsia="zh-CN"/>
        </w:rPr>
      </w:pPr>
      <w:r>
        <w:rPr>
          <w:rFonts w:hint="eastAsia" w:ascii="方正小标宋简体" w:hAnsi="方正小标宋简体" w:eastAsia="方正小标宋简体" w:cs="方正小标宋简体"/>
          <w:color w:val="auto"/>
          <w:spacing w:val="31"/>
          <w:sz w:val="43"/>
          <w:szCs w:val="43"/>
          <w:lang w:eastAsia="zh-CN"/>
        </w:rPr>
        <w:t>（</w:t>
      </w:r>
      <w:r>
        <w:rPr>
          <w:rFonts w:hint="eastAsia" w:ascii="方正小标宋简体" w:hAnsi="方正小标宋简体" w:eastAsia="方正小标宋简体" w:cs="方正小标宋简体"/>
          <w:color w:val="auto"/>
          <w:spacing w:val="31"/>
          <w:sz w:val="43"/>
          <w:szCs w:val="43"/>
          <w:lang w:val="en-US" w:eastAsia="zh-CN"/>
        </w:rPr>
        <w:t>修订草案</w:t>
      </w:r>
      <w:r>
        <w:rPr>
          <w:rFonts w:hint="eastAsia" w:ascii="方正小标宋简体" w:hAnsi="方正小标宋简体" w:eastAsia="方正小标宋简体" w:cs="方正小标宋简体"/>
          <w:color w:val="auto"/>
          <w:spacing w:val="31"/>
          <w:sz w:val="43"/>
          <w:szCs w:val="43"/>
          <w:lang w:eastAsia="zh-CN"/>
        </w:rPr>
        <w:t>）</w:t>
      </w:r>
    </w:p>
    <w:p w14:paraId="27B816DA">
      <w:pPr>
        <w:pStyle w:val="2"/>
        <w:keepNext w:val="0"/>
        <w:keepLines w:val="0"/>
        <w:pageBreakBefore w:val="0"/>
        <w:widowControl w:val="0"/>
        <w:kinsoku w:val="0"/>
        <w:wordWrap/>
        <w:overflowPunct/>
        <w:topLinePunct w:val="0"/>
        <w:autoSpaceDE w:val="0"/>
        <w:autoSpaceDN w:val="0"/>
        <w:bidi w:val="0"/>
        <w:adjustRightInd w:val="0"/>
        <w:snapToGrid w:val="0"/>
        <w:spacing w:line="600" w:lineRule="exact"/>
        <w:jc w:val="both"/>
        <w:textAlignment w:val="baseline"/>
      </w:pPr>
    </w:p>
    <w:p w14:paraId="7A30CE03">
      <w:pPr>
        <w:keepNext w:val="0"/>
        <w:keepLines w:val="0"/>
        <w:pageBreakBefore w:val="0"/>
        <w:widowControl w:val="0"/>
        <w:kinsoku w:val="0"/>
        <w:wordWrap/>
        <w:overflowPunct/>
        <w:topLinePunct w:val="0"/>
        <w:autoSpaceDE w:val="0"/>
        <w:autoSpaceDN w:val="0"/>
        <w:bidi w:val="0"/>
        <w:adjustRightInd w:val="0"/>
        <w:snapToGrid w:val="0"/>
        <w:spacing w:line="570" w:lineRule="exact"/>
        <w:ind w:left="0" w:right="0"/>
        <w:jc w:val="center"/>
        <w:textAlignment w:val="baseline"/>
        <w:outlineLvl w:val="0"/>
        <w:rPr>
          <w:rFonts w:hint="eastAsia" w:ascii="方正黑体_GBK" w:hAnsi="方正黑体_GBK" w:eastAsia="方正黑体_GBK" w:cs="方正黑体_GBK"/>
          <w:sz w:val="32"/>
          <w:szCs w:val="32"/>
        </w:rPr>
      </w:pPr>
      <w:r>
        <w:rPr>
          <w:rFonts w:hint="eastAsia" w:ascii="方正黑体_GBK" w:hAnsi="方正黑体_GBK" w:eastAsia="方正黑体_GBK" w:cs="方正黑体_GBK"/>
          <w:spacing w:val="7"/>
          <w:sz w:val="32"/>
          <w:szCs w:val="32"/>
        </w:rPr>
        <w:t>第一章总则</w:t>
      </w:r>
    </w:p>
    <w:p w14:paraId="1DC08488">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第一条</w:t>
      </w:r>
      <w:r>
        <w:rPr>
          <w:rFonts w:hint="eastAsia"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为深入推进“放管服”改革，依法依规、科学合理制定烟草制品零售点合理布局规划，提升烟草专卖行政许可的公开性、公平性和公正性，依据《中华人民共和国行政许可法》《中华人民共和国未成年人保护法》《中华人民共和国烟草专卖法》《中华人民共和国烟草专卖法实施条例》《烟草专卖许可证管理办法》《烟草专卖许可证管理办法实施细则》等法律、法规、规章和国家烟草专卖局的有关规定，结合易门县实际，制定本规划。</w:t>
      </w:r>
    </w:p>
    <w:p w14:paraId="411B130C">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lang w:eastAsia="zh-CN"/>
        </w:rPr>
      </w:pPr>
      <w:r>
        <w:rPr>
          <w:rFonts w:hint="default" w:ascii="Times New Roman" w:hAnsi="Times New Roman" w:eastAsia="方正仿宋_GBK" w:cs="Times New Roman"/>
          <w:b/>
          <w:bCs/>
          <w:spacing w:val="0"/>
          <w:sz w:val="32"/>
          <w:szCs w:val="32"/>
        </w:rPr>
        <w:t>第二条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本规划适用于云南省易门县行政辖区范围内烟草制品零售点的布局管理。电子烟零售点布局按照《云南省电子烟零售点布局规划》执行。</w:t>
      </w:r>
    </w:p>
    <w:p w14:paraId="254DE569">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第三条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本规划所称烟草制品零售点（以下简称零售点）是指依法取得烟草专卖零售许可证（以下简称零售许可证）的公民、法人或其他组织从事烟草制品零售业务的经营场所。</w:t>
      </w:r>
    </w:p>
    <w:p w14:paraId="3E632CA3">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零售点应当设置于与住所相独立的固定经营场所，经营场所与住所应当在空间上相互独立，在物理特性上应有实体墙相隔离。经营场所应有指向明确并唯一的门牌、地址或者方位表述，且与营业执照登记注册的经营场所一致，并面向公众经营。</w:t>
      </w:r>
    </w:p>
    <w:p w14:paraId="798C72DB">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第四条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本规划遵循依法行政、科学规划、服务社会、均衡发展原则，综合辖区内人口数量、交通状况、经济发展水平、消费能力等因素，对零售点进行科学合理的规划布局。</w:t>
      </w:r>
    </w:p>
    <w:p w14:paraId="373269D8">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jc w:val="center"/>
        <w:textAlignment w:val="baseline"/>
        <w:outlineLvl w:val="0"/>
        <w:rPr>
          <w:rFonts w:hint="default" w:ascii="方正黑体_GBK" w:hAnsi="方正黑体_GBK" w:eastAsia="方正黑体_GBK" w:cs="方正黑体_GBK"/>
          <w:spacing w:val="7"/>
          <w:sz w:val="32"/>
          <w:szCs w:val="32"/>
        </w:rPr>
      </w:pPr>
      <w:r>
        <w:rPr>
          <w:rFonts w:hint="default" w:ascii="方正黑体_GBK" w:hAnsi="方正黑体_GBK" w:eastAsia="方正黑体_GBK" w:cs="方正黑体_GBK"/>
          <w:spacing w:val="7"/>
          <w:sz w:val="32"/>
          <w:szCs w:val="32"/>
        </w:rPr>
        <w:t>第二章</w:t>
      </w:r>
      <w:r>
        <w:rPr>
          <w:rFonts w:hint="default" w:ascii="方正黑体_GBK" w:hAnsi="方正黑体_GBK" w:eastAsia="方正黑体_GBK" w:cs="方正黑体_GBK"/>
          <w:spacing w:val="7"/>
          <w:sz w:val="32"/>
          <w:szCs w:val="32"/>
          <w:lang w:val="en-US" w:eastAsia="zh-CN"/>
        </w:rPr>
        <w:t xml:space="preserve"> </w:t>
      </w:r>
      <w:r>
        <w:rPr>
          <w:rFonts w:hint="default" w:ascii="方正黑体_GBK" w:hAnsi="方正黑体_GBK" w:eastAsia="方正黑体_GBK" w:cs="方正黑体_GBK"/>
          <w:spacing w:val="7"/>
          <w:sz w:val="32"/>
          <w:szCs w:val="32"/>
        </w:rPr>
        <w:t>零售点布局标准</w:t>
      </w:r>
    </w:p>
    <w:p w14:paraId="12B40C18">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lang w:val="en-US" w:eastAsia="zh-CN"/>
        </w:rPr>
      </w:pPr>
      <w:r>
        <w:rPr>
          <w:rFonts w:hint="default" w:ascii="Times New Roman" w:hAnsi="Times New Roman" w:eastAsia="方正仿宋_GBK" w:cs="Times New Roman"/>
          <w:b/>
          <w:bCs/>
          <w:spacing w:val="0"/>
          <w:sz w:val="32"/>
          <w:szCs w:val="32"/>
        </w:rPr>
        <w:t>第五条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b w:val="0"/>
          <w:bCs w:val="0"/>
          <w:spacing w:val="0"/>
          <w:sz w:val="32"/>
          <w:szCs w:val="32"/>
          <w:lang w:val="en-US" w:eastAsia="zh-CN"/>
        </w:rPr>
        <w:t>本章适用于经营范</w:t>
      </w:r>
      <w:r>
        <w:rPr>
          <w:rFonts w:hint="default" w:ascii="Times New Roman" w:hAnsi="Times New Roman" w:eastAsia="方正仿宋_GBK" w:cs="Times New Roman"/>
          <w:spacing w:val="0"/>
          <w:sz w:val="32"/>
          <w:szCs w:val="32"/>
          <w:lang w:val="en-US" w:eastAsia="zh-CN"/>
        </w:rPr>
        <w:t>围除“仅为雪茄烟零售”以外的卷烟、雪茄烟、消费类烟丝的零售点布局管理。</w:t>
      </w:r>
    </w:p>
    <w:p w14:paraId="12D9B1B3">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lang w:val="en-US" w:eastAsia="zh-CN"/>
        </w:rPr>
        <w:t>第六条</w:t>
      </w:r>
      <w:r>
        <w:rPr>
          <w:rFonts w:hint="default" w:ascii="Times New Roman" w:hAnsi="Times New Roman" w:eastAsia="方正仿宋_GBK" w:cs="Times New Roman"/>
          <w:spacing w:val="0"/>
          <w:sz w:val="32"/>
          <w:szCs w:val="32"/>
          <w:lang w:val="en-US" w:eastAsia="zh-CN"/>
        </w:rPr>
        <w:t xml:space="preserve">  </w:t>
      </w:r>
      <w:r>
        <w:rPr>
          <w:rFonts w:hint="default" w:ascii="Times New Roman" w:hAnsi="Times New Roman" w:eastAsia="方正仿宋_GBK" w:cs="Times New Roman"/>
          <w:spacing w:val="0"/>
          <w:sz w:val="32"/>
          <w:szCs w:val="32"/>
        </w:rPr>
        <w:t>零售点布局采用数量限制、距离限制、数量限制与距离限制相结合以及不予设置烟草制品零售点等布局标准。</w:t>
      </w:r>
    </w:p>
    <w:p w14:paraId="3370A276">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w:t>
      </w:r>
      <w:r>
        <w:rPr>
          <w:rFonts w:hint="default" w:ascii="Times New Roman" w:hAnsi="Times New Roman" w:eastAsia="方正仿宋_GBK" w:cs="Times New Roman"/>
          <w:b/>
          <w:bCs/>
          <w:spacing w:val="0"/>
          <w:sz w:val="32"/>
          <w:szCs w:val="32"/>
          <w:lang w:val="en-US" w:eastAsia="zh-CN"/>
        </w:rPr>
        <w:t>七</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根据地域面积、人口数量、交通状况、经济发展水平、居民消费能力、消费购买习惯等因素，合理确定区域零售点规划数，并划定最小单元网格。单元网格零售点规划数是指最小单元网格内可设置零售点的数量。总量规划数是指易门县辖区范围内所有单元网格零售点规划数之和。</w:t>
      </w:r>
    </w:p>
    <w:p w14:paraId="3C69E49E">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除本规划规定的特殊区域外，单元网格内零售点数量达到规划数时，该单元网格不予新设零售点。</w:t>
      </w:r>
    </w:p>
    <w:p w14:paraId="33705871">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w:t>
      </w:r>
      <w:r>
        <w:rPr>
          <w:rFonts w:hint="default" w:ascii="Times New Roman" w:hAnsi="Times New Roman" w:eastAsia="方正仿宋_GBK" w:cs="Times New Roman"/>
          <w:b/>
          <w:bCs/>
          <w:spacing w:val="0"/>
          <w:sz w:val="32"/>
          <w:szCs w:val="32"/>
          <w:lang w:val="en-US" w:eastAsia="zh-CN"/>
        </w:rPr>
        <w:t>八</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根据零售市场状态、交通状况、人口热度、消费购买习惯等因素，合理确定零售点间距。零售点间距是指申请人拟从事烟草制品零售业务的经营场所与最近的烟草制品零售点之间的距离。测量的总体原则为两个零售点“门边到门边”可安全步行的最短距离。测量规则及标准详见《云南省易门县烟草制品零售点间距测量规则及标准》（附件1）。</w:t>
      </w:r>
    </w:p>
    <w:p w14:paraId="1811FD0D">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w:t>
      </w:r>
      <w:r>
        <w:rPr>
          <w:rFonts w:hint="default" w:ascii="Times New Roman" w:hAnsi="Times New Roman" w:eastAsia="方正仿宋_GBK" w:cs="Times New Roman"/>
          <w:b/>
          <w:bCs/>
          <w:spacing w:val="0"/>
          <w:sz w:val="32"/>
          <w:szCs w:val="32"/>
          <w:lang w:val="en-US" w:eastAsia="zh-CN"/>
        </w:rPr>
        <w:t>九</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汽车站、旅游景区等相对封闭的内部等候区，可设置1个零售点，不受单元网格规划数及总量规划数限制。</w:t>
      </w:r>
    </w:p>
    <w:p w14:paraId="00CF740E">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w:t>
      </w:r>
      <w:r>
        <w:rPr>
          <w:rFonts w:hint="default" w:ascii="Times New Roman" w:hAnsi="Times New Roman" w:eastAsia="方正仿宋_GBK" w:cs="Times New Roman"/>
          <w:b/>
          <w:bCs/>
          <w:spacing w:val="0"/>
          <w:sz w:val="32"/>
          <w:szCs w:val="32"/>
          <w:lang w:val="en-US" w:eastAsia="zh-CN"/>
        </w:rPr>
        <w:t>十</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部队、监狱、看守所、戒毒所等封闭式特殊区域，可设置1个零售点，不受单元网格规划数及总量规划数限制。</w:t>
      </w:r>
    </w:p>
    <w:p w14:paraId="4CD5B857">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高速公路单侧加油站（含服务区）</w:t>
      </w:r>
      <w:r>
        <w:rPr>
          <w:rFonts w:hint="default" w:ascii="Times New Roman" w:hAnsi="Times New Roman" w:eastAsia="方正仿宋_GBK" w:cs="Times New Roman"/>
          <w:spacing w:val="0"/>
          <w:sz w:val="32"/>
          <w:szCs w:val="32"/>
          <w:lang w:eastAsia="zh-CN"/>
        </w:rPr>
        <w:t>，</w:t>
      </w:r>
      <w:r>
        <w:rPr>
          <w:rFonts w:hint="default" w:ascii="Times New Roman" w:hAnsi="Times New Roman" w:eastAsia="方正仿宋_GBK" w:cs="Times New Roman"/>
          <w:spacing w:val="0"/>
          <w:sz w:val="32"/>
          <w:szCs w:val="32"/>
        </w:rPr>
        <w:t>可设置1个零售点，不受单元网格规划数及总量规划数限制。</w:t>
      </w:r>
    </w:p>
    <w:p w14:paraId="3C5B0436">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w:t>
      </w:r>
      <w:r>
        <w:rPr>
          <w:rFonts w:hint="default" w:ascii="Times New Roman" w:hAnsi="Times New Roman" w:eastAsia="方正仿宋_GBK" w:cs="Times New Roman"/>
          <w:b/>
          <w:bCs/>
          <w:spacing w:val="0"/>
          <w:sz w:val="32"/>
          <w:szCs w:val="32"/>
          <w:lang w:val="en-US" w:eastAsia="zh-CN"/>
        </w:rPr>
        <w:t>十一</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本县零售点合理布局规划数及规划区域、单元网格等情况详见《云南省易门县烟草制品零售点合理布局公示表》（附件2）及《云南省易门县烟草制品零售点合理布局网格示意图》（附件3）。</w:t>
      </w:r>
    </w:p>
    <w:p w14:paraId="730672D5">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jc w:val="center"/>
        <w:textAlignment w:val="baseline"/>
        <w:outlineLvl w:val="0"/>
        <w:rPr>
          <w:rFonts w:hint="default" w:ascii="方正黑体_GBK" w:hAnsi="方正黑体_GBK" w:eastAsia="方正黑体_GBK" w:cs="方正黑体_GBK"/>
          <w:spacing w:val="7"/>
          <w:sz w:val="32"/>
          <w:szCs w:val="32"/>
        </w:rPr>
      </w:pPr>
      <w:r>
        <w:rPr>
          <w:rFonts w:hint="default" w:ascii="方正黑体_GBK" w:hAnsi="方正黑体_GBK" w:eastAsia="方正黑体_GBK" w:cs="方正黑体_GBK"/>
          <w:spacing w:val="7"/>
          <w:sz w:val="32"/>
          <w:szCs w:val="32"/>
        </w:rPr>
        <w:t>第</w:t>
      </w:r>
      <w:r>
        <w:rPr>
          <w:rFonts w:hint="default" w:ascii="方正黑体_GBK" w:hAnsi="方正黑体_GBK" w:eastAsia="方正黑体_GBK" w:cs="方正黑体_GBK"/>
          <w:spacing w:val="7"/>
          <w:sz w:val="32"/>
          <w:szCs w:val="32"/>
          <w:lang w:val="en-US" w:eastAsia="zh-CN"/>
        </w:rPr>
        <w:t>三</w:t>
      </w:r>
      <w:r>
        <w:rPr>
          <w:rFonts w:hint="default" w:ascii="方正黑体_GBK" w:hAnsi="方正黑体_GBK" w:eastAsia="方正黑体_GBK" w:cs="方正黑体_GBK"/>
          <w:spacing w:val="7"/>
          <w:sz w:val="32"/>
          <w:szCs w:val="32"/>
        </w:rPr>
        <w:t>章</w:t>
      </w:r>
      <w:r>
        <w:rPr>
          <w:rFonts w:hint="default" w:ascii="方正黑体_GBK" w:hAnsi="方正黑体_GBK" w:eastAsia="方正黑体_GBK" w:cs="方正黑体_GBK"/>
          <w:spacing w:val="7"/>
          <w:sz w:val="32"/>
          <w:szCs w:val="32"/>
          <w:lang w:val="en-US" w:eastAsia="zh-CN"/>
        </w:rPr>
        <w:t xml:space="preserve"> 雪茄烟专营店</w:t>
      </w:r>
      <w:r>
        <w:rPr>
          <w:rFonts w:hint="default" w:ascii="方正黑体_GBK" w:hAnsi="方正黑体_GBK" w:eastAsia="方正黑体_GBK" w:cs="方正黑体_GBK"/>
          <w:spacing w:val="7"/>
          <w:sz w:val="32"/>
          <w:szCs w:val="32"/>
        </w:rPr>
        <w:t>零售点布局标准</w:t>
      </w:r>
    </w:p>
    <w:p w14:paraId="73AE9126">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第十二条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本章适用于经营范围仅为雪茄烟本店零售的零售点布局管理。</w:t>
      </w:r>
    </w:p>
    <w:p w14:paraId="57611498">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第十三条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雪茄烟专营</w:t>
      </w:r>
      <w:r>
        <w:rPr>
          <w:rFonts w:hint="default" w:ascii="Times New Roman" w:hAnsi="Times New Roman" w:eastAsia="方正仿宋_GBK" w:cs="Times New Roman"/>
          <w:spacing w:val="0"/>
          <w:sz w:val="32"/>
          <w:szCs w:val="32"/>
          <w:lang w:val="en-US" w:eastAsia="zh-CN"/>
        </w:rPr>
        <w:t>店</w:t>
      </w:r>
      <w:r>
        <w:rPr>
          <w:rFonts w:hint="default" w:ascii="Times New Roman" w:hAnsi="Times New Roman" w:eastAsia="方正仿宋_GBK" w:cs="Times New Roman"/>
          <w:spacing w:val="0"/>
          <w:sz w:val="32"/>
          <w:szCs w:val="32"/>
        </w:rPr>
        <w:t>零售点数量实行总量控制、动态调整模式，且不受其他烟草制品（含电子烟）零售点距离限制，规划数详见《云南省</w:t>
      </w:r>
      <w:r>
        <w:rPr>
          <w:rFonts w:hint="default" w:ascii="Times New Roman" w:hAnsi="Times New Roman" w:eastAsia="方正仿宋_GBK" w:cs="Times New Roman"/>
          <w:spacing w:val="0"/>
          <w:sz w:val="32"/>
          <w:szCs w:val="32"/>
          <w:lang w:val="en-US" w:eastAsia="zh-CN"/>
        </w:rPr>
        <w:t>易门县</w:t>
      </w:r>
      <w:r>
        <w:rPr>
          <w:rFonts w:hint="default" w:ascii="Times New Roman" w:hAnsi="Times New Roman" w:eastAsia="方正仿宋_GBK" w:cs="Times New Roman"/>
          <w:spacing w:val="0"/>
          <w:sz w:val="32"/>
          <w:szCs w:val="32"/>
        </w:rPr>
        <w:t>雪茄烟专营</w:t>
      </w:r>
      <w:r>
        <w:rPr>
          <w:rFonts w:hint="default" w:ascii="Times New Roman" w:hAnsi="Times New Roman" w:eastAsia="方正仿宋_GBK" w:cs="Times New Roman"/>
          <w:spacing w:val="0"/>
          <w:sz w:val="32"/>
          <w:szCs w:val="32"/>
          <w:lang w:val="en-US" w:eastAsia="zh-CN"/>
        </w:rPr>
        <w:t>店</w:t>
      </w:r>
      <w:r>
        <w:rPr>
          <w:rFonts w:hint="default" w:ascii="Times New Roman" w:hAnsi="Times New Roman" w:eastAsia="方正仿宋_GBK" w:cs="Times New Roman"/>
          <w:spacing w:val="0"/>
          <w:sz w:val="32"/>
          <w:szCs w:val="32"/>
        </w:rPr>
        <w:t>零售点合理布局公示表》（附件4）。</w:t>
      </w:r>
    </w:p>
    <w:p w14:paraId="0A45AEEB">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第十四条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color w:val="auto"/>
          <w:spacing w:val="0"/>
          <w:sz w:val="32"/>
          <w:szCs w:val="32"/>
          <w:highlight w:val="none"/>
        </w:rPr>
        <w:t>取得雪茄烟本店零售许可的经营主体</w:t>
      </w:r>
      <w:r>
        <w:rPr>
          <w:rFonts w:hint="default" w:ascii="Times New Roman" w:hAnsi="Times New Roman" w:eastAsia="方正仿宋_GBK" w:cs="Times New Roman"/>
          <w:bCs/>
          <w:snapToGrid/>
          <w:color w:val="auto"/>
          <w:spacing w:val="0"/>
          <w:kern w:val="2"/>
          <w:sz w:val="32"/>
          <w:szCs w:val="32"/>
          <w:highlight w:val="none"/>
          <w:lang w:val="en-US" w:eastAsia="zh-CN"/>
        </w:rPr>
        <w:t>如需变更许可范围的</w:t>
      </w:r>
      <w:r>
        <w:rPr>
          <w:rFonts w:hint="default" w:ascii="Times New Roman" w:hAnsi="Times New Roman" w:eastAsia="方正仿宋_GBK" w:cs="Times New Roman"/>
          <w:color w:val="auto"/>
          <w:spacing w:val="0"/>
          <w:sz w:val="32"/>
          <w:szCs w:val="32"/>
          <w:highlight w:val="none"/>
        </w:rPr>
        <w:t>，</w:t>
      </w:r>
      <w:r>
        <w:rPr>
          <w:rFonts w:hint="default" w:ascii="Times New Roman" w:hAnsi="Times New Roman" w:eastAsia="方正仿宋_GBK" w:cs="Times New Roman"/>
          <w:spacing w:val="0"/>
          <w:sz w:val="32"/>
          <w:szCs w:val="32"/>
        </w:rPr>
        <w:t>必须满足本规划及《云南省电子烟零售点布局规划》相关条件并按照有关规定办理。</w:t>
      </w:r>
    </w:p>
    <w:p w14:paraId="1D0AF517">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jc w:val="center"/>
        <w:textAlignment w:val="baseline"/>
        <w:outlineLvl w:val="0"/>
        <w:rPr>
          <w:rFonts w:hint="default" w:ascii="方正黑体_GBK" w:hAnsi="方正黑体_GBK" w:eastAsia="方正黑体_GBK" w:cs="方正黑体_GBK"/>
          <w:spacing w:val="7"/>
          <w:sz w:val="32"/>
          <w:szCs w:val="32"/>
          <w:lang w:eastAsia="zh-CN"/>
        </w:rPr>
      </w:pPr>
      <w:r>
        <w:rPr>
          <w:rFonts w:hint="default" w:ascii="方正黑体_GBK" w:hAnsi="方正黑体_GBK" w:eastAsia="方正黑体_GBK" w:cs="方正黑体_GBK"/>
          <w:spacing w:val="7"/>
          <w:sz w:val="32"/>
          <w:szCs w:val="32"/>
          <w:lang w:eastAsia="zh-CN"/>
        </w:rPr>
        <w:t>第</w:t>
      </w:r>
      <w:r>
        <w:rPr>
          <w:rFonts w:hint="default" w:ascii="方正黑体_GBK" w:hAnsi="方正黑体_GBK" w:eastAsia="方正黑体_GBK" w:cs="方正黑体_GBK"/>
          <w:spacing w:val="7"/>
          <w:sz w:val="32"/>
          <w:szCs w:val="32"/>
          <w:lang w:val="en-US" w:eastAsia="zh-CN"/>
        </w:rPr>
        <w:t>四</w:t>
      </w:r>
      <w:r>
        <w:rPr>
          <w:rFonts w:hint="default" w:ascii="方正黑体_GBK" w:hAnsi="方正黑体_GBK" w:eastAsia="方正黑体_GBK" w:cs="方正黑体_GBK"/>
          <w:spacing w:val="7"/>
          <w:sz w:val="32"/>
          <w:szCs w:val="32"/>
          <w:lang w:eastAsia="zh-CN"/>
        </w:rPr>
        <w:t xml:space="preserve">章 </w:t>
      </w:r>
      <w:r>
        <w:rPr>
          <w:rFonts w:hint="default" w:ascii="方正黑体_GBK" w:hAnsi="方正黑体_GBK" w:eastAsia="方正黑体_GBK" w:cs="方正黑体_GBK"/>
          <w:spacing w:val="7"/>
          <w:sz w:val="32"/>
          <w:szCs w:val="32"/>
          <w:lang w:val="en-US" w:eastAsia="zh-CN"/>
        </w:rPr>
        <w:t>放宽及限制情形</w:t>
      </w:r>
    </w:p>
    <w:p w14:paraId="22609470">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第十</w:t>
      </w:r>
      <w:r>
        <w:rPr>
          <w:rFonts w:hint="default" w:ascii="Times New Roman" w:hAnsi="Times New Roman" w:eastAsia="方正仿宋_GBK" w:cs="Times New Roman"/>
          <w:b/>
          <w:bCs/>
          <w:spacing w:val="0"/>
          <w:sz w:val="32"/>
          <w:szCs w:val="32"/>
          <w:lang w:val="en-US" w:eastAsia="zh-CN"/>
        </w:rPr>
        <w:t>五</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具有下列情形之一的，不予发放烟草专卖零售许可证：</w:t>
      </w:r>
    </w:p>
    <w:p w14:paraId="5385150B">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（一）申请人是限制民事行为能力人或无民事行为能力人的；</w:t>
      </w:r>
    </w:p>
    <w:p w14:paraId="1408DB69">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（二）申请人隐瞒有关情况或提供虚假材料的；因隐瞒有关情况或者提供虚假材料，烟草专卖局作出不予受理或者不予发证决定后，申请人一年内再次提出申请的</w:t>
      </w:r>
      <w:r>
        <w:rPr>
          <w:rFonts w:hint="default" w:ascii="Times New Roman" w:hAnsi="Times New Roman" w:eastAsia="方正仿宋_GBK" w:cs="Times New Roman"/>
          <w:spacing w:val="0"/>
          <w:sz w:val="32"/>
          <w:szCs w:val="32"/>
          <w:lang w:eastAsia="zh-CN"/>
        </w:rPr>
        <w:t>；</w:t>
      </w:r>
    </w:p>
    <w:p w14:paraId="1208A2B1">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r>
        <w:rPr>
          <w:rFonts w:hint="default" w:ascii="Times New Roman" w:hAnsi="Times New Roman" w:eastAsia="方正仿宋_GBK" w:cs="Times New Roman"/>
          <w:spacing w:val="0"/>
          <w:sz w:val="32"/>
          <w:szCs w:val="32"/>
          <w:lang w:eastAsia="zh-CN"/>
        </w:rPr>
        <w:t>；</w:t>
      </w:r>
    </w:p>
    <w:p w14:paraId="369E1BF6">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（四）外商投资的商业企业或者个体工商户，但有外资成分以提供住宿、餐饮、休闲、娱乐为主要经营的宾馆、酒店等属于娱乐服务类的企业除外</w:t>
      </w:r>
      <w:r>
        <w:rPr>
          <w:rFonts w:hint="default" w:ascii="Times New Roman" w:hAnsi="Times New Roman" w:eastAsia="方正仿宋_GBK" w:cs="Times New Roman"/>
          <w:spacing w:val="0"/>
          <w:sz w:val="32"/>
          <w:szCs w:val="32"/>
          <w:lang w:eastAsia="zh-CN"/>
        </w:rPr>
        <w:t>；</w:t>
      </w:r>
    </w:p>
    <w:p w14:paraId="34F19A59">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（五）无固定经营场所的：包括但不限于流动的摊、点、车、棚、简易板房、活动板房、临时占道的建筑等；</w:t>
      </w:r>
    </w:p>
    <w:p w14:paraId="54344749">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（六）经营场所与住所不相独立的：包括但不限于经营场所为住所的客厅、餐厅、卧室、阳台、地下室、车库、储藏室等或居民楼内公用道、楼梯间等；</w:t>
      </w:r>
    </w:p>
    <w:p w14:paraId="1102D9CD">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（七）经营场所已经办理了仍在有效期内的烟草专卖零售许可证的；经营场所位于党政机关内部的；经营场所基于安全因素不适宜经营卷烟的；</w:t>
      </w:r>
    </w:p>
    <w:p w14:paraId="0464A4FA">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（八）易门县辖区内中小学、幼儿园学生正常出入的校门</w:t>
      </w:r>
    </w:p>
    <w:p w14:paraId="4DE39494">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口（含通道）50米以内；</w:t>
      </w:r>
    </w:p>
    <w:p w14:paraId="2964948A">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（九）利用自动售货机或者其他自动售货形式，销售或者变相销售烟草制品的，或者通过信息网络销售烟草专卖品的</w:t>
      </w:r>
      <w:r>
        <w:rPr>
          <w:rFonts w:hint="default" w:ascii="Times New Roman" w:hAnsi="Times New Roman" w:eastAsia="方正仿宋_GBK" w:cs="Times New Roman"/>
          <w:spacing w:val="0"/>
          <w:sz w:val="32"/>
          <w:szCs w:val="32"/>
          <w:lang w:eastAsia="zh-CN"/>
        </w:rPr>
        <w:t>；</w:t>
      </w:r>
    </w:p>
    <w:p w14:paraId="26DC68F7">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（十）经营业态存在容易诱导未成年人关注、购买、吸食卷烟或其他不利于未成年人保护的；经营业态专业性较强，且与烟草制品零售业务没有直接或间接互补营销关系的；</w:t>
      </w:r>
    </w:p>
    <w:p w14:paraId="1E098066">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（十一）法律、法规、规章、规范性文件等规定的其他不予许可的情形。</w:t>
      </w:r>
    </w:p>
    <w:p w14:paraId="7AFFA492">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第十</w:t>
      </w:r>
      <w:r>
        <w:rPr>
          <w:rFonts w:hint="default" w:ascii="Times New Roman" w:hAnsi="Times New Roman" w:eastAsia="方正仿宋_GBK" w:cs="Times New Roman"/>
          <w:b/>
          <w:bCs/>
          <w:spacing w:val="0"/>
          <w:sz w:val="32"/>
          <w:szCs w:val="32"/>
          <w:lang w:val="en-US" w:eastAsia="zh-CN"/>
        </w:rPr>
        <w:t>六</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优抚对象、社会弱势群体等特殊群体申请零售许可证的，受所在单元网格规划数限制，零售点间距可放宽至本单元网格间距标准的80%执行。本规定政策，同一特殊群体申请人在云南省内仅适用一次。</w:t>
      </w:r>
    </w:p>
    <w:p w14:paraId="032486CE">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1.烈士家属、因公牺牲军人家属；见义勇为牺牲人员家属。（本条中的家属包括父母、子女、配偶。）</w:t>
      </w:r>
    </w:p>
    <w:p w14:paraId="300A53C7">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2.符合以下条件之一，具有从事烟草专卖零售经营业务相应能力，且具有完全民事行为能力的残疾人：</w:t>
      </w:r>
    </w:p>
    <w:p w14:paraId="2AF4EB58">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视力残疾：一级盲、二级盲；</w:t>
      </w:r>
    </w:p>
    <w:p w14:paraId="0A8B43B0">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听力残疾：一级、二级；言语残疾：一级、二级；</w:t>
      </w:r>
    </w:p>
    <w:p w14:paraId="62743625">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肢体残疾：重度（一级）、中度（二级）。</w:t>
      </w:r>
    </w:p>
    <w:p w14:paraId="5B71C68B">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3.国家明文给予政策扶持，确实具有需要扶持照顾的其他特殊情况的优抚对象，经属地烟草专卖局集体研究并向上级烟草专卖局报备，可以放宽办证条件。</w:t>
      </w:r>
    </w:p>
    <w:p w14:paraId="6DB50784">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申请人应提交合法有效的证明文件。</w:t>
      </w:r>
    </w:p>
    <w:p w14:paraId="63E7D469">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第十</w:t>
      </w:r>
      <w:r>
        <w:rPr>
          <w:rFonts w:hint="default" w:ascii="Times New Roman" w:hAnsi="Times New Roman" w:eastAsia="方正仿宋_GBK" w:cs="Times New Roman"/>
          <w:b/>
          <w:bCs/>
          <w:spacing w:val="0"/>
          <w:sz w:val="32"/>
          <w:szCs w:val="32"/>
          <w:lang w:val="en-US" w:eastAsia="zh-CN"/>
        </w:rPr>
        <w:t>七</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因道路规划、城市建设等客观原因，造成持证人无法在原核定地址经营之日起三十日内，持证人申请变更到本单元网格内新址经营的，不受所在单元网格规划数限制，零售点间距可放宽至本单元网格间距标准的40%执行。</w:t>
      </w:r>
    </w:p>
    <w:p w14:paraId="2E1FACFE">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申请变更到本县其他单元网格的，受所在单元网格规划数限制，零售点间距可放宽至本单元网格间距标准的80%执行。</w:t>
      </w:r>
    </w:p>
    <w:p w14:paraId="514339BA">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第十</w:t>
      </w:r>
      <w:r>
        <w:rPr>
          <w:rFonts w:hint="default" w:ascii="Times New Roman" w:hAnsi="Times New Roman" w:eastAsia="方正仿宋_GBK" w:cs="Times New Roman"/>
          <w:b/>
          <w:bCs/>
          <w:spacing w:val="0"/>
          <w:sz w:val="32"/>
          <w:szCs w:val="32"/>
          <w:lang w:val="en-US" w:eastAsia="zh-CN"/>
        </w:rPr>
        <w:t>八</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因中小学及幼儿园新建、改扩建等客观原因，造成持证人无法在原核定地址经营之日起三十日内，持证人申请歇业并在原单元网格内新址申请新办的，不受所在单元网格规划数限制，零售点间距可放宽至本单元网格间距标准的40%执行。</w:t>
      </w:r>
    </w:p>
    <w:p w14:paraId="2B546711">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在本县其他单元网格申请新办的，受所在单元网格规划数限制，间距标准可放宽至本单元网格间距标准的80%执行。</w:t>
      </w:r>
    </w:p>
    <w:p w14:paraId="45747F4B">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jc w:val="center"/>
        <w:textAlignment w:val="baseline"/>
        <w:outlineLvl w:val="0"/>
        <w:rPr>
          <w:rFonts w:hint="default" w:ascii="方正黑体_GBK" w:hAnsi="方正黑体_GBK" w:eastAsia="方正黑体_GBK" w:cs="方正黑体_GBK"/>
          <w:spacing w:val="7"/>
          <w:sz w:val="32"/>
          <w:szCs w:val="32"/>
        </w:rPr>
      </w:pPr>
      <w:r>
        <w:rPr>
          <w:rFonts w:hint="default" w:ascii="方正黑体_GBK" w:hAnsi="方正黑体_GBK" w:eastAsia="方正黑体_GBK" w:cs="方正黑体_GBK"/>
          <w:spacing w:val="7"/>
          <w:sz w:val="32"/>
          <w:szCs w:val="32"/>
        </w:rPr>
        <w:t>第</w:t>
      </w:r>
      <w:r>
        <w:rPr>
          <w:rFonts w:hint="default" w:ascii="方正黑体_GBK" w:hAnsi="方正黑体_GBK" w:eastAsia="方正黑体_GBK" w:cs="方正黑体_GBK"/>
          <w:spacing w:val="7"/>
          <w:sz w:val="32"/>
          <w:szCs w:val="32"/>
          <w:lang w:val="en-US" w:eastAsia="zh-CN"/>
        </w:rPr>
        <w:t>五</w:t>
      </w:r>
      <w:r>
        <w:rPr>
          <w:rFonts w:hint="default" w:ascii="方正黑体_GBK" w:hAnsi="方正黑体_GBK" w:eastAsia="方正黑体_GBK" w:cs="方正黑体_GBK"/>
          <w:spacing w:val="7"/>
          <w:sz w:val="32"/>
          <w:szCs w:val="32"/>
        </w:rPr>
        <w:t>章</w:t>
      </w:r>
      <w:r>
        <w:rPr>
          <w:rFonts w:hint="default" w:ascii="方正黑体_GBK" w:hAnsi="方正黑体_GBK" w:eastAsia="方正黑体_GBK" w:cs="方正黑体_GBK"/>
          <w:spacing w:val="7"/>
          <w:sz w:val="32"/>
          <w:szCs w:val="32"/>
          <w:lang w:val="en-US" w:eastAsia="zh-CN"/>
        </w:rPr>
        <w:t xml:space="preserve"> </w:t>
      </w:r>
      <w:r>
        <w:rPr>
          <w:rFonts w:hint="default" w:ascii="方正黑体_GBK" w:hAnsi="方正黑体_GBK" w:eastAsia="方正黑体_GBK" w:cs="方正黑体_GBK"/>
          <w:spacing w:val="7"/>
          <w:sz w:val="32"/>
          <w:szCs w:val="32"/>
        </w:rPr>
        <w:t>附则</w:t>
      </w:r>
    </w:p>
    <w:p w14:paraId="0B8819D5">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第十</w:t>
      </w:r>
      <w:r>
        <w:rPr>
          <w:rFonts w:hint="default" w:ascii="Times New Roman" w:hAnsi="Times New Roman" w:eastAsia="方正仿宋_GBK" w:cs="Times New Roman"/>
          <w:b/>
          <w:bCs/>
          <w:spacing w:val="0"/>
          <w:sz w:val="32"/>
          <w:szCs w:val="32"/>
          <w:lang w:val="en-US" w:eastAsia="zh-CN"/>
        </w:rPr>
        <w:t>九</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本规划实施后，如遇相关法律、法规、规章及规范性文件调整的，根据最新规定进行调整，及时报相关部门备案后公布实施。</w:t>
      </w:r>
    </w:p>
    <w:p w14:paraId="7B601828">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lang w:val="en-US"/>
        </w:rPr>
      </w:pPr>
      <w:r>
        <w:rPr>
          <w:rFonts w:hint="default" w:ascii="Times New Roman" w:hAnsi="Times New Roman" w:eastAsia="方正仿宋_GBK" w:cs="Times New Roman"/>
          <w:b/>
          <w:bCs/>
          <w:spacing w:val="0"/>
          <w:sz w:val="32"/>
          <w:szCs w:val="32"/>
        </w:rPr>
        <w:t>第</w:t>
      </w:r>
      <w:r>
        <w:rPr>
          <w:rFonts w:hint="default" w:ascii="Times New Roman" w:hAnsi="Times New Roman" w:eastAsia="方正仿宋_GBK" w:cs="Times New Roman"/>
          <w:b/>
          <w:bCs/>
          <w:spacing w:val="0"/>
          <w:sz w:val="32"/>
          <w:szCs w:val="32"/>
          <w:lang w:val="en-US" w:eastAsia="zh-CN"/>
        </w:rPr>
        <w:t>二十</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本县零售点合理布局实行定期评价、动态管理。每季度根据本地经济发展、城乡建设、市场形势等变化情况进行调整并公示后实施。</w:t>
      </w:r>
      <w:r>
        <w:rPr>
          <w:rFonts w:hint="default" w:ascii="Times New Roman" w:hAnsi="Times New Roman" w:eastAsia="方正仿宋_GBK" w:cs="Times New Roman"/>
          <w:spacing w:val="0"/>
          <w:sz w:val="32"/>
          <w:szCs w:val="32"/>
          <w:lang w:val="en-US" w:eastAsia="zh-CN"/>
        </w:rPr>
        <w:t>动态调整规则详见《</w:t>
      </w:r>
      <w:r>
        <w:rPr>
          <w:rFonts w:hint="default" w:ascii="Times New Roman" w:hAnsi="Times New Roman" w:eastAsia="方正仿宋_GBK" w:cs="Times New Roman"/>
          <w:spacing w:val="0"/>
          <w:sz w:val="32"/>
          <w:szCs w:val="32"/>
        </w:rPr>
        <w:t>云南省易门县烟草制品零售点合理布局规划数动态调整管理制度</w:t>
      </w:r>
      <w:r>
        <w:rPr>
          <w:rFonts w:hint="default" w:ascii="Times New Roman" w:hAnsi="Times New Roman" w:eastAsia="方正仿宋_GBK" w:cs="Times New Roman"/>
          <w:spacing w:val="0"/>
          <w:sz w:val="32"/>
          <w:szCs w:val="32"/>
          <w:lang w:val="en-US" w:eastAsia="zh-CN"/>
        </w:rPr>
        <w:t>》（附件5）。</w:t>
      </w:r>
    </w:p>
    <w:p w14:paraId="36F7EF2A">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w:t>
      </w:r>
      <w:r>
        <w:rPr>
          <w:rFonts w:hint="default" w:ascii="Times New Roman" w:hAnsi="Times New Roman" w:eastAsia="方正仿宋_GBK" w:cs="Times New Roman"/>
          <w:b/>
          <w:bCs/>
          <w:spacing w:val="0"/>
          <w:sz w:val="32"/>
          <w:szCs w:val="32"/>
          <w:lang w:val="en-US" w:eastAsia="zh-CN"/>
        </w:rPr>
        <w:t>二十一</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对暂不符合本布局规划条件的申请人，实行排队轮候制度。排队轮候制度详见《云南省易门县烟草制品零售点排队轮候制度》（附件</w:t>
      </w:r>
      <w:r>
        <w:rPr>
          <w:rFonts w:hint="default" w:ascii="Times New Roman" w:hAnsi="Times New Roman" w:eastAsia="方正仿宋_GBK" w:cs="Times New Roman"/>
          <w:spacing w:val="0"/>
          <w:sz w:val="32"/>
          <w:szCs w:val="32"/>
          <w:lang w:val="en-US" w:eastAsia="zh-CN"/>
        </w:rPr>
        <w:t>6</w:t>
      </w:r>
      <w:r>
        <w:rPr>
          <w:rFonts w:hint="default" w:ascii="Times New Roman" w:hAnsi="Times New Roman" w:eastAsia="方正仿宋_GBK" w:cs="Times New Roman"/>
          <w:spacing w:val="0"/>
          <w:sz w:val="32"/>
          <w:szCs w:val="32"/>
        </w:rPr>
        <w:t>）。</w:t>
      </w:r>
    </w:p>
    <w:p w14:paraId="232ACB0A">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符合第十</w:t>
      </w:r>
      <w:r>
        <w:rPr>
          <w:rFonts w:hint="default" w:ascii="Times New Roman" w:hAnsi="Times New Roman" w:eastAsia="方正仿宋_GBK" w:cs="Times New Roman"/>
          <w:spacing w:val="0"/>
          <w:sz w:val="32"/>
          <w:szCs w:val="32"/>
          <w:lang w:val="en-US" w:eastAsia="zh-CN"/>
        </w:rPr>
        <w:t>七</w:t>
      </w:r>
      <w:r>
        <w:rPr>
          <w:rFonts w:hint="default" w:ascii="Times New Roman" w:hAnsi="Times New Roman" w:eastAsia="方正仿宋_GBK" w:cs="Times New Roman"/>
          <w:spacing w:val="0"/>
          <w:sz w:val="32"/>
          <w:szCs w:val="32"/>
        </w:rPr>
        <w:t>条、第十</w:t>
      </w:r>
      <w:r>
        <w:rPr>
          <w:rFonts w:hint="default" w:ascii="Times New Roman" w:hAnsi="Times New Roman" w:eastAsia="方正仿宋_GBK" w:cs="Times New Roman"/>
          <w:spacing w:val="0"/>
          <w:sz w:val="32"/>
          <w:szCs w:val="32"/>
          <w:lang w:val="en-US" w:eastAsia="zh-CN"/>
        </w:rPr>
        <w:t>八</w:t>
      </w:r>
      <w:r>
        <w:rPr>
          <w:rFonts w:hint="default" w:ascii="Times New Roman" w:hAnsi="Times New Roman" w:eastAsia="方正仿宋_GBK" w:cs="Times New Roman"/>
          <w:spacing w:val="0"/>
          <w:sz w:val="32"/>
          <w:szCs w:val="32"/>
        </w:rPr>
        <w:t>条情形且不受单元网格规划数限制的，申请人不实行排队轮候制度。</w:t>
      </w:r>
    </w:p>
    <w:p w14:paraId="63740E8D">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w:t>
      </w:r>
      <w:r>
        <w:rPr>
          <w:rFonts w:hint="default" w:ascii="Times New Roman" w:hAnsi="Times New Roman" w:eastAsia="方正仿宋_GBK" w:cs="Times New Roman"/>
          <w:b/>
          <w:bCs/>
          <w:spacing w:val="0"/>
          <w:sz w:val="32"/>
          <w:szCs w:val="32"/>
          <w:lang w:val="en-US" w:eastAsia="zh-CN"/>
        </w:rPr>
        <w:t>二十二</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本规划中所称“中小学校”是指普通中小学校、特殊教育学校、中等职业学校、专门学校等。“幼儿园”是指经教育行政主管部门依法批准的公办和民办全日制、寄宿制、半日制幼儿园及小学附设的学前班、幼儿班等。各类培训教育机构、托管班、早教班等除外。</w:t>
      </w:r>
    </w:p>
    <w:p w14:paraId="5FAAECE0">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w:t>
      </w:r>
      <w:r>
        <w:rPr>
          <w:rFonts w:hint="default" w:ascii="Times New Roman" w:hAnsi="Times New Roman" w:eastAsia="方正仿宋_GBK" w:cs="Times New Roman"/>
          <w:b/>
          <w:bCs/>
          <w:spacing w:val="0"/>
          <w:sz w:val="32"/>
          <w:szCs w:val="32"/>
          <w:lang w:val="en-US" w:eastAsia="zh-CN"/>
        </w:rPr>
        <w:t>二十三</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本规划中“以上”“不低于”“不超过”“以内”等，如无特殊说明均包括本数。</w:t>
      </w:r>
    </w:p>
    <w:p w14:paraId="6A3E91BB">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第二十</w:t>
      </w:r>
      <w:r>
        <w:rPr>
          <w:rFonts w:hint="default" w:ascii="Times New Roman" w:hAnsi="Times New Roman" w:eastAsia="方正仿宋_GBK" w:cs="Times New Roman"/>
          <w:b/>
          <w:bCs/>
          <w:spacing w:val="0"/>
          <w:sz w:val="32"/>
          <w:szCs w:val="32"/>
          <w:lang w:val="en-US" w:eastAsia="zh-CN"/>
        </w:rPr>
        <w:t>四</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本规划中按照年、月、日计算期间的，开始的当日不计入，自下一日开始计算。均以工作日计算，不含法定节假日。</w:t>
      </w:r>
    </w:p>
    <w:p w14:paraId="7FC2063D">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第二十</w:t>
      </w:r>
      <w:r>
        <w:rPr>
          <w:rFonts w:hint="default" w:ascii="Times New Roman" w:hAnsi="Times New Roman" w:eastAsia="方正仿宋_GBK" w:cs="Times New Roman"/>
          <w:b/>
          <w:bCs/>
          <w:spacing w:val="0"/>
          <w:sz w:val="32"/>
          <w:szCs w:val="32"/>
          <w:lang w:val="en-US" w:eastAsia="zh-CN"/>
        </w:rPr>
        <w:t>五</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本规划由云南省易门县烟草专卖局负责解释。</w:t>
      </w:r>
    </w:p>
    <w:p w14:paraId="5B626E0C">
      <w:pPr>
        <w:keepNext w:val="0"/>
        <w:keepLines w:val="0"/>
        <w:pageBreakBefore w:val="0"/>
        <w:widowControl w:val="0"/>
        <w:kinsoku/>
        <w:wordWrap/>
        <w:overflowPunct/>
        <w:topLinePunct w:val="0"/>
        <w:autoSpaceDE w:val="0"/>
        <w:autoSpaceDN w:val="0"/>
        <w:bidi w:val="0"/>
        <w:adjustRightInd w:val="0"/>
        <w:snapToGrid w:val="0"/>
        <w:spacing w:line="570" w:lineRule="exact"/>
        <w:ind w:left="0" w:right="0" w:firstLine="643"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b/>
          <w:bCs/>
          <w:spacing w:val="0"/>
          <w:sz w:val="32"/>
          <w:szCs w:val="32"/>
        </w:rPr>
        <w:t>第二十</w:t>
      </w:r>
      <w:r>
        <w:rPr>
          <w:rFonts w:hint="default" w:ascii="Times New Roman" w:hAnsi="Times New Roman" w:eastAsia="方正仿宋_GBK" w:cs="Times New Roman"/>
          <w:b/>
          <w:bCs/>
          <w:spacing w:val="0"/>
          <w:sz w:val="32"/>
          <w:szCs w:val="32"/>
          <w:lang w:val="en-US" w:eastAsia="zh-CN"/>
        </w:rPr>
        <w:t>六</w:t>
      </w:r>
      <w:r>
        <w:rPr>
          <w:rFonts w:hint="default" w:ascii="Times New Roman" w:hAnsi="Times New Roman" w:eastAsia="方正仿宋_GBK" w:cs="Times New Roman"/>
          <w:b/>
          <w:bCs/>
          <w:spacing w:val="0"/>
          <w:sz w:val="32"/>
          <w:szCs w:val="32"/>
        </w:rPr>
        <w:t>条</w:t>
      </w:r>
      <w:r>
        <w:rPr>
          <w:rFonts w:hint="default" w:ascii="Times New Roman" w:hAnsi="Times New Roman" w:eastAsia="方正仿宋_GBK" w:cs="Times New Roman"/>
          <w:b/>
          <w:bCs/>
          <w:spacing w:val="0"/>
          <w:sz w:val="32"/>
          <w:szCs w:val="32"/>
          <w:lang w:val="en-US" w:eastAsia="zh-CN"/>
        </w:rPr>
        <w:t xml:space="preserve">  </w:t>
      </w:r>
      <w:r>
        <w:rPr>
          <w:rFonts w:hint="default" w:ascii="Times New Roman" w:hAnsi="Times New Roman" w:eastAsia="方正仿宋_GBK" w:cs="Times New Roman"/>
          <w:spacing w:val="0"/>
          <w:sz w:val="32"/>
          <w:szCs w:val="32"/>
        </w:rPr>
        <w:t>本规划</w:t>
      </w:r>
      <w:r>
        <w:rPr>
          <w:rFonts w:hint="default" w:ascii="Times New Roman" w:hAnsi="Times New Roman" w:eastAsia="方正仿宋_GBK" w:cs="Times New Roman"/>
          <w:spacing w:val="0"/>
          <w:sz w:val="32"/>
          <w:szCs w:val="32"/>
          <w:lang w:val="en-US" w:eastAsia="zh-CN"/>
        </w:rPr>
        <w:t>自2025年11月1日</w:t>
      </w:r>
      <w:r>
        <w:rPr>
          <w:rFonts w:hint="default" w:ascii="Times New Roman" w:hAnsi="Times New Roman" w:eastAsia="方正仿宋_GBK" w:cs="Times New Roman"/>
          <w:spacing w:val="0"/>
          <w:sz w:val="32"/>
          <w:szCs w:val="32"/>
        </w:rPr>
        <w:t>施行。202</w:t>
      </w:r>
      <w:r>
        <w:rPr>
          <w:rFonts w:hint="default" w:ascii="Times New Roman" w:hAnsi="Times New Roman" w:eastAsia="方正仿宋_GBK" w:cs="Times New Roman"/>
          <w:spacing w:val="0"/>
          <w:sz w:val="32"/>
          <w:szCs w:val="32"/>
          <w:lang w:val="en-US" w:eastAsia="zh-CN"/>
        </w:rPr>
        <w:t>4</w:t>
      </w:r>
      <w:r>
        <w:rPr>
          <w:rFonts w:hint="default" w:ascii="Times New Roman" w:hAnsi="Times New Roman" w:eastAsia="方正仿宋_GBK" w:cs="Times New Roman"/>
          <w:spacing w:val="0"/>
          <w:sz w:val="32"/>
          <w:szCs w:val="32"/>
        </w:rPr>
        <w:t>年</w:t>
      </w:r>
      <w:r>
        <w:rPr>
          <w:rFonts w:hint="default" w:ascii="Times New Roman" w:hAnsi="Times New Roman" w:eastAsia="方正仿宋_GBK" w:cs="Times New Roman"/>
          <w:spacing w:val="0"/>
          <w:sz w:val="32"/>
          <w:szCs w:val="32"/>
          <w:lang w:val="en-US" w:eastAsia="zh-CN"/>
        </w:rPr>
        <w:t>12</w:t>
      </w:r>
      <w:r>
        <w:rPr>
          <w:rFonts w:hint="default" w:ascii="Times New Roman" w:hAnsi="Times New Roman" w:eastAsia="方正仿宋_GBK" w:cs="Times New Roman"/>
          <w:spacing w:val="0"/>
          <w:sz w:val="32"/>
          <w:szCs w:val="32"/>
        </w:rPr>
        <w:t>月</w:t>
      </w:r>
      <w:r>
        <w:rPr>
          <w:rFonts w:hint="default" w:ascii="Times New Roman" w:hAnsi="Times New Roman" w:eastAsia="方正仿宋_GBK" w:cs="Times New Roman"/>
          <w:spacing w:val="0"/>
          <w:sz w:val="32"/>
          <w:szCs w:val="32"/>
          <w:lang w:val="en-US" w:eastAsia="zh-CN"/>
        </w:rPr>
        <w:t>30</w:t>
      </w:r>
      <w:r>
        <w:rPr>
          <w:rFonts w:hint="default" w:ascii="Times New Roman" w:hAnsi="Times New Roman" w:eastAsia="方正仿宋_GBK" w:cs="Times New Roman"/>
          <w:spacing w:val="0"/>
          <w:sz w:val="32"/>
          <w:szCs w:val="32"/>
        </w:rPr>
        <w:t>日起实施的《云南省易门县烟草制品零售点合理布局规定》（易烟专〔2024〕14号）同时废止。</w:t>
      </w:r>
    </w:p>
    <w:p w14:paraId="648428D6">
      <w:pPr>
        <w:pStyle w:val="2"/>
        <w:keepNext w:val="0"/>
        <w:keepLines w:val="0"/>
        <w:pageBreakBefore w:val="0"/>
        <w:widowControl w:val="0"/>
        <w:kinsoku w:val="0"/>
        <w:wordWrap/>
        <w:overflowPunct/>
        <w:topLinePunct w:val="0"/>
        <w:autoSpaceDE w:val="0"/>
        <w:autoSpaceDN w:val="0"/>
        <w:bidi w:val="0"/>
        <w:adjustRightInd w:val="0"/>
        <w:snapToGrid w:val="0"/>
        <w:spacing w:line="314" w:lineRule="auto"/>
        <w:jc w:val="both"/>
        <w:textAlignment w:val="baseline"/>
        <w:rPr>
          <w:rFonts w:hint="default" w:ascii="Times New Roman" w:hAnsi="Times New Roman" w:eastAsia="方正仿宋_GBK" w:cs="Times New Roman"/>
          <w:sz w:val="32"/>
          <w:szCs w:val="32"/>
        </w:rPr>
      </w:pPr>
    </w:p>
    <w:p w14:paraId="700ABB55">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附件：1.云南省易门县</w:t>
      </w:r>
      <w:r>
        <w:rPr>
          <w:rFonts w:hint="default" w:ascii="Times New Roman" w:hAnsi="Times New Roman" w:eastAsia="方正仿宋_GBK" w:cs="Times New Roman"/>
          <w:spacing w:val="-11"/>
          <w:sz w:val="32"/>
          <w:szCs w:val="32"/>
        </w:rPr>
        <w:t>烟草制品零售点间距测量规则及标准</w:t>
      </w:r>
    </w:p>
    <w:p w14:paraId="714C519C">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600" w:firstLineChars="5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2.云南省易门县烟草制品零售点合理布局公示表</w:t>
      </w:r>
    </w:p>
    <w:p w14:paraId="5D6A4ED5">
      <w:pPr>
        <w:keepNext w:val="0"/>
        <w:keepLines w:val="0"/>
        <w:pageBreakBefore w:val="0"/>
        <w:widowControl w:val="0"/>
        <w:kinsoku w:val="0"/>
        <w:wordWrap/>
        <w:overflowPunct/>
        <w:topLinePunct w:val="0"/>
        <w:autoSpaceDE w:val="0"/>
        <w:autoSpaceDN w:val="0"/>
        <w:bidi w:val="0"/>
        <w:adjustRightInd w:val="0"/>
        <w:snapToGrid w:val="0"/>
        <w:spacing w:line="560" w:lineRule="exact"/>
        <w:ind w:left="1863" w:leftChars="735" w:right="0" w:hanging="320" w:hangingChars="1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3.云南省易门县烟草制品零售点合理布局规划网格示意图</w:t>
      </w:r>
    </w:p>
    <w:p w14:paraId="0CC614F9">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600" w:firstLineChars="5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4.云南省易门县</w:t>
      </w:r>
      <w:r>
        <w:rPr>
          <w:rFonts w:hint="default" w:ascii="Times New Roman" w:hAnsi="Times New Roman" w:eastAsia="方正仿宋_GBK" w:cs="Times New Roman"/>
          <w:spacing w:val="-11"/>
          <w:sz w:val="32"/>
          <w:szCs w:val="32"/>
        </w:rPr>
        <w:t>雪茄烟专营店零售点合理布局公示表</w:t>
      </w:r>
    </w:p>
    <w:p w14:paraId="4D2547E3">
      <w:pPr>
        <w:keepNext w:val="0"/>
        <w:keepLines w:val="0"/>
        <w:pageBreakBefore w:val="0"/>
        <w:widowControl w:val="0"/>
        <w:kinsoku w:val="0"/>
        <w:wordWrap/>
        <w:overflowPunct/>
        <w:topLinePunct w:val="0"/>
        <w:autoSpaceDE w:val="0"/>
        <w:autoSpaceDN w:val="0"/>
        <w:bidi w:val="0"/>
        <w:adjustRightInd w:val="0"/>
        <w:snapToGrid w:val="0"/>
        <w:spacing w:line="560" w:lineRule="exact"/>
        <w:ind w:left="1863" w:leftChars="735" w:right="0" w:hanging="320" w:hangingChars="100"/>
        <w:jc w:val="both"/>
        <w:textAlignment w:val="baseline"/>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lang w:val="en-US" w:eastAsia="zh-CN"/>
        </w:rPr>
        <w:t>5.</w:t>
      </w:r>
      <w:r>
        <w:rPr>
          <w:rFonts w:hint="default" w:ascii="Times New Roman" w:hAnsi="Times New Roman" w:eastAsia="方正仿宋_GBK" w:cs="Times New Roman"/>
          <w:spacing w:val="0"/>
          <w:sz w:val="32"/>
          <w:szCs w:val="32"/>
        </w:rPr>
        <w:t>云南省易门县烟草制品零售点合理布局规划数动态调整管理制度</w:t>
      </w:r>
    </w:p>
    <w:p w14:paraId="5FCDAE65">
      <w:pPr>
        <w:keepNext w:val="0"/>
        <w:keepLines w:val="0"/>
        <w:pageBreakBefore w:val="0"/>
        <w:widowControl w:val="0"/>
        <w:kinsoku w:val="0"/>
        <w:wordWrap/>
        <w:overflowPunct/>
        <w:topLinePunct w:val="0"/>
        <w:autoSpaceDE w:val="0"/>
        <w:autoSpaceDN w:val="0"/>
        <w:bidi w:val="0"/>
        <w:adjustRightInd w:val="0"/>
        <w:snapToGrid w:val="0"/>
        <w:spacing w:line="560" w:lineRule="exact"/>
        <w:ind w:left="0" w:right="0" w:firstLine="1600" w:firstLineChars="500"/>
        <w:jc w:val="both"/>
        <w:textAlignment w:val="baseline"/>
        <w:rPr>
          <w:rFonts w:ascii="FangSong_GB2312" w:hAnsi="FangSong_GB2312" w:eastAsia="FangSong_GB2312" w:cs="FangSong_GB2312"/>
          <w:spacing w:val="0"/>
          <w:sz w:val="31"/>
          <w:szCs w:val="31"/>
        </w:rPr>
        <w:sectPr>
          <w:footerReference r:id="rId5" w:type="default"/>
          <w:pgSz w:w="11906" w:h="16838"/>
          <w:pgMar w:top="2041" w:right="1474" w:bottom="1304" w:left="1587" w:header="1361" w:footer="1191" w:gutter="0"/>
          <w:pgNumType w:fmt="decimal"/>
          <w:cols w:space="720" w:num="1"/>
        </w:sectPr>
      </w:pPr>
      <w:r>
        <w:rPr>
          <w:rFonts w:hint="default" w:ascii="Times New Roman" w:hAnsi="Times New Roman" w:eastAsia="方正仿宋_GBK" w:cs="Times New Roman"/>
          <w:spacing w:val="0"/>
          <w:sz w:val="32"/>
          <w:szCs w:val="32"/>
          <w:lang w:val="en-US" w:eastAsia="zh-CN"/>
        </w:rPr>
        <w:t>6</w:t>
      </w:r>
      <w:r>
        <w:rPr>
          <w:rFonts w:hint="default" w:ascii="Times New Roman" w:hAnsi="Times New Roman" w:eastAsia="方正仿宋_GBK" w:cs="Times New Roman"/>
          <w:spacing w:val="0"/>
          <w:sz w:val="32"/>
          <w:szCs w:val="32"/>
        </w:rPr>
        <w:t>.云南省易门县烟草制品零售点排队轮候制度</w:t>
      </w:r>
    </w:p>
    <w:p w14:paraId="060BE362">
      <w:pPr>
        <w:kinsoku/>
        <w:spacing w:before="101" w:line="336" w:lineRule="auto"/>
        <w:jc w:val="both"/>
        <w:rPr>
          <w:rFonts w:ascii="黑体" w:hAnsi="黑体" w:eastAsia="黑体" w:cs="黑体"/>
          <w:spacing w:val="10"/>
          <w:sz w:val="32"/>
          <w:szCs w:val="32"/>
          <w:lang w:eastAsia="zh-CN"/>
        </w:rPr>
      </w:pPr>
      <w:r>
        <w:rPr>
          <w:rFonts w:hint="eastAsia" w:ascii="黑体" w:hAnsi="黑体" w:eastAsia="黑体" w:cs="黑体"/>
          <w:spacing w:val="10"/>
          <w:sz w:val="32"/>
          <w:szCs w:val="32"/>
          <w:lang w:eastAsia="zh-CN"/>
        </w:rPr>
        <w:t>附件1</w:t>
      </w:r>
    </w:p>
    <w:p w14:paraId="65763BE5">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ascii="方正小标宋简体" w:eastAsia="方正小标宋简体"/>
          <w:sz w:val="44"/>
          <w:szCs w:val="44"/>
          <w:lang w:eastAsia="zh-CN"/>
        </w:rPr>
      </w:pPr>
      <w:r>
        <w:rPr>
          <w:rFonts w:hint="eastAsia" w:ascii="方正小标宋简体" w:eastAsia="方正小标宋简体"/>
          <w:sz w:val="44"/>
          <w:szCs w:val="44"/>
          <w:lang w:eastAsia="zh-CN"/>
        </w:rPr>
        <w:t>云南省易门县烟草制品零售点间距测量规则及标准</w:t>
      </w:r>
    </w:p>
    <w:p w14:paraId="03E4B5AF">
      <w:pPr>
        <w:rPr>
          <w:lang w:eastAsia="zh-CN"/>
        </w:rPr>
      </w:pPr>
    </w:p>
    <w:p w14:paraId="0D70BA0C">
      <w:pPr>
        <w:keepNext w:val="0"/>
        <w:keepLines w:val="0"/>
        <w:pageBreakBefore w:val="0"/>
        <w:widowControl/>
        <w:tabs>
          <w:tab w:val="left" w:pos="2723"/>
        </w:tabs>
        <w:kinsoku w:val="0"/>
        <w:wordWrap/>
        <w:overflowPunct/>
        <w:topLinePunct w:val="0"/>
        <w:autoSpaceDE w:val="0"/>
        <w:autoSpaceDN w:val="0"/>
        <w:bidi w:val="0"/>
        <w:adjustRightInd w:val="0"/>
        <w:snapToGrid w:val="0"/>
        <w:spacing w:line="560" w:lineRule="exact"/>
        <w:ind w:firstLine="680" w:firstLineChars="200"/>
        <w:textAlignment w:val="baseline"/>
        <w:rPr>
          <w:rFonts w:hint="eastAsia" w:ascii="仿宋_GB2312" w:hAnsi="仿宋_GB2312" w:eastAsia="仿宋_GB2312" w:cs="仿宋_GB2312"/>
          <w:spacing w:val="10"/>
          <w:sz w:val="32"/>
          <w:szCs w:val="32"/>
          <w:lang w:eastAsia="zh-CN"/>
        </w:rPr>
      </w:pPr>
    </w:p>
    <w:p w14:paraId="781AA6DB">
      <w:pPr>
        <w:tabs>
          <w:tab w:val="left" w:pos="2723"/>
        </w:tabs>
        <w:spacing w:before="86" w:line="336" w:lineRule="auto"/>
        <w:ind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根据云南省易门县辖区实际情况，现明确《云南省易门县烟草制品零售点合理布局规划》第七条中有关的“零售点间距”测量规则及标准如下：</w:t>
      </w:r>
    </w:p>
    <w:p w14:paraId="318006D0">
      <w:pPr>
        <w:spacing w:before="86" w:line="336" w:lineRule="auto"/>
        <w:ind w:firstLine="640" w:firstLineChars="200"/>
        <w:rPr>
          <w:rFonts w:ascii="黑体" w:hAnsi="黑体" w:eastAsia="黑体" w:cs="黑体"/>
          <w:sz w:val="32"/>
          <w:szCs w:val="32"/>
          <w:lang w:eastAsia="zh-CN"/>
        </w:rPr>
      </w:pPr>
      <w:r>
        <w:rPr>
          <w:rFonts w:hint="eastAsia" w:ascii="黑体" w:hAnsi="黑体" w:eastAsia="黑体" w:cs="黑体"/>
          <w:sz w:val="32"/>
          <w:szCs w:val="32"/>
          <w:lang w:eastAsia="zh-CN"/>
        </w:rPr>
        <w:t>一、测量规则</w:t>
      </w:r>
    </w:p>
    <w:p w14:paraId="179218BB">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（一）现场核查零售点间距的测量以“可安全步行最短距离”为总体原则，其他未穷尽列举的情形均参照本原则测量。</w:t>
      </w:r>
    </w:p>
    <w:p w14:paraId="5ACB7621">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（二）应当使用符合国家距离测量标准的测量工具。</w:t>
      </w:r>
    </w:p>
    <w:p w14:paraId="4A7FB2AB">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（三）“零售点间距”是指申请点与参照零售点（周边已设最近的零售点）之间按“门边到门边”原则进行测量。测量数据精确到小数点后一位，如“30.0米”或“100.0米”。</w:t>
      </w:r>
    </w:p>
    <w:p w14:paraId="1FF62C6E">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4213376D">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764224AA">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（六）政府有关部门在街道或道路中设置的行人隔离带（栏）、绿化带等视为障碍物，测量时应当按道路交通规则绕行。</w:t>
      </w:r>
    </w:p>
    <w:p w14:paraId="62858651">
      <w:pPr>
        <w:spacing w:line="336" w:lineRule="auto"/>
        <w:ind w:firstLine="640" w:firstLineChars="200"/>
        <w:rPr>
          <w:rFonts w:ascii="仿宋_GB2312" w:eastAsia="仿宋_GB2312"/>
          <w:sz w:val="32"/>
          <w:szCs w:val="32"/>
          <w:lang w:eastAsia="zh-CN"/>
        </w:rPr>
      </w:pPr>
      <w:r>
        <w:rPr>
          <w:rFonts w:hint="eastAsia" w:ascii="仿宋_GB2312" w:eastAsia="仿宋_GB2312"/>
          <w:sz w:val="32"/>
          <w:szCs w:val="32"/>
          <w:lang w:eastAsia="zh-CN"/>
        </w:rPr>
        <w:t>（七）不视为障碍物的情形：在通行道路上临时设置的安全设施；临时放置的建筑材料、物品、车辆等；擅自设立、建造的建筑物、构筑物或其他物体等；以及因施工影响通行的围挡设施。</w:t>
      </w:r>
    </w:p>
    <w:p w14:paraId="377EB54E">
      <w:pPr>
        <w:spacing w:before="86" w:line="336" w:lineRule="auto"/>
        <w:ind w:firstLine="640" w:firstLineChars="200"/>
        <w:rPr>
          <w:rFonts w:ascii="黑体" w:hAnsi="黑体" w:eastAsia="黑体" w:cs="黑体"/>
          <w:sz w:val="32"/>
          <w:szCs w:val="32"/>
          <w:lang w:eastAsia="zh-CN"/>
        </w:rPr>
      </w:pPr>
      <w:r>
        <w:rPr>
          <w:rFonts w:hint="eastAsia" w:ascii="黑体" w:hAnsi="黑体" w:eastAsia="黑体" w:cs="黑体"/>
          <w:sz w:val="32"/>
          <w:szCs w:val="32"/>
          <w:lang w:eastAsia="zh-CN"/>
        </w:rPr>
        <w:t>二、测量标准</w:t>
      </w:r>
    </w:p>
    <w:p w14:paraId="12FE500C">
      <w:pPr>
        <w:pStyle w:val="2"/>
        <w:spacing w:line="336" w:lineRule="auto"/>
        <w:ind w:right="2" w:firstLine="680" w:firstLineChars="200"/>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（一）店面同一侧无障碍物距离测量示意图，</w:t>
      </w:r>
      <w:r>
        <w:rPr>
          <w:rFonts w:hint="eastAsia" w:ascii="仿宋_GB2312" w:hAnsi="仿宋_GB2312" w:eastAsia="仿宋_GB2312" w:cs="仿宋_GB2312"/>
          <w:sz w:val="32"/>
          <w:szCs w:val="32"/>
          <w:lang w:eastAsia="zh-CN"/>
        </w:rPr>
        <w:t>申请点与参照零售点</w:t>
      </w:r>
      <w:r>
        <w:rPr>
          <w:rFonts w:hint="eastAsia" w:ascii="仿宋_GB2312" w:hAnsi="仿宋_GB2312" w:eastAsia="仿宋_GB2312" w:cs="仿宋_GB2312"/>
          <w:spacing w:val="10"/>
          <w:sz w:val="32"/>
          <w:szCs w:val="32"/>
          <w:lang w:eastAsia="zh-CN"/>
        </w:rPr>
        <w:t>间距。</w:t>
      </w:r>
      <w:r>
        <w:rPr>
          <w:rFonts w:hint="eastAsia" w:ascii="仿宋_GB2312" w:hAnsi="仿宋_GB2312" w:eastAsia="仿宋_GB2312" w:cs="仿宋_GB2312"/>
          <w:spacing w:val="10"/>
          <w:sz w:val="32"/>
          <w:szCs w:val="32"/>
        </w:rPr>
        <w:t>（如图1）</w:t>
      </w:r>
    </w:p>
    <w:p w14:paraId="4151A69D">
      <w:pPr>
        <w:pStyle w:val="2"/>
        <w:spacing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905"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11"/>
                    <a:stretch>
                      <a:fillRect/>
                    </a:stretch>
                  </pic:blipFill>
                  <pic:spPr>
                    <a:xfrm>
                      <a:off x="0" y="0"/>
                      <a:ext cx="3970020" cy="1748155"/>
                    </a:xfrm>
                    <a:prstGeom prst="rect">
                      <a:avLst/>
                    </a:prstGeom>
                  </pic:spPr>
                </pic:pic>
              </a:graphicData>
            </a:graphic>
          </wp:inline>
        </w:drawing>
      </w:r>
    </w:p>
    <w:p w14:paraId="7471AF19">
      <w:pPr>
        <w:pStyle w:val="2"/>
        <w:spacing w:line="360" w:lineRule="auto"/>
        <w:ind w:left="420" w:leftChars="200" w:right="2" w:firstLine="680" w:firstLineChars="200"/>
        <w:jc w:val="center"/>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图1</w:t>
      </w:r>
    </w:p>
    <w:p w14:paraId="485738A9">
      <w:pPr>
        <w:pStyle w:val="2"/>
        <w:spacing w:line="336" w:lineRule="auto"/>
        <w:ind w:firstLine="680" w:firstLineChars="200"/>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（二）店面同一侧有障碍物距离测量示意图，</w:t>
      </w:r>
      <w:r>
        <w:rPr>
          <w:rFonts w:hint="eastAsia" w:ascii="仿宋_GB2312" w:hAnsi="仿宋_GB2312" w:eastAsia="仿宋_GB2312" w:cs="仿宋_GB2312"/>
          <w:sz w:val="32"/>
          <w:szCs w:val="32"/>
          <w:lang w:eastAsia="zh-CN"/>
        </w:rPr>
        <w:t>申请点与参照零售点</w:t>
      </w:r>
      <w:r>
        <w:rPr>
          <w:rFonts w:hint="eastAsia" w:ascii="仿宋_GB2312" w:hAnsi="仿宋_GB2312" w:eastAsia="仿宋_GB2312" w:cs="仿宋_GB2312"/>
          <w:spacing w:val="10"/>
          <w:sz w:val="32"/>
          <w:szCs w:val="32"/>
          <w:lang w:eastAsia="zh-CN"/>
        </w:rPr>
        <w:t>间距=a+b+c+d+e。</w:t>
      </w:r>
      <w:r>
        <w:rPr>
          <w:rFonts w:hint="eastAsia" w:ascii="仿宋_GB2312" w:hAnsi="仿宋_GB2312" w:eastAsia="仿宋_GB2312" w:cs="仿宋_GB2312"/>
          <w:spacing w:val="10"/>
          <w:sz w:val="32"/>
          <w:szCs w:val="32"/>
        </w:rPr>
        <w:t>（如图2）</w:t>
      </w:r>
    </w:p>
    <w:p w14:paraId="5525787F">
      <w:pPr>
        <w:pStyle w:val="2"/>
        <w:spacing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635"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12"/>
                    <a:stretch>
                      <a:fillRect/>
                    </a:stretch>
                  </pic:blipFill>
                  <pic:spPr>
                    <a:xfrm>
                      <a:off x="0" y="0"/>
                      <a:ext cx="5240217" cy="1887838"/>
                    </a:xfrm>
                    <a:prstGeom prst="rect">
                      <a:avLst/>
                    </a:prstGeom>
                  </pic:spPr>
                </pic:pic>
              </a:graphicData>
            </a:graphic>
          </wp:inline>
        </w:drawing>
      </w:r>
    </w:p>
    <w:p w14:paraId="198C7675">
      <w:pPr>
        <w:pStyle w:val="2"/>
        <w:spacing w:line="360" w:lineRule="auto"/>
        <w:ind w:right="2" w:firstLine="680" w:firstLineChars="200"/>
        <w:jc w:val="center"/>
        <w:rPr>
          <w:rFonts w:ascii="仿宋_GB2312" w:hAnsi="仿宋_GB2312" w:eastAsia="仿宋_GB2312" w:cs="仿宋_GB2312"/>
          <w:sz w:val="32"/>
          <w:szCs w:val="32"/>
          <w:lang w:eastAsia="zh-CN" w:bidi="ug-CN"/>
        </w:rPr>
      </w:pPr>
      <w:r>
        <w:rPr>
          <w:rFonts w:hint="eastAsia" w:ascii="仿宋_GB2312" w:hAnsi="仿宋_GB2312" w:eastAsia="仿宋_GB2312" w:cs="仿宋_GB2312"/>
          <w:spacing w:val="10"/>
          <w:sz w:val="32"/>
          <w:szCs w:val="32"/>
          <w:lang w:eastAsia="zh-CN"/>
        </w:rPr>
        <w:t>图2</w:t>
      </w:r>
    </w:p>
    <w:p w14:paraId="3CA92392">
      <w:pPr>
        <w:pStyle w:val="2"/>
        <w:spacing w:line="360" w:lineRule="auto"/>
        <w:ind w:right="2" w:firstLine="64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z w:val="32"/>
          <w:szCs w:val="32"/>
          <w:lang w:eastAsia="zh-CN"/>
        </w:rPr>
        <w:t>（三）申请点与参照零售点</w:t>
      </w:r>
      <w:r>
        <w:rPr>
          <w:rFonts w:hint="eastAsia" w:ascii="仿宋_GB2312" w:hAnsi="仿宋_GB2312" w:eastAsia="仿宋_GB2312" w:cs="仿宋_GB2312"/>
          <w:spacing w:val="10"/>
          <w:sz w:val="32"/>
          <w:szCs w:val="32"/>
          <w:lang w:eastAsia="zh-CN"/>
        </w:rPr>
        <w:t>异侧无障碍物，且道路无隔离带（包括无任何禁止通行交通标志的路段或有可通行的单虚线）和斑马线情形，可安全步行的。</w:t>
      </w:r>
    </w:p>
    <w:p w14:paraId="3FC6734D">
      <w:pPr>
        <w:pStyle w:val="2"/>
        <w:spacing w:line="360" w:lineRule="auto"/>
        <w:ind w:right="2" w:firstLine="68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1</w:t>
      </w:r>
      <w:r>
        <w:rPr>
          <w:rFonts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lang w:eastAsia="zh-CN"/>
        </w:rPr>
        <w:t>申请点与参照零售点对称的，间距=a（如图3.1）</w:t>
      </w:r>
    </w:p>
    <w:p w14:paraId="3B4233F4">
      <w:pPr>
        <w:pStyle w:val="2"/>
        <w:spacing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8890" b="1905"/>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13"/>
                    <a:stretch>
                      <a:fillRect/>
                    </a:stretch>
                  </pic:blipFill>
                  <pic:spPr>
                    <a:xfrm>
                      <a:off x="0" y="0"/>
                      <a:ext cx="4934585" cy="2446020"/>
                    </a:xfrm>
                    <a:prstGeom prst="rect">
                      <a:avLst/>
                    </a:prstGeom>
                  </pic:spPr>
                </pic:pic>
              </a:graphicData>
            </a:graphic>
          </wp:inline>
        </w:drawing>
      </w:r>
    </w:p>
    <w:p w14:paraId="75CFEF74">
      <w:pPr>
        <w:pStyle w:val="2"/>
        <w:spacing w:line="360" w:lineRule="auto"/>
        <w:ind w:right="3"/>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图3.1</w:t>
      </w:r>
    </w:p>
    <w:p w14:paraId="452230D9">
      <w:pPr>
        <w:pStyle w:val="2"/>
        <w:spacing w:line="360" w:lineRule="auto"/>
        <w:ind w:right="2" w:firstLine="64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z w:val="32"/>
          <w:szCs w:val="32"/>
          <w:lang w:eastAsia="zh-CN"/>
        </w:rPr>
        <w:t>2</w:t>
      </w:r>
      <w:r>
        <w:rPr>
          <w:rFonts w:ascii="仿宋_GB2312" w:hAnsi="仿宋_GB2312" w:eastAsia="仿宋_GB2312" w:cs="仿宋_GB2312"/>
          <w:sz w:val="32"/>
          <w:szCs w:val="32"/>
          <w:lang w:eastAsia="zh-CN"/>
        </w:rPr>
        <w:t>.</w:t>
      </w:r>
      <w:r>
        <w:rPr>
          <w:rFonts w:hint="eastAsia" w:ascii="仿宋_GB2312" w:hAnsi="仿宋_GB2312" w:eastAsia="仿宋_GB2312" w:cs="仿宋_GB2312"/>
          <w:spacing w:val="10"/>
          <w:sz w:val="32"/>
          <w:szCs w:val="32"/>
          <w:lang w:eastAsia="zh-CN"/>
        </w:rPr>
        <w:t>申请点与参照零售点不对称的，间距=b（如图3.2）</w:t>
      </w:r>
    </w:p>
    <w:p w14:paraId="4BB8CA7A">
      <w:pPr>
        <w:pStyle w:val="2"/>
        <w:spacing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3810" b="0"/>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4"/>
                    <a:stretch>
                      <a:fillRect/>
                    </a:stretch>
                  </pic:blipFill>
                  <pic:spPr>
                    <a:xfrm>
                      <a:off x="0" y="0"/>
                      <a:ext cx="5015865" cy="2638425"/>
                    </a:xfrm>
                    <a:prstGeom prst="rect">
                      <a:avLst/>
                    </a:prstGeom>
                  </pic:spPr>
                </pic:pic>
              </a:graphicData>
            </a:graphic>
          </wp:inline>
        </w:drawing>
      </w:r>
    </w:p>
    <w:p w14:paraId="0B3C7567">
      <w:pPr>
        <w:pStyle w:val="2"/>
        <w:spacing w:line="360" w:lineRule="auto"/>
        <w:ind w:left="420" w:leftChars="200" w:right="2" w:firstLine="680" w:firstLineChars="200"/>
        <w:jc w:val="center"/>
        <w:rPr>
          <w:rFonts w:ascii="仿宋_GB2312" w:hAnsi="仿宋_GB2312" w:eastAsia="仿宋_GB2312" w:cs="仿宋_GB2312"/>
          <w:sz w:val="32"/>
          <w:szCs w:val="32"/>
          <w:lang w:eastAsia="zh-CN" w:bidi="ug-CN"/>
        </w:rPr>
      </w:pPr>
      <w:r>
        <w:rPr>
          <w:rFonts w:hint="eastAsia" w:ascii="仿宋_GB2312" w:hAnsi="仿宋_GB2312" w:eastAsia="仿宋_GB2312" w:cs="仿宋_GB2312"/>
          <w:spacing w:val="10"/>
          <w:sz w:val="32"/>
          <w:szCs w:val="32"/>
          <w:lang w:eastAsia="zh-CN"/>
        </w:rPr>
        <w:t>图3.2</w:t>
      </w:r>
      <w:r>
        <w:rPr>
          <w:rFonts w:hint="eastAsia" w:ascii="仿宋_GB2312" w:hAnsi="仿宋_GB2312" w:eastAsia="仿宋_GB2312" w:cs="仿宋_GB2312"/>
          <w:sz w:val="32"/>
          <w:szCs w:val="32"/>
          <w:lang w:eastAsia="zh-CN" w:bidi="ug-CN"/>
        </w:rPr>
        <w:tab/>
      </w:r>
    </w:p>
    <w:p w14:paraId="2970A40C">
      <w:pPr>
        <w:pStyle w:val="2"/>
        <w:spacing w:line="360" w:lineRule="auto"/>
        <w:ind w:right="2" w:firstLine="640" w:firstLineChars="200"/>
        <w:rPr>
          <w:rFonts w:ascii="仿宋_GB2312" w:hAnsi="仿宋_GB2312" w:eastAsia="仿宋_GB2312" w:cs="仿宋_GB2312"/>
          <w:spacing w:val="10"/>
          <w:sz w:val="32"/>
          <w:szCs w:val="32"/>
        </w:rPr>
      </w:pPr>
      <w:r>
        <w:rPr>
          <w:rFonts w:hint="eastAsia" w:ascii="仿宋_GB2312" w:hAnsi="仿宋_GB2312" w:eastAsia="仿宋_GB2312" w:cs="仿宋_GB2312"/>
          <w:sz w:val="32"/>
          <w:szCs w:val="32"/>
          <w:lang w:eastAsia="zh-CN"/>
        </w:rPr>
        <w:t>（四）申请点与参照零售点</w:t>
      </w:r>
      <w:r>
        <w:rPr>
          <w:rFonts w:hint="eastAsia" w:ascii="仿宋_GB2312" w:hAnsi="仿宋_GB2312" w:eastAsia="仿宋_GB2312" w:cs="仿宋_GB2312"/>
          <w:spacing w:val="10"/>
          <w:sz w:val="32"/>
          <w:szCs w:val="32"/>
          <w:lang w:eastAsia="zh-CN"/>
        </w:rPr>
        <w:t>异侧存在障碍物的，测量按直角分段绕过障碍物测量，分段距离之和即为申请人的经营场所与最近零售点的经营场所间的距离。</w:t>
      </w:r>
      <w:r>
        <w:rPr>
          <w:rFonts w:hint="eastAsia" w:ascii="仿宋_GB2312" w:hAnsi="仿宋_GB2312" w:eastAsia="仿宋_GB2312" w:cs="仿宋_GB2312"/>
          <w:spacing w:val="10"/>
          <w:sz w:val="32"/>
          <w:szCs w:val="32"/>
        </w:rPr>
        <w:t>间距=a+b+c（如图4）</w:t>
      </w:r>
    </w:p>
    <w:p w14:paraId="6152199A">
      <w:pPr>
        <w:pStyle w:val="2"/>
        <w:tabs>
          <w:tab w:val="left" w:pos="8197"/>
        </w:tabs>
        <w:spacing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5"/>
                    <a:stretch>
                      <a:fillRect/>
                    </a:stretch>
                  </pic:blipFill>
                  <pic:spPr>
                    <a:xfrm>
                      <a:off x="0" y="0"/>
                      <a:ext cx="5194300" cy="2531745"/>
                    </a:xfrm>
                    <a:prstGeom prst="rect">
                      <a:avLst/>
                    </a:prstGeom>
                  </pic:spPr>
                </pic:pic>
              </a:graphicData>
            </a:graphic>
          </wp:inline>
        </w:drawing>
      </w:r>
    </w:p>
    <w:p w14:paraId="25AD2075">
      <w:pPr>
        <w:pStyle w:val="2"/>
        <w:tabs>
          <w:tab w:val="left" w:pos="8197"/>
        </w:tabs>
        <w:spacing w:line="360" w:lineRule="auto"/>
        <w:ind w:right="3" w:firstLine="640" w:firstLineChars="200"/>
        <w:jc w:val="center"/>
        <w:rPr>
          <w:rFonts w:ascii="仿宋_GB2312" w:hAnsi="仿宋_GB2312" w:eastAsia="仿宋_GB2312" w:cs="仿宋_GB2312"/>
          <w:sz w:val="32"/>
          <w:szCs w:val="32"/>
          <w:lang w:eastAsia="zh-CN" w:bidi="ug-CN"/>
        </w:rPr>
      </w:pPr>
      <w:r>
        <w:rPr>
          <w:rFonts w:hint="eastAsia" w:ascii="仿宋_GB2312" w:hAnsi="仿宋_GB2312" w:eastAsia="仿宋_GB2312" w:cs="仿宋_GB2312"/>
          <w:sz w:val="32"/>
          <w:szCs w:val="32"/>
          <w:lang w:eastAsia="zh-CN" w:bidi="ug-CN"/>
        </w:rPr>
        <w:t>图4</w:t>
      </w:r>
    </w:p>
    <w:p w14:paraId="7DC2F77A">
      <w:pPr>
        <w:pStyle w:val="2"/>
        <w:spacing w:line="360" w:lineRule="auto"/>
        <w:ind w:right="2" w:firstLine="680" w:firstLineChars="200"/>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（五）店面背靠背距离测量示意图，</w:t>
      </w:r>
      <w:r>
        <w:rPr>
          <w:rFonts w:hint="eastAsia" w:ascii="仿宋_GB2312" w:hAnsi="仿宋_GB2312" w:eastAsia="仿宋_GB2312" w:cs="仿宋_GB2312"/>
          <w:sz w:val="32"/>
          <w:szCs w:val="32"/>
          <w:lang w:eastAsia="zh-CN"/>
        </w:rPr>
        <w:t>申请点与参照零售点</w:t>
      </w:r>
      <w:r>
        <w:rPr>
          <w:rFonts w:hint="eastAsia" w:ascii="仿宋_GB2312" w:hAnsi="仿宋_GB2312" w:eastAsia="仿宋_GB2312" w:cs="仿宋_GB2312"/>
          <w:spacing w:val="10"/>
          <w:sz w:val="32"/>
          <w:szCs w:val="32"/>
          <w:lang w:eastAsia="zh-CN"/>
        </w:rPr>
        <w:t>间距=a+b+c。</w:t>
      </w:r>
      <w:r>
        <w:rPr>
          <w:rFonts w:hint="eastAsia" w:ascii="仿宋_GB2312" w:hAnsi="仿宋_GB2312" w:eastAsia="仿宋_GB2312" w:cs="仿宋_GB2312"/>
          <w:spacing w:val="10"/>
          <w:sz w:val="32"/>
          <w:szCs w:val="32"/>
        </w:rPr>
        <w:t>（如图5）</w:t>
      </w:r>
    </w:p>
    <w:p w14:paraId="3B9CEE65">
      <w:pPr>
        <w:pStyle w:val="2"/>
        <w:spacing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889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0E7261E6">
      <w:pPr>
        <w:pStyle w:val="2"/>
        <w:spacing w:line="360" w:lineRule="auto"/>
        <w:ind w:right="3" w:firstLine="680" w:firstLineChars="200"/>
        <w:jc w:val="center"/>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图5</w:t>
      </w:r>
    </w:p>
    <w:p w14:paraId="552279CA">
      <w:pPr>
        <w:pStyle w:val="2"/>
        <w:spacing w:line="360" w:lineRule="auto"/>
        <w:ind w:right="2" w:firstLine="680" w:firstLineChars="200"/>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（六）店面隔着街道转角的，分别计算沿街店面的两边距离再相加，</w:t>
      </w:r>
      <w:r>
        <w:rPr>
          <w:rFonts w:hint="eastAsia" w:ascii="仿宋_GB2312" w:hAnsi="仿宋_GB2312" w:eastAsia="仿宋_GB2312" w:cs="仿宋_GB2312"/>
          <w:sz w:val="32"/>
          <w:szCs w:val="32"/>
          <w:lang w:eastAsia="zh-CN"/>
        </w:rPr>
        <w:t>申请点与参照零售点</w:t>
      </w:r>
      <w:r>
        <w:rPr>
          <w:rFonts w:hint="eastAsia" w:ascii="仿宋_GB2312" w:hAnsi="仿宋_GB2312" w:eastAsia="仿宋_GB2312" w:cs="仿宋_GB2312"/>
          <w:spacing w:val="10"/>
          <w:sz w:val="32"/>
          <w:szCs w:val="32"/>
          <w:lang w:eastAsia="zh-CN"/>
        </w:rPr>
        <w:t>间距=a+b。</w:t>
      </w:r>
      <w:r>
        <w:rPr>
          <w:rFonts w:hint="eastAsia" w:ascii="仿宋_GB2312" w:hAnsi="仿宋_GB2312" w:eastAsia="仿宋_GB2312" w:cs="仿宋_GB2312"/>
          <w:spacing w:val="10"/>
          <w:sz w:val="32"/>
          <w:szCs w:val="32"/>
        </w:rPr>
        <w:t>（如图6）</w:t>
      </w:r>
    </w:p>
    <w:p w14:paraId="26A70DEE">
      <w:pPr>
        <w:pStyle w:val="2"/>
        <w:spacing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3175" b="5080"/>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7"/>
                    <a:srcRect t="17596"/>
                    <a:stretch>
                      <a:fillRect/>
                    </a:stretch>
                  </pic:blipFill>
                  <pic:spPr>
                    <a:xfrm>
                      <a:off x="0" y="0"/>
                      <a:ext cx="4768850" cy="2709545"/>
                    </a:xfrm>
                    <a:prstGeom prst="rect">
                      <a:avLst/>
                    </a:prstGeom>
                  </pic:spPr>
                </pic:pic>
              </a:graphicData>
            </a:graphic>
          </wp:inline>
        </w:drawing>
      </w:r>
    </w:p>
    <w:p w14:paraId="71CE2B3D">
      <w:pPr>
        <w:pStyle w:val="2"/>
        <w:spacing w:line="360" w:lineRule="auto"/>
        <w:ind w:right="64" w:firstLine="680" w:firstLineChars="200"/>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图6</w:t>
      </w:r>
    </w:p>
    <w:p w14:paraId="0D5DC3D1">
      <w:pPr>
        <w:pStyle w:val="2"/>
        <w:spacing w:line="360" w:lineRule="auto"/>
        <w:ind w:right="2"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（七）十字路口</w:t>
      </w:r>
    </w:p>
    <w:p w14:paraId="612DD7C1">
      <w:pPr>
        <w:pStyle w:val="2"/>
        <w:spacing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lang w:eastAsia="zh-CN"/>
        </w:rPr>
        <w:t>可安全步行最短距离</w:t>
      </w:r>
      <w:r>
        <w:rPr>
          <w:rFonts w:hint="eastAsia" w:ascii="仿宋_GB2312" w:hAnsi="仿宋_GB2312" w:eastAsia="仿宋_GB2312" w:cs="仿宋_GB2312"/>
          <w:sz w:val="32"/>
          <w:szCs w:val="32"/>
          <w:lang w:eastAsia="zh-CN"/>
        </w:rPr>
        <w:t>测量。具体测量办法视有无交通信号灯、人行横道或过街设施的路段以及障碍物情况而定。</w:t>
      </w:r>
      <w:r>
        <w:rPr>
          <w:rFonts w:hint="eastAsia" w:ascii="仿宋_GB2312" w:hAnsi="仿宋_GB2312" w:eastAsia="仿宋_GB2312" w:cs="仿宋_GB2312"/>
          <w:sz w:val="32"/>
          <w:szCs w:val="32"/>
        </w:rPr>
        <w:t>（如图7.1）</w:t>
      </w:r>
    </w:p>
    <w:p w14:paraId="36BAF51C">
      <w:pPr>
        <w:pStyle w:val="2"/>
        <w:spacing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8"/>
                    <a:stretch>
                      <a:fillRect/>
                    </a:stretch>
                  </pic:blipFill>
                  <pic:spPr>
                    <a:xfrm>
                      <a:off x="0" y="0"/>
                      <a:ext cx="3064510" cy="2741930"/>
                    </a:xfrm>
                    <a:prstGeom prst="rect">
                      <a:avLst/>
                    </a:prstGeom>
                  </pic:spPr>
                </pic:pic>
              </a:graphicData>
            </a:graphic>
          </wp:inline>
        </w:drawing>
      </w:r>
    </w:p>
    <w:p w14:paraId="3D59FF86">
      <w:pPr>
        <w:pStyle w:val="2"/>
        <w:spacing w:line="360" w:lineRule="auto"/>
        <w:ind w:right="64"/>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图7.1</w:t>
      </w:r>
    </w:p>
    <w:p w14:paraId="40AC950A">
      <w:pPr>
        <w:pStyle w:val="2"/>
        <w:spacing w:line="336"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r>
        <w:rPr>
          <w:rFonts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十字路口对角（有交通信号灯、人行横道或过街设施）</w:t>
      </w:r>
    </w:p>
    <w:p w14:paraId="37DE86E9">
      <w:pPr>
        <w:pStyle w:val="2"/>
        <w:spacing w:line="336"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lang w:eastAsia="zh-CN"/>
        </w:rPr>
        <w:t>可安全步行最短距离</w:t>
      </w:r>
      <w:r>
        <w:rPr>
          <w:rFonts w:hint="eastAsia" w:ascii="仿宋_GB2312" w:hAnsi="仿宋_GB2312" w:eastAsia="仿宋_GB2312" w:cs="仿宋_GB2312"/>
          <w:sz w:val="32"/>
          <w:szCs w:val="32"/>
          <w:lang w:eastAsia="zh-CN"/>
        </w:rPr>
        <w:t>测量。（如图7.2中存在a、b两条线路，取其中一条</w:t>
      </w:r>
      <w:r>
        <w:rPr>
          <w:rFonts w:hint="eastAsia" w:ascii="仿宋_GB2312" w:hAnsi="仿宋_GB2312" w:eastAsia="仿宋_GB2312" w:cs="仿宋_GB2312"/>
          <w:spacing w:val="10"/>
          <w:sz w:val="32"/>
          <w:szCs w:val="32"/>
          <w:lang w:eastAsia="zh-CN"/>
        </w:rPr>
        <w:t>可安全步行最短距离线路测量</w:t>
      </w:r>
      <w:r>
        <w:rPr>
          <w:rFonts w:hint="eastAsia" w:ascii="仿宋_GB2312" w:hAnsi="仿宋_GB2312" w:eastAsia="仿宋_GB2312" w:cs="仿宋_GB2312"/>
          <w:sz w:val="32"/>
          <w:szCs w:val="32"/>
          <w:lang w:eastAsia="zh-CN"/>
        </w:rPr>
        <w:t>）</w:t>
      </w:r>
    </w:p>
    <w:p w14:paraId="6EEA7029">
      <w:pPr>
        <w:pStyle w:val="2"/>
        <w:spacing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254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9"/>
                    <a:stretch>
                      <a:fillRect/>
                    </a:stretch>
                  </pic:blipFill>
                  <pic:spPr>
                    <a:xfrm>
                      <a:off x="0" y="0"/>
                      <a:ext cx="2782892" cy="2481288"/>
                    </a:xfrm>
                    <a:prstGeom prst="rect">
                      <a:avLst/>
                    </a:prstGeom>
                  </pic:spPr>
                </pic:pic>
              </a:graphicData>
            </a:graphic>
          </wp:inline>
        </w:drawing>
      </w:r>
    </w:p>
    <w:p w14:paraId="32DDB4BB">
      <w:pPr>
        <w:pStyle w:val="2"/>
        <w:spacing w:line="360" w:lineRule="auto"/>
        <w:ind w:left="420" w:leftChars="200" w:right="64" w:firstLine="3200" w:firstLineChars="10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图7.2</w:t>
      </w:r>
    </w:p>
    <w:p w14:paraId="7E6B29B2">
      <w:pPr>
        <w:pStyle w:val="2"/>
        <w:spacing w:line="336"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w:t>
      </w:r>
      <w:r>
        <w:rPr>
          <w:rFonts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十字路口对角（无交通信号灯、人行横道或过街设施）</w:t>
      </w:r>
    </w:p>
    <w:p w14:paraId="702B819B">
      <w:pPr>
        <w:pStyle w:val="2"/>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lang w:eastAsia="zh-CN"/>
        </w:rPr>
        <w:t>可安全步行最短距离</w:t>
      </w:r>
      <w:r>
        <w:rPr>
          <w:rFonts w:hint="eastAsia" w:ascii="仿宋_GB2312" w:hAnsi="仿宋_GB2312" w:eastAsia="仿宋_GB2312" w:cs="仿宋_GB2312"/>
          <w:sz w:val="32"/>
          <w:szCs w:val="32"/>
          <w:lang w:eastAsia="zh-CN"/>
        </w:rPr>
        <w:t>测量。</w:t>
      </w:r>
      <w:r>
        <w:rPr>
          <w:rFonts w:hint="eastAsia" w:ascii="仿宋_GB2312" w:hAnsi="仿宋_GB2312" w:eastAsia="仿宋_GB2312" w:cs="仿宋_GB2312"/>
          <w:sz w:val="32"/>
          <w:szCs w:val="32"/>
        </w:rPr>
        <w:t>（图7.3）</w:t>
      </w:r>
    </w:p>
    <w:p w14:paraId="5017FF88">
      <w:pPr>
        <w:pStyle w:val="2"/>
        <w:spacing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20"/>
                    <a:stretch>
                      <a:fillRect/>
                    </a:stretch>
                  </pic:blipFill>
                  <pic:spPr>
                    <a:xfrm>
                      <a:off x="0" y="0"/>
                      <a:ext cx="2703830" cy="2475865"/>
                    </a:xfrm>
                    <a:prstGeom prst="rect">
                      <a:avLst/>
                    </a:prstGeom>
                  </pic:spPr>
                </pic:pic>
              </a:graphicData>
            </a:graphic>
          </wp:inline>
        </w:drawing>
      </w:r>
    </w:p>
    <w:p w14:paraId="43B2F7B9">
      <w:pPr>
        <w:pStyle w:val="2"/>
        <w:spacing w:line="360" w:lineRule="auto"/>
        <w:ind w:right="64"/>
        <w:jc w:val="center"/>
        <w:rPr>
          <w:rFonts w:ascii="仿宋_GB2312" w:hAnsi="仿宋_GB2312" w:eastAsia="仿宋_GB2312" w:cs="仿宋_GB2312"/>
          <w:spacing w:val="10"/>
          <w:sz w:val="32"/>
          <w:szCs w:val="32"/>
          <w:lang w:eastAsia="zh-CN"/>
        </w:rPr>
      </w:pPr>
      <w:r>
        <w:rPr>
          <w:rFonts w:hint="eastAsia" w:ascii="仿宋_GB2312" w:hAnsi="仿宋_GB2312" w:eastAsia="仿宋_GB2312" w:cs="仿宋_GB2312"/>
          <w:sz w:val="32"/>
          <w:szCs w:val="32"/>
          <w:lang w:eastAsia="zh-CN"/>
        </w:rPr>
        <w:t>图7.3</w:t>
      </w:r>
    </w:p>
    <w:p w14:paraId="43D63C96">
      <w:pPr>
        <w:pStyle w:val="2"/>
        <w:spacing w:line="336" w:lineRule="auto"/>
        <w:ind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（八）中小学校、幼儿园的测量起始点为学校正常出入的校门口。有多个进出通道口的，选择距离零售点最短的进出通道口的门边，作为测量起始点。</w:t>
      </w:r>
    </w:p>
    <w:p w14:paraId="0CDF322B">
      <w:pPr>
        <w:pStyle w:val="2"/>
        <w:spacing w:line="336" w:lineRule="auto"/>
        <w:ind w:firstLine="680" w:firstLineChars="200"/>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lang w:eastAsia="zh-CN"/>
        </w:rPr>
        <w:t>申请点与中小学校、幼儿园通道口之间距离测量示意图。</w:t>
      </w:r>
      <w:r>
        <w:rPr>
          <w:rFonts w:hint="eastAsia" w:ascii="仿宋_GB2312" w:hAnsi="仿宋_GB2312" w:eastAsia="仿宋_GB2312" w:cs="仿宋_GB2312"/>
          <w:spacing w:val="10"/>
          <w:sz w:val="32"/>
          <w:szCs w:val="32"/>
        </w:rPr>
        <w:t>（如图8）</w:t>
      </w:r>
    </w:p>
    <w:p w14:paraId="69944FC5">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635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21"/>
                    <a:stretch>
                      <a:fillRect/>
                    </a:stretch>
                  </pic:blipFill>
                  <pic:spPr>
                    <a:xfrm>
                      <a:off x="0" y="0"/>
                      <a:ext cx="2844973" cy="2145560"/>
                    </a:xfrm>
                    <a:prstGeom prst="rect">
                      <a:avLst/>
                    </a:prstGeom>
                  </pic:spPr>
                </pic:pic>
              </a:graphicData>
            </a:graphic>
          </wp:inline>
        </w:drawing>
      </w:r>
    </w:p>
    <w:p w14:paraId="79C52296">
      <w:pPr>
        <w:spacing w:line="360" w:lineRule="auto"/>
        <w:jc w:val="center"/>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图8</w:t>
      </w:r>
    </w:p>
    <w:p w14:paraId="1ACCD585">
      <w:pPr>
        <w:pStyle w:val="2"/>
        <w:spacing w:line="300" w:lineRule="auto"/>
        <w:ind w:right="2" w:firstLine="64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z w:val="32"/>
          <w:szCs w:val="32"/>
          <w:lang w:eastAsia="zh-CN"/>
        </w:rPr>
        <w:t>（九）申请点与参照零售点</w:t>
      </w:r>
      <w:r>
        <w:rPr>
          <w:rFonts w:hint="eastAsia" w:ascii="仿宋_GB2312" w:hAnsi="仿宋_GB2312" w:eastAsia="仿宋_GB2312" w:cs="仿宋_GB2312"/>
          <w:spacing w:val="10"/>
          <w:sz w:val="32"/>
          <w:szCs w:val="32"/>
          <w:lang w:eastAsia="zh-CN"/>
        </w:rPr>
        <w:t>之间有道路隔离情形的：</w:t>
      </w:r>
    </w:p>
    <w:p w14:paraId="3F282110">
      <w:pPr>
        <w:pStyle w:val="2"/>
        <w:spacing w:line="300" w:lineRule="auto"/>
        <w:ind w:firstLine="680" w:firstLineChars="200"/>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lang w:eastAsia="zh-CN"/>
        </w:rPr>
        <w:t>1.</w:t>
      </w:r>
      <w:r>
        <w:rPr>
          <w:rFonts w:hint="eastAsia" w:ascii="仿宋_GB2312" w:hAnsi="仿宋_GB2312" w:eastAsia="仿宋_GB2312" w:cs="仿宋_GB2312"/>
          <w:spacing w:val="10"/>
          <w:sz w:val="32"/>
          <w:szCs w:val="32"/>
          <w:lang w:eastAsia="zh-CN"/>
        </w:rPr>
        <w:t>主干道上有禁止行人行走隔离带的（包括禁止通行的双实线、单实线等交通标志），测量从隔离带最近开口处过斑马线、天桥等行人可安全步行通道，以直线距离为测量标准，申请点与参照零售点间距=a+b+c。</w:t>
      </w:r>
      <w:r>
        <w:rPr>
          <w:rFonts w:hint="eastAsia" w:ascii="仿宋_GB2312" w:hAnsi="仿宋_GB2312" w:eastAsia="仿宋_GB2312" w:cs="仿宋_GB2312"/>
          <w:spacing w:val="10"/>
          <w:sz w:val="32"/>
          <w:szCs w:val="32"/>
        </w:rPr>
        <w:t>（如图9.1）</w:t>
      </w:r>
    </w:p>
    <w:p w14:paraId="0189432D">
      <w:pPr>
        <w:pStyle w:val="2"/>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22">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09E2B918">
      <w:pPr>
        <w:spacing w:line="360" w:lineRule="auto"/>
        <w:jc w:val="center"/>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图9.1</w:t>
      </w:r>
    </w:p>
    <w:p w14:paraId="59E3737C">
      <w:pPr>
        <w:pStyle w:val="2"/>
        <w:spacing w:line="300" w:lineRule="auto"/>
        <w:ind w:firstLine="680" w:firstLineChars="200"/>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lang w:eastAsia="zh-CN"/>
        </w:rPr>
        <w:t>2.</w:t>
      </w:r>
      <w:r>
        <w:rPr>
          <w:rFonts w:hint="eastAsia" w:ascii="仿宋_GB2312" w:hAnsi="仿宋_GB2312" w:eastAsia="仿宋_GB2312" w:cs="仿宋_GB2312"/>
          <w:spacing w:val="10"/>
          <w:sz w:val="32"/>
          <w:szCs w:val="32"/>
          <w:lang w:eastAsia="zh-CN"/>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05D23002">
      <w:pPr>
        <w:pStyle w:val="2"/>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5080" b="508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23"/>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14:paraId="6B887153">
      <w:pPr>
        <w:spacing w:line="360" w:lineRule="auto"/>
        <w:ind w:right="-512" w:rightChars="-244"/>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图9.2</w:t>
      </w:r>
    </w:p>
    <w:p w14:paraId="6C706A9F">
      <w:pPr>
        <w:pStyle w:val="2"/>
        <w:spacing w:line="360" w:lineRule="auto"/>
        <w:ind w:right="2" w:firstLine="680" w:firstLineChars="200"/>
        <w:rPr>
          <w:rFonts w:ascii="仿宋_GB2312" w:hAnsi="仿宋_GB2312" w:eastAsia="仿宋_GB2312" w:cs="仿宋_GB2312"/>
          <w:sz w:val="32"/>
          <w:szCs w:val="32"/>
        </w:rPr>
      </w:pPr>
      <w:r>
        <w:rPr>
          <w:rFonts w:hint="eastAsia" w:ascii="仿宋_GB2312" w:hAnsi="仿宋_GB2312" w:eastAsia="仿宋_GB2312" w:cs="仿宋_GB2312"/>
          <w:spacing w:val="10"/>
          <w:sz w:val="32"/>
          <w:szCs w:val="32"/>
          <w:lang w:eastAsia="zh-CN"/>
        </w:rPr>
        <w:t>（十）各类综合性商品批发市场、专业市场、集贸市场内部距离测量示意图，</w:t>
      </w:r>
      <w:r>
        <w:rPr>
          <w:rFonts w:hint="eastAsia" w:ascii="仿宋_GB2312" w:hAnsi="仿宋_GB2312" w:eastAsia="仿宋_GB2312" w:cs="仿宋_GB2312"/>
          <w:sz w:val="32"/>
          <w:szCs w:val="32"/>
          <w:lang w:eastAsia="zh-CN"/>
        </w:rPr>
        <w:t>申请点与参照零售点间距</w:t>
      </w:r>
      <w:r>
        <w:rPr>
          <w:rFonts w:hint="eastAsia" w:ascii="仿宋_GB2312" w:hAnsi="仿宋_GB2312" w:eastAsia="仿宋_GB2312" w:cs="仿宋_GB2312"/>
          <w:spacing w:val="10"/>
          <w:sz w:val="32"/>
          <w:szCs w:val="32"/>
          <w:lang w:eastAsia="zh-CN"/>
        </w:rPr>
        <w:t>=a+b+c。</w:t>
      </w:r>
      <w:r>
        <w:rPr>
          <w:rFonts w:hint="eastAsia" w:ascii="仿宋_GB2312" w:hAnsi="仿宋_GB2312" w:eastAsia="仿宋_GB2312" w:cs="仿宋_GB2312"/>
          <w:spacing w:val="10"/>
          <w:sz w:val="32"/>
          <w:szCs w:val="32"/>
        </w:rPr>
        <w:t>（如图10）</w:t>
      </w:r>
    </w:p>
    <w:p w14:paraId="2FB73E23">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6350"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4"/>
                    <a:stretch>
                      <a:fillRect/>
                    </a:stretch>
                  </pic:blipFill>
                  <pic:spPr>
                    <a:xfrm>
                      <a:off x="0" y="0"/>
                      <a:ext cx="3851275" cy="2245360"/>
                    </a:xfrm>
                    <a:prstGeom prst="rect">
                      <a:avLst/>
                    </a:prstGeom>
                  </pic:spPr>
                </pic:pic>
              </a:graphicData>
            </a:graphic>
          </wp:inline>
        </w:drawing>
      </w:r>
    </w:p>
    <w:p w14:paraId="23D79F9B">
      <w:pPr>
        <w:spacing w:line="360" w:lineRule="auto"/>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图10</w:t>
      </w:r>
    </w:p>
    <w:p w14:paraId="2212BD73">
      <w:pPr>
        <w:pStyle w:val="2"/>
        <w:spacing w:line="360" w:lineRule="auto"/>
        <w:ind w:right="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（十一）申请点与参照零售点</w:t>
      </w:r>
      <w:r>
        <w:rPr>
          <w:rFonts w:hint="eastAsia" w:ascii="仿宋_GB2312" w:hAnsi="仿宋_GB2312" w:eastAsia="仿宋_GB2312" w:cs="仿宋_GB2312"/>
          <w:spacing w:val="10"/>
          <w:sz w:val="32"/>
          <w:szCs w:val="32"/>
          <w:lang w:eastAsia="zh-CN"/>
        </w:rPr>
        <w:t>的经营场所之间有台阶、楼梯的，以其平面坡长进行测量；有电梯的，以层高进行测量；楼梯与电梯并存的，以最短距离的为准。</w:t>
      </w:r>
      <w:r>
        <w:rPr>
          <w:rFonts w:hint="eastAsia" w:ascii="仿宋_GB2312" w:hAnsi="仿宋_GB2312" w:eastAsia="仿宋_GB2312" w:cs="仿宋_GB2312"/>
          <w:spacing w:val="10"/>
          <w:sz w:val="32"/>
          <w:szCs w:val="32"/>
        </w:rPr>
        <w:t>（如图11）</w:t>
      </w:r>
    </w:p>
    <w:p w14:paraId="43FAAAD6">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8890" b="5715"/>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5"/>
                    <a:stretch>
                      <a:fillRect/>
                    </a:stretch>
                  </pic:blipFill>
                  <pic:spPr>
                    <a:xfrm>
                      <a:off x="0" y="0"/>
                      <a:ext cx="5163185" cy="2213610"/>
                    </a:xfrm>
                    <a:prstGeom prst="rect">
                      <a:avLst/>
                    </a:prstGeom>
                  </pic:spPr>
                </pic:pic>
              </a:graphicData>
            </a:graphic>
          </wp:inline>
        </w:drawing>
      </w:r>
    </w:p>
    <w:p w14:paraId="0278A737">
      <w:pPr>
        <w:tabs>
          <w:tab w:val="left" w:pos="1331"/>
        </w:tabs>
        <w:spacing w:line="360" w:lineRule="auto"/>
        <w:ind w:firstLine="680" w:firstLineChars="200"/>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图11</w:t>
      </w:r>
    </w:p>
    <w:p w14:paraId="69B3A9CB">
      <w:pPr>
        <w:pStyle w:val="2"/>
        <w:spacing w:line="360" w:lineRule="auto"/>
        <w:ind w:right="2"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（十二）申请点或零售点多门情况</w:t>
      </w:r>
    </w:p>
    <w:p w14:paraId="2C85AF29">
      <w:pPr>
        <w:pStyle w:val="2"/>
        <w:spacing w:line="360" w:lineRule="auto"/>
        <w:ind w:right="2"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申请人经营场所门面多面（多间）贯通且多面经营的，测量起始点的选取规则是：申请人与参照零售点之间距离最近的门面为起始点测量。</w:t>
      </w:r>
    </w:p>
    <w:p w14:paraId="1F9D7D48">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w:t>
      </w:r>
      <w:r>
        <w:rPr>
          <w:rFonts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道路同侧情况</w:t>
      </w:r>
    </w:p>
    <w:p w14:paraId="77DBEE46">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申请点出入口较多，取与最近零售点经营场所最短的出入口进行测量。</w:t>
      </w:r>
      <w:r>
        <w:rPr>
          <w:rFonts w:hint="eastAsia" w:ascii="仿宋_GB2312" w:hAnsi="仿宋_GB2312" w:eastAsia="仿宋_GB2312" w:cs="仿宋_GB2312"/>
          <w:sz w:val="32"/>
          <w:szCs w:val="32"/>
        </w:rPr>
        <w:t>（如图12.1）</w:t>
      </w:r>
    </w:p>
    <w:p w14:paraId="4B50D955">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0" b="5715"/>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6"/>
                    <a:stretch>
                      <a:fillRect/>
                    </a:stretch>
                  </pic:blipFill>
                  <pic:spPr>
                    <a:xfrm rot="10800000" flipH="1" flipV="1">
                      <a:off x="0" y="0"/>
                      <a:ext cx="4333875" cy="2213610"/>
                    </a:xfrm>
                    <a:prstGeom prst="rect">
                      <a:avLst/>
                    </a:prstGeom>
                  </pic:spPr>
                </pic:pic>
              </a:graphicData>
            </a:graphic>
          </wp:inline>
        </w:drawing>
      </w:r>
    </w:p>
    <w:p w14:paraId="77AE6CEA">
      <w:pPr>
        <w:spacing w:line="360" w:lineRule="auto"/>
        <w:ind w:firstLine="640" w:firstLineChars="200"/>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图12.1</w:t>
      </w:r>
    </w:p>
    <w:p w14:paraId="79954171">
      <w:pPr>
        <w:spacing w:line="336"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r>
        <w:rPr>
          <w:rFonts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十字路口情况</w:t>
      </w:r>
    </w:p>
    <w:p w14:paraId="6DFC96BE">
      <w:pPr>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lang w:eastAsia="zh-CN"/>
        </w:rPr>
        <w:t>可安全步行的最短距离</w:t>
      </w:r>
      <w:r>
        <w:rPr>
          <w:rFonts w:hint="eastAsia" w:ascii="仿宋_GB2312" w:hAnsi="仿宋_GB2312" w:eastAsia="仿宋_GB2312" w:cs="仿宋_GB2312"/>
          <w:sz w:val="32"/>
          <w:szCs w:val="32"/>
          <w:lang w:eastAsia="zh-CN"/>
        </w:rPr>
        <w:t>。具体测量办法视有无交通信号灯、人行横道或过街设施的路段以及障碍物情况而定。</w:t>
      </w:r>
      <w:r>
        <w:rPr>
          <w:rFonts w:hint="eastAsia" w:ascii="仿宋_GB2312" w:hAnsi="仿宋_GB2312" w:eastAsia="仿宋_GB2312" w:cs="仿宋_GB2312"/>
          <w:sz w:val="32"/>
          <w:szCs w:val="32"/>
        </w:rPr>
        <w:t>（如图12.2）</w:t>
      </w:r>
    </w:p>
    <w:p w14:paraId="0E2FD942">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1905"/>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5CAE718C">
      <w:pPr>
        <w:spacing w:line="336" w:lineRule="auto"/>
        <w:ind w:firstLine="640" w:firstLineChars="200"/>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图12.2</w:t>
      </w:r>
    </w:p>
    <w:p w14:paraId="2B46E705">
      <w:pPr>
        <w:spacing w:line="336"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lang w:eastAsia="zh-CN"/>
        </w:rPr>
        <w:t>可安全步行最短距离</w:t>
      </w:r>
      <w:r>
        <w:rPr>
          <w:rFonts w:hint="eastAsia" w:ascii="仿宋_GB2312" w:hAnsi="仿宋_GB2312" w:eastAsia="仿宋_GB2312" w:cs="仿宋_GB2312"/>
          <w:sz w:val="32"/>
          <w:szCs w:val="32"/>
          <w:lang w:eastAsia="zh-CN"/>
        </w:rPr>
        <w:t>。（如图12.3存在多条线路取其中</w:t>
      </w:r>
      <w:r>
        <w:rPr>
          <w:rFonts w:hint="eastAsia" w:ascii="仿宋_GB2312" w:hAnsi="仿宋_GB2312" w:eastAsia="仿宋_GB2312" w:cs="仿宋_GB2312"/>
          <w:spacing w:val="10"/>
          <w:sz w:val="32"/>
          <w:szCs w:val="32"/>
          <w:lang w:eastAsia="zh-CN"/>
        </w:rPr>
        <w:t>可安全步行最短距离线路测量</w:t>
      </w:r>
      <w:r>
        <w:rPr>
          <w:rFonts w:hint="eastAsia" w:ascii="仿宋_GB2312" w:hAnsi="仿宋_GB2312" w:eastAsia="仿宋_GB2312" w:cs="仿宋_GB2312"/>
          <w:sz w:val="32"/>
          <w:szCs w:val="32"/>
          <w:lang w:eastAsia="zh-CN"/>
        </w:rPr>
        <w:t>）</w:t>
      </w:r>
    </w:p>
    <w:p w14:paraId="5A19788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2540" b="1270"/>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8"/>
                    <a:stretch>
                      <a:fillRect/>
                    </a:stretch>
                  </pic:blipFill>
                  <pic:spPr>
                    <a:xfrm>
                      <a:off x="0" y="0"/>
                      <a:ext cx="3131185" cy="2522855"/>
                    </a:xfrm>
                    <a:prstGeom prst="rect">
                      <a:avLst/>
                    </a:prstGeom>
                  </pic:spPr>
                </pic:pic>
              </a:graphicData>
            </a:graphic>
          </wp:inline>
        </w:drawing>
      </w:r>
    </w:p>
    <w:p w14:paraId="1E3147A8">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6396BA7E">
      <w:pPr>
        <w:spacing w:line="336"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lang w:eastAsia="zh-CN"/>
        </w:rPr>
        <w:t>可安全步行最短距离</w:t>
      </w:r>
      <w:r>
        <w:rPr>
          <w:rFonts w:hint="eastAsia" w:ascii="仿宋_GB2312" w:hAnsi="仿宋_GB2312" w:eastAsia="仿宋_GB2312" w:cs="仿宋_GB2312"/>
          <w:sz w:val="32"/>
          <w:szCs w:val="32"/>
          <w:lang w:eastAsia="zh-CN"/>
        </w:rPr>
        <w:t>。（如图12.4存在多条线路，取其中一条</w:t>
      </w:r>
      <w:r>
        <w:rPr>
          <w:rFonts w:hint="eastAsia" w:ascii="仿宋_GB2312" w:hAnsi="仿宋_GB2312" w:eastAsia="仿宋_GB2312" w:cs="仿宋_GB2312"/>
          <w:spacing w:val="10"/>
          <w:sz w:val="32"/>
          <w:szCs w:val="32"/>
          <w:lang w:eastAsia="zh-CN"/>
        </w:rPr>
        <w:t>可安全步行最短距离线路测量</w:t>
      </w:r>
      <w:r>
        <w:rPr>
          <w:rFonts w:hint="eastAsia" w:ascii="仿宋_GB2312" w:hAnsi="仿宋_GB2312" w:eastAsia="仿宋_GB2312" w:cs="仿宋_GB2312"/>
          <w:sz w:val="32"/>
          <w:szCs w:val="32"/>
          <w:lang w:eastAsia="zh-CN"/>
        </w:rPr>
        <w:t>）</w:t>
      </w:r>
    </w:p>
    <w:p w14:paraId="287D5209">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9"/>
                    <a:stretch>
                      <a:fillRect/>
                    </a:stretch>
                  </pic:blipFill>
                  <pic:spPr>
                    <a:xfrm>
                      <a:off x="0" y="0"/>
                      <a:ext cx="3330575" cy="2741930"/>
                    </a:xfrm>
                    <a:prstGeom prst="rect">
                      <a:avLst/>
                    </a:prstGeom>
                  </pic:spPr>
                </pic:pic>
              </a:graphicData>
            </a:graphic>
          </wp:inline>
        </w:drawing>
      </w:r>
    </w:p>
    <w:p w14:paraId="6AC0EA13">
      <w:pPr>
        <w:spacing w:line="360" w:lineRule="auto"/>
        <w:ind w:firstLine="640" w:firstLineChars="200"/>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图12.4</w:t>
      </w:r>
    </w:p>
    <w:p w14:paraId="05E0CDB2">
      <w:pPr>
        <w:pStyle w:val="2"/>
        <w:spacing w:line="336" w:lineRule="auto"/>
        <w:ind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（十三）封闭式小区内部、广场等区域零售点的间距测量方法均以原设计道路、人行通道正常安全步行的最短距离进行测量。</w:t>
      </w:r>
    </w:p>
    <w:p w14:paraId="44D9F702">
      <w:pPr>
        <w:pStyle w:val="2"/>
        <w:spacing w:line="336" w:lineRule="auto"/>
        <w:ind w:firstLine="680" w:firstLineChars="200"/>
        <w:rPr>
          <w:rFonts w:ascii="仿宋_GB2312" w:hAnsi="仿宋_GB2312" w:eastAsia="仿宋_GB2312" w:cs="仿宋_GB2312"/>
          <w:spacing w:val="10"/>
          <w:sz w:val="32"/>
          <w:szCs w:val="32"/>
          <w:lang w:eastAsia="zh-CN"/>
        </w:rPr>
      </w:pPr>
      <w:r>
        <w:rPr>
          <w:rFonts w:hint="eastAsia" w:ascii="仿宋_GB2312" w:hAnsi="仿宋_GB2312" w:eastAsia="仿宋_GB2312" w:cs="仿宋_GB2312"/>
          <w:spacing w:val="10"/>
          <w:sz w:val="32"/>
          <w:szCs w:val="32"/>
          <w:lang w:eastAsia="zh-CN"/>
        </w:rPr>
        <w:t>（十四）特殊地形测量：因地形、地貌或设计等原因导致道路、通道呈不规则形态，通过前述方法无法测量的，以可安全步行最短距离进行测量。</w:t>
      </w:r>
    </w:p>
    <w:p w14:paraId="1F76F64B">
      <w:pPr>
        <w:pStyle w:val="2"/>
        <w:spacing w:line="336" w:lineRule="auto"/>
        <w:rPr>
          <w:rFonts w:hint="eastAsia" w:ascii="仿宋_GB2312" w:hAnsi="黑体" w:cs="宋体" w:eastAsiaTheme="minorEastAsia"/>
          <w:sz w:val="32"/>
          <w:szCs w:val="32"/>
          <w:lang w:eastAsia="zh-CN" w:bidi="ug-CN"/>
        </w:rPr>
      </w:pPr>
    </w:p>
    <w:p w14:paraId="03426B59">
      <w:pPr>
        <w:spacing w:before="57" w:line="221" w:lineRule="auto"/>
        <w:ind w:left="0"/>
        <w:rPr>
          <w:rFonts w:hint="eastAsia" w:ascii="FangSong_GB2312" w:hAnsi="FangSong_GB2312" w:eastAsia="FangSong_GB2312" w:cs="FangSong_GB2312"/>
          <w:spacing w:val="26"/>
          <w:sz w:val="31"/>
          <w:szCs w:val="31"/>
          <w:lang w:eastAsia="zh-CN"/>
        </w:rPr>
        <w:sectPr>
          <w:footerReference r:id="rId6" w:type="default"/>
          <w:footerReference r:id="rId7" w:type="even"/>
          <w:pgSz w:w="11906" w:h="16838"/>
          <w:pgMar w:top="1440" w:right="1800" w:bottom="1440" w:left="1800" w:header="851" w:footer="992" w:gutter="0"/>
          <w:pgNumType w:fmt="decimal"/>
          <w:cols w:space="425" w:num="1"/>
          <w:docGrid w:type="lines" w:linePitch="312" w:charSpace="0"/>
        </w:sectPr>
      </w:pPr>
    </w:p>
    <w:p w14:paraId="0A6AD85B">
      <w:pPr>
        <w:spacing w:before="104" w:line="224" w:lineRule="auto"/>
        <w:ind w:left="619"/>
        <w:rPr>
          <w:rFonts w:hint="default" w:ascii="黑体" w:hAnsi="黑体" w:eastAsia="黑体" w:cs="黑体"/>
          <w:spacing w:val="8"/>
          <w:sz w:val="32"/>
          <w:szCs w:val="32"/>
          <w:lang w:val="en-US" w:eastAsia="zh-CN"/>
        </w:rPr>
      </w:pPr>
      <w:r>
        <w:rPr>
          <w:rFonts w:hint="eastAsia" w:ascii="黑体" w:hAnsi="黑体" w:eastAsia="黑体" w:cs="黑体"/>
          <w:spacing w:val="8"/>
          <w:sz w:val="32"/>
          <w:szCs w:val="32"/>
          <w:lang w:eastAsia="zh-CN"/>
        </w:rPr>
        <w:t>附件</w:t>
      </w:r>
      <w:r>
        <w:rPr>
          <w:rFonts w:hint="eastAsia" w:ascii="黑体" w:hAnsi="黑体" w:eastAsia="黑体" w:cs="黑体"/>
          <w:spacing w:val="8"/>
          <w:sz w:val="32"/>
          <w:szCs w:val="32"/>
          <w:lang w:val="en-US" w:eastAsia="zh-CN"/>
        </w:rPr>
        <w:t>2</w:t>
      </w:r>
    </w:p>
    <w:p w14:paraId="4455B26C">
      <w:pPr>
        <w:jc w:val="center"/>
        <w:rPr>
          <w:rFonts w:ascii="方正小标宋简体" w:eastAsia="方正小标宋简体"/>
          <w:sz w:val="44"/>
        </w:rPr>
      </w:pPr>
      <w:r>
        <w:rPr>
          <w:rFonts w:hint="eastAsia" w:ascii="方正小标宋简体" w:eastAsia="方正小标宋简体"/>
          <w:sz w:val="44"/>
        </w:rPr>
        <w:t>云南省易门县烟草制品零售点合理布局公示表</w:t>
      </w:r>
    </w:p>
    <w:p w14:paraId="605487F9">
      <w:r>
        <w:rPr>
          <w:rFonts w:hint="eastAsia" w:asciiTheme="minorEastAsia" w:hAnsiTheme="minorEastAsia"/>
          <w:sz w:val="24"/>
        </w:rPr>
        <w:t xml:space="preserve">单位：云南省易门县烟草专卖局                                        </w:t>
      </w:r>
      <w:r>
        <w:rPr>
          <w:rFonts w:asciiTheme="minorEastAsia" w:hAnsiTheme="minorEastAsia"/>
          <w:sz w:val="24"/>
        </w:rPr>
        <w:t xml:space="preserve">   </w:t>
      </w:r>
      <w:r>
        <w:rPr>
          <w:rFonts w:hint="eastAsia" w:asciiTheme="minorEastAsia" w:hAnsiTheme="minorEastAsia"/>
          <w:sz w:val="24"/>
        </w:rPr>
        <w:t>公示时间：2</w:t>
      </w:r>
      <w:r>
        <w:rPr>
          <w:rFonts w:asciiTheme="minorEastAsia" w:hAnsiTheme="minorEastAsia"/>
          <w:sz w:val="24"/>
        </w:rPr>
        <w:t>02</w:t>
      </w:r>
      <w:r>
        <w:rPr>
          <w:rFonts w:hint="eastAsia" w:asciiTheme="minorEastAsia" w:hAnsiTheme="minorEastAsia"/>
          <w:sz w:val="24"/>
        </w:rPr>
        <w:t>5年</w:t>
      </w:r>
      <w:r>
        <w:rPr>
          <w:rFonts w:hint="eastAsia" w:asciiTheme="minorEastAsia" w:hAnsiTheme="minorEastAsia"/>
          <w:sz w:val="24"/>
          <w:lang w:val="en-US" w:eastAsia="zh-CN"/>
        </w:rPr>
        <w:t>7</w:t>
      </w:r>
      <w:r>
        <w:rPr>
          <w:rFonts w:hint="eastAsia" w:asciiTheme="minorEastAsia" w:hAnsiTheme="minorEastAsia"/>
          <w:sz w:val="24"/>
        </w:rPr>
        <w:t>月</w:t>
      </w:r>
      <w:r>
        <w:rPr>
          <w:rFonts w:hint="eastAsia" w:asciiTheme="minorEastAsia" w:hAnsiTheme="minorEastAsia"/>
          <w:sz w:val="24"/>
          <w:lang w:val="en-US" w:eastAsia="zh-CN"/>
        </w:rPr>
        <w:t>3</w:t>
      </w:r>
      <w:r>
        <w:rPr>
          <w:rFonts w:hint="eastAsia" w:asciiTheme="minorEastAsia" w:hAnsiTheme="minorEastAsia"/>
          <w:sz w:val="24"/>
        </w:rPr>
        <w:t>日-</w:t>
      </w:r>
      <w:r>
        <w:rPr>
          <w:rFonts w:asciiTheme="minorEastAsia" w:hAnsiTheme="minorEastAsia"/>
          <w:sz w:val="24"/>
        </w:rPr>
        <w:t>202</w:t>
      </w:r>
      <w:r>
        <w:rPr>
          <w:rFonts w:hint="eastAsia" w:asciiTheme="minorEastAsia" w:hAnsiTheme="minorEastAsia"/>
          <w:sz w:val="24"/>
        </w:rPr>
        <w:t>5年</w:t>
      </w:r>
      <w:r>
        <w:rPr>
          <w:rFonts w:hint="eastAsia" w:asciiTheme="minorEastAsia" w:hAnsiTheme="minorEastAsia"/>
          <w:sz w:val="24"/>
          <w:lang w:val="en-US" w:eastAsia="zh-CN"/>
        </w:rPr>
        <w:t>7</w:t>
      </w:r>
      <w:r>
        <w:rPr>
          <w:rFonts w:hint="eastAsia" w:asciiTheme="minorEastAsia" w:hAnsiTheme="minorEastAsia"/>
          <w:sz w:val="24"/>
        </w:rPr>
        <w:t>月</w:t>
      </w:r>
      <w:r>
        <w:rPr>
          <w:rFonts w:hint="eastAsia" w:asciiTheme="minorEastAsia" w:hAnsiTheme="minorEastAsia"/>
          <w:sz w:val="24"/>
          <w:lang w:val="en-US" w:eastAsia="zh-CN"/>
        </w:rPr>
        <w:t>7</w:t>
      </w:r>
      <w:r>
        <w:rPr>
          <w:rFonts w:hint="eastAsia" w:asciiTheme="minorEastAsia" w:hAnsiTheme="minorEastAsia"/>
          <w:sz w:val="24"/>
        </w:rPr>
        <w:t>日</w:t>
      </w:r>
    </w:p>
    <w:tbl>
      <w:tblPr>
        <w:tblStyle w:val="6"/>
        <w:tblpPr w:leftFromText="180" w:rightFromText="180" w:vertAnchor="text" w:tblpXSpec="center" w:tblpY="1"/>
        <w:tblOverlap w:val="never"/>
        <w:tblW w:w="54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883"/>
        <w:gridCol w:w="4455"/>
        <w:gridCol w:w="1002"/>
        <w:gridCol w:w="1132"/>
        <w:gridCol w:w="775"/>
        <w:gridCol w:w="1167"/>
        <w:gridCol w:w="3858"/>
        <w:gridCol w:w="1011"/>
        <w:gridCol w:w="414"/>
      </w:tblGrid>
      <w:tr w14:paraId="1D3F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76" w:type="pct"/>
            <w:vAlign w:val="center"/>
          </w:tcPr>
          <w:p w14:paraId="52FBC6B1">
            <w:pPr>
              <w:ind w:firstLine="180" w:firstLineChars="100"/>
              <w:rPr>
                <w:rFonts w:asciiTheme="minorEastAsia" w:hAnsiTheme="minorEastAsia"/>
                <w:sz w:val="18"/>
                <w:szCs w:val="18"/>
              </w:rPr>
            </w:pPr>
            <w:r>
              <w:rPr>
                <w:rFonts w:hint="eastAsia" w:asciiTheme="minorEastAsia" w:hAnsiTheme="minorEastAsia"/>
                <w:sz w:val="18"/>
                <w:szCs w:val="18"/>
              </w:rPr>
              <w:t>名称</w:t>
            </w:r>
          </w:p>
        </w:tc>
        <w:tc>
          <w:tcPr>
            <w:tcW w:w="1716" w:type="pct"/>
            <w:gridSpan w:val="2"/>
            <w:vAlign w:val="center"/>
          </w:tcPr>
          <w:p w14:paraId="27DB0D6B">
            <w:pPr>
              <w:jc w:val="center"/>
              <w:rPr>
                <w:rFonts w:asciiTheme="minorEastAsia" w:hAnsiTheme="minorEastAsia"/>
                <w:sz w:val="18"/>
                <w:szCs w:val="18"/>
              </w:rPr>
            </w:pPr>
            <w:r>
              <w:rPr>
                <w:rFonts w:hint="eastAsia" w:asciiTheme="minorEastAsia" w:hAnsiTheme="minorEastAsia"/>
                <w:sz w:val="18"/>
                <w:szCs w:val="18"/>
                <w:lang w:bidi="ar"/>
              </w:rPr>
              <w:t>单元网格划分情况</w:t>
            </w:r>
          </w:p>
        </w:tc>
        <w:tc>
          <w:tcPr>
            <w:tcW w:w="935" w:type="pct"/>
            <w:gridSpan w:val="3"/>
            <w:vAlign w:val="center"/>
          </w:tcPr>
          <w:p w14:paraId="457895D3">
            <w:pPr>
              <w:jc w:val="center"/>
              <w:rPr>
                <w:rFonts w:asciiTheme="minorEastAsia" w:hAnsiTheme="minorEastAsia"/>
                <w:sz w:val="18"/>
                <w:szCs w:val="18"/>
              </w:rPr>
            </w:pPr>
            <w:r>
              <w:rPr>
                <w:rFonts w:hint="eastAsia" w:asciiTheme="minorEastAsia" w:hAnsiTheme="minorEastAsia"/>
                <w:sz w:val="18"/>
                <w:szCs w:val="18"/>
                <w:lang w:bidi="ar"/>
              </w:rPr>
              <w:t>单元网格数量情况</w:t>
            </w:r>
          </w:p>
        </w:tc>
        <w:tc>
          <w:tcPr>
            <w:tcW w:w="1615" w:type="pct"/>
            <w:gridSpan w:val="2"/>
            <w:vAlign w:val="center"/>
          </w:tcPr>
          <w:p w14:paraId="5EC73FEF">
            <w:pPr>
              <w:jc w:val="center"/>
              <w:rPr>
                <w:rFonts w:asciiTheme="minorEastAsia" w:hAnsiTheme="minorEastAsia"/>
                <w:sz w:val="18"/>
                <w:szCs w:val="18"/>
              </w:rPr>
            </w:pPr>
            <w:r>
              <w:rPr>
                <w:rFonts w:hint="eastAsia" w:asciiTheme="minorEastAsia" w:hAnsiTheme="minorEastAsia"/>
                <w:sz w:val="18"/>
                <w:szCs w:val="18"/>
                <w:lang w:bidi="ar"/>
              </w:rPr>
              <w:t>单元网格数量情况</w:t>
            </w:r>
          </w:p>
        </w:tc>
        <w:tc>
          <w:tcPr>
            <w:tcW w:w="325" w:type="pct"/>
            <w:vAlign w:val="center"/>
          </w:tcPr>
          <w:p w14:paraId="63187BC4">
            <w:pPr>
              <w:jc w:val="center"/>
              <w:rPr>
                <w:rFonts w:asciiTheme="minorEastAsia" w:hAnsiTheme="minorEastAsia"/>
                <w:sz w:val="18"/>
                <w:szCs w:val="18"/>
              </w:rPr>
            </w:pPr>
            <w:r>
              <w:rPr>
                <w:rFonts w:hint="eastAsia" w:asciiTheme="minorEastAsia" w:hAnsiTheme="minorEastAsia"/>
                <w:sz w:val="18"/>
                <w:szCs w:val="18"/>
                <w:lang w:bidi="ar"/>
              </w:rPr>
              <w:t>总量情况(个</w:t>
            </w:r>
            <w:r>
              <w:rPr>
                <w:rFonts w:asciiTheme="minorEastAsia" w:hAnsiTheme="minorEastAsia"/>
                <w:sz w:val="18"/>
                <w:szCs w:val="18"/>
                <w:lang w:bidi="ar"/>
              </w:rPr>
              <w:t>)</w:t>
            </w:r>
          </w:p>
        </w:tc>
        <w:tc>
          <w:tcPr>
            <w:tcW w:w="133" w:type="pct"/>
            <w:vAlign w:val="center"/>
          </w:tcPr>
          <w:p w14:paraId="59991D05">
            <w:pPr>
              <w:jc w:val="center"/>
              <w:rPr>
                <w:rFonts w:asciiTheme="minorEastAsia" w:hAnsiTheme="minorEastAsia"/>
                <w:sz w:val="18"/>
                <w:szCs w:val="18"/>
              </w:rPr>
            </w:pPr>
            <w:r>
              <w:rPr>
                <w:rFonts w:hint="eastAsia" w:asciiTheme="minorEastAsia" w:hAnsiTheme="minorEastAsia"/>
                <w:sz w:val="18"/>
                <w:szCs w:val="18"/>
              </w:rPr>
              <w:t>备注</w:t>
            </w:r>
          </w:p>
        </w:tc>
      </w:tr>
      <w:tr w14:paraId="43B4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76" w:type="pct"/>
            <w:vMerge w:val="restart"/>
            <w:vAlign w:val="center"/>
          </w:tcPr>
          <w:p w14:paraId="661108D5">
            <w:pPr>
              <w:jc w:val="center"/>
              <w:rPr>
                <w:rFonts w:asciiTheme="minorEastAsia" w:hAnsiTheme="minorEastAsia"/>
                <w:sz w:val="18"/>
                <w:szCs w:val="18"/>
              </w:rPr>
            </w:pPr>
            <w:r>
              <w:rPr>
                <w:rFonts w:hint="eastAsia" w:asciiTheme="minorEastAsia" w:hAnsiTheme="minorEastAsia"/>
                <w:sz w:val="18"/>
                <w:szCs w:val="18"/>
              </w:rPr>
              <w:t>易门县</w:t>
            </w:r>
          </w:p>
        </w:tc>
        <w:tc>
          <w:tcPr>
            <w:tcW w:w="284" w:type="pct"/>
            <w:vAlign w:val="center"/>
          </w:tcPr>
          <w:p w14:paraId="4673E113">
            <w:pPr>
              <w:jc w:val="center"/>
              <w:rPr>
                <w:rFonts w:asciiTheme="minorEastAsia" w:hAnsiTheme="minorEastAsia"/>
                <w:sz w:val="18"/>
                <w:szCs w:val="18"/>
              </w:rPr>
            </w:pPr>
            <w:r>
              <w:rPr>
                <w:rFonts w:hint="eastAsia" w:asciiTheme="minorEastAsia" w:hAnsiTheme="minorEastAsia"/>
                <w:sz w:val="18"/>
                <w:szCs w:val="18"/>
              </w:rPr>
              <w:t>名称</w:t>
            </w:r>
          </w:p>
        </w:tc>
        <w:tc>
          <w:tcPr>
            <w:tcW w:w="1432" w:type="pct"/>
            <w:vAlign w:val="center"/>
          </w:tcPr>
          <w:p w14:paraId="3E358A88">
            <w:pPr>
              <w:jc w:val="center"/>
              <w:rPr>
                <w:rFonts w:asciiTheme="minorEastAsia" w:hAnsiTheme="minorEastAsia"/>
                <w:sz w:val="18"/>
                <w:szCs w:val="18"/>
              </w:rPr>
            </w:pPr>
            <w:r>
              <w:rPr>
                <w:rFonts w:asciiTheme="minorEastAsia" w:hAnsiTheme="minorEastAsia"/>
                <w:sz w:val="18"/>
                <w:szCs w:val="18"/>
              </w:rPr>
              <w:t>区域描述</w:t>
            </w:r>
          </w:p>
        </w:tc>
        <w:tc>
          <w:tcPr>
            <w:tcW w:w="322" w:type="pct"/>
            <w:vAlign w:val="center"/>
          </w:tcPr>
          <w:p w14:paraId="79B0FC63">
            <w:pPr>
              <w:jc w:val="center"/>
              <w:rPr>
                <w:rFonts w:asciiTheme="minorEastAsia" w:hAnsiTheme="minorEastAsia"/>
                <w:sz w:val="18"/>
                <w:szCs w:val="18"/>
              </w:rPr>
            </w:pPr>
            <w:r>
              <w:rPr>
                <w:rFonts w:hint="eastAsia" w:asciiTheme="minorEastAsia" w:hAnsiTheme="minorEastAsia"/>
                <w:sz w:val="18"/>
                <w:szCs w:val="18"/>
                <w:lang w:bidi="ar"/>
              </w:rPr>
              <w:t>规划数(个</w:t>
            </w:r>
            <w:r>
              <w:rPr>
                <w:rFonts w:asciiTheme="minorEastAsia" w:hAnsiTheme="minorEastAsia"/>
                <w:sz w:val="18"/>
                <w:szCs w:val="18"/>
                <w:lang w:bidi="ar"/>
              </w:rPr>
              <w:t>)</w:t>
            </w:r>
          </w:p>
        </w:tc>
        <w:tc>
          <w:tcPr>
            <w:tcW w:w="364" w:type="pct"/>
            <w:vAlign w:val="center"/>
          </w:tcPr>
          <w:p w14:paraId="23DFAB14">
            <w:pPr>
              <w:jc w:val="center"/>
              <w:rPr>
                <w:rFonts w:asciiTheme="minorEastAsia" w:hAnsiTheme="minorEastAsia"/>
                <w:sz w:val="18"/>
                <w:szCs w:val="18"/>
              </w:rPr>
            </w:pPr>
            <w:r>
              <w:rPr>
                <w:rFonts w:hint="eastAsia" w:asciiTheme="minorEastAsia" w:hAnsiTheme="minorEastAsia"/>
                <w:sz w:val="18"/>
                <w:szCs w:val="18"/>
                <w:lang w:bidi="ar"/>
              </w:rPr>
              <w:t>当前实际数(个</w:t>
            </w:r>
            <w:r>
              <w:rPr>
                <w:rFonts w:asciiTheme="minorEastAsia" w:hAnsiTheme="minorEastAsia"/>
                <w:sz w:val="18"/>
                <w:szCs w:val="18"/>
                <w:lang w:bidi="ar"/>
              </w:rPr>
              <w:t>)</w:t>
            </w:r>
          </w:p>
        </w:tc>
        <w:tc>
          <w:tcPr>
            <w:tcW w:w="249" w:type="pct"/>
            <w:vAlign w:val="center"/>
          </w:tcPr>
          <w:p w14:paraId="6D406744">
            <w:pPr>
              <w:jc w:val="center"/>
              <w:rPr>
                <w:rFonts w:asciiTheme="minorEastAsia" w:hAnsiTheme="minorEastAsia"/>
                <w:sz w:val="18"/>
                <w:szCs w:val="18"/>
              </w:rPr>
            </w:pPr>
            <w:r>
              <w:rPr>
                <w:rFonts w:hint="eastAsia" w:asciiTheme="minorEastAsia" w:hAnsiTheme="minorEastAsia"/>
                <w:sz w:val="18"/>
                <w:szCs w:val="18"/>
                <w:lang w:bidi="ar"/>
              </w:rPr>
              <w:t>余量(个</w:t>
            </w:r>
            <w:r>
              <w:rPr>
                <w:rFonts w:asciiTheme="minorEastAsia" w:hAnsiTheme="minorEastAsia"/>
                <w:sz w:val="18"/>
                <w:szCs w:val="18"/>
                <w:lang w:bidi="ar"/>
              </w:rPr>
              <w:t>)</w:t>
            </w:r>
          </w:p>
        </w:tc>
        <w:tc>
          <w:tcPr>
            <w:tcW w:w="375" w:type="pct"/>
            <w:vAlign w:val="center"/>
          </w:tcPr>
          <w:p w14:paraId="6D3A5735">
            <w:pPr>
              <w:jc w:val="center"/>
              <w:rPr>
                <w:rFonts w:asciiTheme="minorEastAsia" w:hAnsiTheme="minorEastAsia"/>
                <w:sz w:val="18"/>
                <w:szCs w:val="18"/>
              </w:rPr>
            </w:pPr>
            <w:r>
              <w:rPr>
                <w:rFonts w:hint="eastAsia" w:asciiTheme="minorEastAsia" w:hAnsiTheme="minorEastAsia"/>
                <w:sz w:val="18"/>
                <w:szCs w:val="18"/>
              </w:rPr>
              <w:t>零售点间距</w:t>
            </w:r>
            <w:r>
              <w:rPr>
                <w:rFonts w:hint="eastAsia" w:asciiTheme="minorEastAsia" w:hAnsiTheme="minorEastAsia"/>
                <w:sz w:val="18"/>
                <w:szCs w:val="18"/>
                <w:lang w:bidi="ar"/>
              </w:rPr>
              <w:t>(米</w:t>
            </w:r>
            <w:r>
              <w:rPr>
                <w:rFonts w:asciiTheme="minorEastAsia" w:hAnsiTheme="minorEastAsia"/>
                <w:sz w:val="18"/>
                <w:szCs w:val="18"/>
                <w:lang w:bidi="ar"/>
              </w:rPr>
              <w:t>)</w:t>
            </w:r>
          </w:p>
        </w:tc>
        <w:tc>
          <w:tcPr>
            <w:tcW w:w="1240" w:type="pct"/>
            <w:vAlign w:val="center"/>
          </w:tcPr>
          <w:p w14:paraId="3D97C308">
            <w:pPr>
              <w:jc w:val="center"/>
              <w:rPr>
                <w:rFonts w:asciiTheme="minorEastAsia" w:hAnsiTheme="minorEastAsia"/>
                <w:sz w:val="18"/>
                <w:szCs w:val="18"/>
              </w:rPr>
            </w:pPr>
            <w:r>
              <w:rPr>
                <w:rFonts w:hint="eastAsia" w:asciiTheme="minorEastAsia" w:hAnsiTheme="minorEastAsia"/>
                <w:sz w:val="18"/>
                <w:szCs w:val="18"/>
              </w:rPr>
              <w:t>其他条件描述</w:t>
            </w:r>
          </w:p>
        </w:tc>
        <w:tc>
          <w:tcPr>
            <w:tcW w:w="325" w:type="pct"/>
            <w:vMerge w:val="restart"/>
            <w:vAlign w:val="center"/>
          </w:tcPr>
          <w:p w14:paraId="2DC089AB">
            <w:pPr>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000</w:t>
            </w:r>
          </w:p>
        </w:tc>
        <w:tc>
          <w:tcPr>
            <w:tcW w:w="133" w:type="pct"/>
            <w:vAlign w:val="center"/>
          </w:tcPr>
          <w:p w14:paraId="10AE38E2">
            <w:pPr>
              <w:jc w:val="center"/>
              <w:rPr>
                <w:rFonts w:asciiTheme="minorEastAsia" w:hAnsiTheme="minorEastAsia"/>
                <w:sz w:val="18"/>
                <w:szCs w:val="18"/>
              </w:rPr>
            </w:pPr>
          </w:p>
        </w:tc>
      </w:tr>
      <w:tr w14:paraId="5197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276" w:type="pct"/>
            <w:vMerge w:val="continue"/>
            <w:vAlign w:val="center"/>
          </w:tcPr>
          <w:p w14:paraId="4A0621E0">
            <w:pPr>
              <w:jc w:val="center"/>
              <w:rPr>
                <w:rFonts w:asciiTheme="minorEastAsia" w:hAnsiTheme="minorEastAsia"/>
                <w:sz w:val="18"/>
                <w:szCs w:val="18"/>
              </w:rPr>
            </w:pPr>
          </w:p>
        </w:tc>
        <w:tc>
          <w:tcPr>
            <w:tcW w:w="284" w:type="pct"/>
            <w:vAlign w:val="center"/>
          </w:tcPr>
          <w:p w14:paraId="3A8C3C90">
            <w:pPr>
              <w:jc w:val="center"/>
              <w:rPr>
                <w:rFonts w:asciiTheme="minorEastAsia" w:hAnsiTheme="minorEastAsia"/>
                <w:sz w:val="18"/>
                <w:szCs w:val="18"/>
              </w:rPr>
            </w:pPr>
            <w:r>
              <w:rPr>
                <w:rFonts w:hint="eastAsia" w:asciiTheme="minorEastAsia" w:hAnsiTheme="minorEastAsia"/>
                <w:sz w:val="18"/>
                <w:szCs w:val="18"/>
                <w:lang w:bidi="ar"/>
              </w:rPr>
              <w:t>龙泉北片区</w:t>
            </w:r>
          </w:p>
        </w:tc>
        <w:tc>
          <w:tcPr>
            <w:tcW w:w="1432" w:type="pct"/>
            <w:vAlign w:val="center"/>
          </w:tcPr>
          <w:p w14:paraId="053231B7">
            <w:pPr>
              <w:rPr>
                <w:rFonts w:asciiTheme="minorEastAsia" w:hAnsiTheme="minorEastAsia"/>
                <w:sz w:val="18"/>
                <w:szCs w:val="18"/>
                <w:lang w:bidi="ar"/>
              </w:rPr>
            </w:pPr>
            <w:r>
              <w:rPr>
                <w:rFonts w:asciiTheme="minorEastAsia" w:hAnsiTheme="minorEastAsia"/>
                <w:sz w:val="18"/>
                <w:szCs w:val="18"/>
                <w:lang w:bidi="ar"/>
              </w:rPr>
              <w:t>龙泉街道龙泉路</w:t>
            </w:r>
            <w:r>
              <w:rPr>
                <w:rFonts w:hint="eastAsia" w:asciiTheme="minorEastAsia" w:hAnsiTheme="minorEastAsia"/>
                <w:sz w:val="18"/>
                <w:szCs w:val="18"/>
                <w:lang w:bidi="ar"/>
              </w:rPr>
              <w:t>—方屯路—菌乡大道以北—易兴路以北含易门县梨园湖公园—西环路以北—文昌路—南屯湖东路含御景龙园—南屯湖北路含易门野生菌博物馆—南屯湖西路含易门县园林绿化管理所—龙泉路</w:t>
            </w:r>
          </w:p>
        </w:tc>
        <w:tc>
          <w:tcPr>
            <w:tcW w:w="322" w:type="pct"/>
            <w:vAlign w:val="center"/>
          </w:tcPr>
          <w:p w14:paraId="65AA84FF">
            <w:pPr>
              <w:jc w:val="center"/>
              <w:rPr>
                <w:rFonts w:asciiTheme="minorEastAsia" w:hAnsiTheme="minorEastAsia"/>
                <w:sz w:val="18"/>
                <w:szCs w:val="18"/>
              </w:rPr>
            </w:pPr>
            <w:r>
              <w:rPr>
                <w:rFonts w:hint="eastAsia" w:asciiTheme="minorEastAsia" w:hAnsiTheme="minorEastAsia"/>
                <w:sz w:val="18"/>
                <w:szCs w:val="18"/>
              </w:rPr>
              <w:t>230</w:t>
            </w:r>
          </w:p>
        </w:tc>
        <w:tc>
          <w:tcPr>
            <w:tcW w:w="364" w:type="pct"/>
            <w:vAlign w:val="center"/>
          </w:tcPr>
          <w:p w14:paraId="6AC40C0D">
            <w:pPr>
              <w:jc w:val="center"/>
              <w:rPr>
                <w:rFonts w:hint="default" w:asciiTheme="minorEastAsia" w:hAnsiTheme="minorEastAsia" w:eastAsiaTheme="minorEastAsia"/>
                <w:sz w:val="18"/>
                <w:szCs w:val="18"/>
                <w:lang w:val="en-US" w:eastAsia="zh-CN"/>
              </w:rPr>
            </w:pPr>
            <w:r>
              <w:rPr>
                <w:rFonts w:hint="eastAsia" w:asciiTheme="minorEastAsia" w:hAnsiTheme="minorEastAsia"/>
                <w:sz w:val="18"/>
                <w:szCs w:val="18"/>
                <w:lang w:val="en-US" w:eastAsia="zh-CN"/>
              </w:rPr>
              <w:t>226</w:t>
            </w:r>
          </w:p>
        </w:tc>
        <w:tc>
          <w:tcPr>
            <w:tcW w:w="249" w:type="pct"/>
            <w:vAlign w:val="center"/>
          </w:tcPr>
          <w:p w14:paraId="1CB6CAA7">
            <w:pPr>
              <w:jc w:val="center"/>
              <w:rPr>
                <w:rFonts w:hint="eastAsia" w:asciiTheme="minorEastAsia" w:hAnsiTheme="minorEastAsia" w:eastAsiaTheme="minorEastAsia"/>
                <w:sz w:val="18"/>
                <w:szCs w:val="18"/>
                <w:lang w:eastAsia="zh-CN"/>
              </w:rPr>
            </w:pPr>
            <w:r>
              <w:rPr>
                <w:rFonts w:hint="eastAsia" w:asciiTheme="minorEastAsia" w:hAnsiTheme="minorEastAsia"/>
                <w:sz w:val="18"/>
                <w:szCs w:val="18"/>
                <w:lang w:val="en-US" w:eastAsia="zh-CN"/>
              </w:rPr>
              <w:t>4</w:t>
            </w:r>
          </w:p>
        </w:tc>
        <w:tc>
          <w:tcPr>
            <w:tcW w:w="375" w:type="pct"/>
            <w:vMerge w:val="restart"/>
            <w:vAlign w:val="center"/>
          </w:tcPr>
          <w:p w14:paraId="27D2AC0E">
            <w:pPr>
              <w:jc w:val="center"/>
              <w:rPr>
                <w:rFonts w:asciiTheme="minorEastAsia" w:hAnsiTheme="minorEastAsia"/>
                <w:sz w:val="18"/>
                <w:szCs w:val="18"/>
              </w:rPr>
            </w:pPr>
            <w:r>
              <w:rPr>
                <w:rFonts w:hint="eastAsia" w:asciiTheme="minorEastAsia" w:hAnsiTheme="minorEastAsia"/>
                <w:sz w:val="18"/>
                <w:szCs w:val="18"/>
              </w:rPr>
              <w:t>5</w:t>
            </w:r>
            <w:r>
              <w:rPr>
                <w:rFonts w:asciiTheme="minorEastAsia" w:hAnsiTheme="minorEastAsia"/>
                <w:sz w:val="18"/>
                <w:szCs w:val="18"/>
              </w:rPr>
              <w:t>0</w:t>
            </w:r>
          </w:p>
        </w:tc>
        <w:tc>
          <w:tcPr>
            <w:tcW w:w="1240" w:type="pct"/>
            <w:vMerge w:val="restart"/>
            <w:vAlign w:val="center"/>
          </w:tcPr>
          <w:p w14:paraId="7CAC25FB">
            <w:pPr>
              <w:rPr>
                <w:rFonts w:asciiTheme="minorEastAsia" w:hAnsiTheme="minorEastAsia"/>
                <w:sz w:val="18"/>
                <w:szCs w:val="18"/>
              </w:rPr>
            </w:pPr>
            <w:r>
              <w:rPr>
                <w:rFonts w:hint="eastAsia" w:asciiTheme="minorEastAsia" w:hAnsiTheme="minorEastAsia"/>
                <w:sz w:val="18"/>
                <w:szCs w:val="18"/>
              </w:rPr>
              <w:t>1.相对封闭式居民住宅小区内部商铺，按住户数进行布局，居住户数100户以内可以设置1个零售点，超过100户的，每100户可增设1个零售点，零售点间距不少于50米，且经营场所必须为平层开放式门店；居民住宅小区的临街门面，面朝小区外部经营，按照所在路段街道（路）设置零售点。</w:t>
            </w:r>
          </w:p>
          <w:p w14:paraId="14661E05">
            <w:pPr>
              <w:rPr>
                <w:rFonts w:asciiTheme="minorEastAsia" w:hAnsiTheme="minorEastAsia"/>
                <w:sz w:val="18"/>
                <w:szCs w:val="18"/>
              </w:rPr>
            </w:pPr>
            <w:r>
              <w:rPr>
                <w:rFonts w:hint="eastAsia" w:asciiTheme="minorEastAsia" w:hAnsiTheme="minorEastAsia"/>
                <w:sz w:val="18"/>
                <w:szCs w:val="18"/>
              </w:rPr>
              <w:t>2.人口较为集中、相对独立的综合性商（农）贸市场或区域，根据该区域内固定商铺数量设置零售点，20间商铺以内可设置1个零售点，且间距不少于30米；超过20间的，每20间增设1个零售点，且满足间距不少于30米。因道路规划、城市建设等客观原因，造成综合性商（农）贸市场或区域整体搬迁的，持证人申请变更到新建综合性商（农）贸市场或区域内经营的，不受固定商铺数量限制，受零售点间距限制。</w:t>
            </w:r>
          </w:p>
          <w:p w14:paraId="36985313">
            <w:pPr>
              <w:rPr>
                <w:rFonts w:asciiTheme="minorEastAsia" w:hAnsiTheme="minorEastAsia"/>
                <w:sz w:val="18"/>
                <w:szCs w:val="18"/>
              </w:rPr>
            </w:pPr>
            <w:r>
              <w:rPr>
                <w:rFonts w:hint="eastAsia" w:asciiTheme="minorEastAsia" w:hAnsiTheme="minorEastAsia"/>
                <w:sz w:val="18"/>
                <w:szCs w:val="18"/>
              </w:rPr>
              <w:t>店面内外相通的商铺，既要符合所在街道、路段的间距要求又要符合所在区域的固定商铺数量和30米间距要求。</w:t>
            </w:r>
          </w:p>
          <w:p w14:paraId="00FCF5B8">
            <w:pPr>
              <w:rPr>
                <w:rFonts w:asciiTheme="minorEastAsia" w:hAnsiTheme="minorEastAsia"/>
                <w:sz w:val="18"/>
                <w:szCs w:val="18"/>
              </w:rPr>
            </w:pPr>
            <w:r>
              <w:rPr>
                <w:rFonts w:hint="eastAsia" w:asciiTheme="minorEastAsia" w:hAnsiTheme="minorEastAsia"/>
                <w:sz w:val="18"/>
                <w:szCs w:val="18"/>
              </w:rPr>
              <w:t>3.单层经营场所面积在200平方米以上，且服务时间在12小时/天以上的商场、超市、休闲娱乐等场所，不受间距限制（中小学、幼儿园周边除外）。</w:t>
            </w:r>
          </w:p>
          <w:p w14:paraId="65C58AE6">
            <w:pPr>
              <w:rPr>
                <w:rFonts w:asciiTheme="minorEastAsia" w:hAnsiTheme="minorEastAsia"/>
                <w:sz w:val="18"/>
                <w:szCs w:val="18"/>
              </w:rPr>
            </w:pPr>
            <w:r>
              <w:rPr>
                <w:rFonts w:hint="eastAsia" w:asciiTheme="minorEastAsia" w:hAnsiTheme="minorEastAsia"/>
                <w:sz w:val="18"/>
                <w:szCs w:val="18"/>
              </w:rPr>
              <w:t>4.自然村及搬迁点，按实际居住人口数进行布局，人口数200人以内可以设置1个零售点，每增加200人可增设1个零售点，且零售点间距不少于30米（实际居住人口以政府部门提供的人口数据为准）。</w:t>
            </w:r>
          </w:p>
          <w:p w14:paraId="2830E91B">
            <w:pPr>
              <w:rPr>
                <w:rFonts w:asciiTheme="minorEastAsia" w:hAnsiTheme="minorEastAsia"/>
                <w:sz w:val="18"/>
                <w:szCs w:val="18"/>
              </w:rPr>
            </w:pPr>
            <w:r>
              <w:rPr>
                <w:rFonts w:hint="eastAsia" w:asciiTheme="minorEastAsia" w:hAnsiTheme="minorEastAsia"/>
                <w:sz w:val="18"/>
                <w:szCs w:val="18"/>
              </w:rPr>
              <w:t>5.厂矿、园区等相对封闭区域为满足员工消费需求，需从事烟草制品零售业务的超市、便利店等经营场所，根据该区域内部员工人数为依据设置零售点，每500人以内可设置1个零售点，超过500人的，每500人设1个零售点，且间距不少于50米，最多可设置3个零售点。</w:t>
            </w:r>
          </w:p>
          <w:p w14:paraId="3AC03CFC">
            <w:pPr>
              <w:rPr>
                <w:rFonts w:asciiTheme="minorEastAsia" w:hAnsiTheme="minorEastAsia"/>
                <w:sz w:val="18"/>
                <w:szCs w:val="18"/>
              </w:rPr>
            </w:pPr>
            <w:r>
              <w:rPr>
                <w:rFonts w:hint="eastAsia" w:asciiTheme="minorEastAsia" w:hAnsiTheme="minorEastAsia"/>
                <w:sz w:val="18"/>
                <w:szCs w:val="18"/>
              </w:rPr>
              <w:t>6.工业园区主干道公路沿线零售点间距不少于50米。</w:t>
            </w:r>
          </w:p>
        </w:tc>
        <w:tc>
          <w:tcPr>
            <w:tcW w:w="325" w:type="pct"/>
            <w:vMerge w:val="continue"/>
            <w:vAlign w:val="center"/>
          </w:tcPr>
          <w:p w14:paraId="6460E52E">
            <w:pPr>
              <w:rPr>
                <w:rFonts w:asciiTheme="minorEastAsia" w:hAnsiTheme="minorEastAsia"/>
                <w:sz w:val="18"/>
                <w:szCs w:val="18"/>
              </w:rPr>
            </w:pPr>
          </w:p>
        </w:tc>
        <w:tc>
          <w:tcPr>
            <w:tcW w:w="133" w:type="pct"/>
            <w:vAlign w:val="center"/>
          </w:tcPr>
          <w:p w14:paraId="58E4ACF0">
            <w:pPr>
              <w:rPr>
                <w:rFonts w:asciiTheme="minorEastAsia" w:hAnsiTheme="minorEastAsia"/>
                <w:sz w:val="18"/>
                <w:szCs w:val="18"/>
              </w:rPr>
            </w:pPr>
          </w:p>
        </w:tc>
      </w:tr>
      <w:tr w14:paraId="222C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76" w:type="pct"/>
            <w:vMerge w:val="continue"/>
            <w:vAlign w:val="center"/>
          </w:tcPr>
          <w:p w14:paraId="6F6B7AF6">
            <w:pPr>
              <w:jc w:val="center"/>
              <w:rPr>
                <w:rFonts w:asciiTheme="minorEastAsia" w:hAnsiTheme="minorEastAsia"/>
                <w:sz w:val="18"/>
                <w:szCs w:val="18"/>
              </w:rPr>
            </w:pPr>
          </w:p>
        </w:tc>
        <w:tc>
          <w:tcPr>
            <w:tcW w:w="284" w:type="pct"/>
            <w:vAlign w:val="center"/>
          </w:tcPr>
          <w:p w14:paraId="7CA44C5D">
            <w:pPr>
              <w:jc w:val="center"/>
              <w:rPr>
                <w:rFonts w:asciiTheme="minorEastAsia" w:hAnsiTheme="minorEastAsia"/>
                <w:sz w:val="18"/>
                <w:szCs w:val="18"/>
              </w:rPr>
            </w:pPr>
            <w:r>
              <w:rPr>
                <w:rFonts w:hint="eastAsia" w:asciiTheme="minorEastAsia" w:hAnsiTheme="minorEastAsia"/>
                <w:sz w:val="18"/>
                <w:szCs w:val="18"/>
                <w:lang w:bidi="ar"/>
              </w:rPr>
              <w:t>龙泉南片区</w:t>
            </w:r>
          </w:p>
        </w:tc>
        <w:tc>
          <w:tcPr>
            <w:tcW w:w="1432" w:type="pct"/>
            <w:vAlign w:val="center"/>
          </w:tcPr>
          <w:p w14:paraId="4F739907">
            <w:pPr>
              <w:rPr>
                <w:rFonts w:asciiTheme="minorEastAsia" w:hAnsiTheme="minorEastAsia"/>
                <w:sz w:val="18"/>
                <w:szCs w:val="18"/>
              </w:rPr>
            </w:pPr>
            <w:r>
              <w:rPr>
                <w:rFonts w:hint="eastAsia" w:asciiTheme="minorEastAsia" w:hAnsiTheme="minorEastAsia"/>
                <w:sz w:val="18"/>
                <w:szCs w:val="18"/>
                <w:lang w:bidi="ar"/>
              </w:rPr>
              <w:t>龙泉街道龙泉路以南含易门县委党校—泉西路含东君酒业、易门县森林公安局及水源地休闲园—G357（易象段）含半山农家院—济川路含象山华庭—桥头街含云南铜业高级技工学校及云铜技校实习基地—水城大街含同心小区—易门县第一幼儿园—G357以南含中国石油罗所加油站、梅营南庄畜牧交易市场—X179含朝阳东苑小区—X095以北—方屯路（206县道）—龙泉路</w:t>
            </w:r>
          </w:p>
        </w:tc>
        <w:tc>
          <w:tcPr>
            <w:tcW w:w="322" w:type="pct"/>
            <w:vAlign w:val="center"/>
          </w:tcPr>
          <w:p w14:paraId="2DFAF0D9">
            <w:pPr>
              <w:jc w:val="center"/>
              <w:rPr>
                <w:rFonts w:hint="default" w:asciiTheme="minorEastAsia" w:hAnsiTheme="minorEastAsia" w:eastAsiaTheme="minorEastAsia"/>
                <w:sz w:val="18"/>
                <w:szCs w:val="18"/>
                <w:lang w:val="en-US" w:eastAsia="zh-CN"/>
              </w:rPr>
            </w:pPr>
            <w:r>
              <w:rPr>
                <w:rFonts w:hint="eastAsia" w:asciiTheme="minorEastAsia" w:hAnsiTheme="minorEastAsia"/>
                <w:sz w:val="18"/>
                <w:szCs w:val="18"/>
              </w:rPr>
              <w:t>2</w:t>
            </w:r>
            <w:r>
              <w:rPr>
                <w:rFonts w:hint="eastAsia" w:asciiTheme="minorEastAsia" w:hAnsiTheme="minorEastAsia"/>
                <w:sz w:val="18"/>
                <w:szCs w:val="18"/>
                <w:lang w:val="en-US" w:eastAsia="zh-CN"/>
              </w:rPr>
              <w:t>42</w:t>
            </w:r>
          </w:p>
        </w:tc>
        <w:tc>
          <w:tcPr>
            <w:tcW w:w="364" w:type="pct"/>
            <w:vAlign w:val="center"/>
          </w:tcPr>
          <w:p w14:paraId="2236C470">
            <w:pPr>
              <w:jc w:val="center"/>
              <w:rPr>
                <w:rFonts w:hint="default" w:asciiTheme="minorEastAsia" w:hAnsiTheme="minorEastAsia" w:eastAsiaTheme="minorEastAsia"/>
                <w:sz w:val="18"/>
                <w:szCs w:val="18"/>
                <w:lang w:val="en-US" w:eastAsia="zh-CN"/>
              </w:rPr>
            </w:pPr>
            <w:r>
              <w:rPr>
                <w:rFonts w:hint="eastAsia" w:asciiTheme="minorEastAsia" w:hAnsiTheme="minorEastAsia"/>
                <w:sz w:val="18"/>
                <w:szCs w:val="18"/>
                <w:lang w:val="en-US" w:eastAsia="zh-CN"/>
              </w:rPr>
              <w:t>230</w:t>
            </w:r>
          </w:p>
        </w:tc>
        <w:tc>
          <w:tcPr>
            <w:tcW w:w="249" w:type="pct"/>
            <w:vAlign w:val="center"/>
          </w:tcPr>
          <w:p w14:paraId="18415B08">
            <w:pPr>
              <w:jc w:val="center"/>
              <w:rPr>
                <w:rFonts w:hint="default" w:asciiTheme="minorEastAsia" w:hAnsiTheme="minorEastAsia" w:eastAsiaTheme="minorEastAsia"/>
                <w:sz w:val="18"/>
                <w:szCs w:val="18"/>
                <w:lang w:val="en-US" w:eastAsia="zh-CN"/>
              </w:rPr>
            </w:pPr>
            <w:r>
              <w:rPr>
                <w:rFonts w:hint="eastAsia" w:asciiTheme="minorEastAsia" w:hAnsiTheme="minorEastAsia"/>
                <w:sz w:val="18"/>
                <w:szCs w:val="18"/>
                <w:lang w:val="en-US" w:eastAsia="zh-CN"/>
              </w:rPr>
              <w:t>12</w:t>
            </w:r>
          </w:p>
        </w:tc>
        <w:tc>
          <w:tcPr>
            <w:tcW w:w="375" w:type="pct"/>
            <w:vMerge w:val="continue"/>
            <w:vAlign w:val="center"/>
          </w:tcPr>
          <w:p w14:paraId="0358D41C">
            <w:pPr>
              <w:rPr>
                <w:rFonts w:asciiTheme="minorEastAsia" w:hAnsiTheme="minorEastAsia"/>
                <w:sz w:val="18"/>
                <w:szCs w:val="18"/>
              </w:rPr>
            </w:pPr>
          </w:p>
        </w:tc>
        <w:tc>
          <w:tcPr>
            <w:tcW w:w="1240" w:type="pct"/>
            <w:vMerge w:val="continue"/>
            <w:vAlign w:val="center"/>
          </w:tcPr>
          <w:p w14:paraId="18EA7771">
            <w:pPr>
              <w:rPr>
                <w:rFonts w:asciiTheme="minorEastAsia" w:hAnsiTheme="minorEastAsia"/>
                <w:sz w:val="18"/>
                <w:szCs w:val="18"/>
              </w:rPr>
            </w:pPr>
          </w:p>
        </w:tc>
        <w:tc>
          <w:tcPr>
            <w:tcW w:w="325" w:type="pct"/>
            <w:vMerge w:val="continue"/>
            <w:vAlign w:val="center"/>
          </w:tcPr>
          <w:p w14:paraId="6816A650">
            <w:pPr>
              <w:rPr>
                <w:rFonts w:asciiTheme="minorEastAsia" w:hAnsiTheme="minorEastAsia"/>
                <w:sz w:val="18"/>
                <w:szCs w:val="18"/>
              </w:rPr>
            </w:pPr>
          </w:p>
        </w:tc>
        <w:tc>
          <w:tcPr>
            <w:tcW w:w="133" w:type="pct"/>
            <w:vAlign w:val="center"/>
          </w:tcPr>
          <w:p w14:paraId="4EE7E2AD">
            <w:pPr>
              <w:rPr>
                <w:rFonts w:asciiTheme="minorEastAsia" w:hAnsiTheme="minorEastAsia"/>
                <w:sz w:val="18"/>
                <w:szCs w:val="18"/>
              </w:rPr>
            </w:pPr>
          </w:p>
        </w:tc>
      </w:tr>
      <w:tr w14:paraId="521D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76" w:type="pct"/>
            <w:vMerge w:val="continue"/>
            <w:vAlign w:val="center"/>
          </w:tcPr>
          <w:p w14:paraId="297F6DBF">
            <w:pPr>
              <w:jc w:val="center"/>
              <w:rPr>
                <w:rFonts w:asciiTheme="minorEastAsia" w:hAnsiTheme="minorEastAsia"/>
                <w:sz w:val="18"/>
                <w:szCs w:val="18"/>
              </w:rPr>
            </w:pPr>
          </w:p>
        </w:tc>
        <w:tc>
          <w:tcPr>
            <w:tcW w:w="284" w:type="pct"/>
            <w:vAlign w:val="center"/>
          </w:tcPr>
          <w:p w14:paraId="53836E1E">
            <w:pPr>
              <w:jc w:val="center"/>
              <w:rPr>
                <w:rFonts w:asciiTheme="minorEastAsia" w:hAnsiTheme="minorEastAsia"/>
                <w:sz w:val="18"/>
                <w:szCs w:val="18"/>
              </w:rPr>
            </w:pPr>
            <w:r>
              <w:rPr>
                <w:rFonts w:hint="eastAsia" w:asciiTheme="minorEastAsia" w:hAnsiTheme="minorEastAsia"/>
                <w:sz w:val="18"/>
                <w:szCs w:val="18"/>
                <w:lang w:bidi="ar"/>
              </w:rPr>
              <w:t>龙泉城郊片区</w:t>
            </w:r>
          </w:p>
        </w:tc>
        <w:tc>
          <w:tcPr>
            <w:tcW w:w="1432" w:type="pct"/>
            <w:vAlign w:val="center"/>
          </w:tcPr>
          <w:p w14:paraId="1AEA0AE9">
            <w:pPr>
              <w:rPr>
                <w:rFonts w:asciiTheme="minorEastAsia" w:hAnsiTheme="minorEastAsia"/>
                <w:sz w:val="18"/>
                <w:szCs w:val="18"/>
              </w:rPr>
            </w:pPr>
            <w:r>
              <w:rPr>
                <w:rFonts w:hint="eastAsia" w:asciiTheme="minorEastAsia" w:hAnsiTheme="minorEastAsia"/>
                <w:sz w:val="18"/>
                <w:szCs w:val="18"/>
                <w:lang w:bidi="ar"/>
              </w:rPr>
              <w:t>龙泉街道中屯社区、罗所社区、梅营社区、曾所社区、江口社区、方屯社区、韩所社区、蔡营社区、水桥社区</w:t>
            </w:r>
          </w:p>
        </w:tc>
        <w:tc>
          <w:tcPr>
            <w:tcW w:w="322" w:type="pct"/>
            <w:vAlign w:val="center"/>
          </w:tcPr>
          <w:p w14:paraId="76744EE0">
            <w:pPr>
              <w:jc w:val="center"/>
              <w:rPr>
                <w:rFonts w:asciiTheme="minorEastAsia" w:hAnsiTheme="minorEastAsia"/>
                <w:sz w:val="18"/>
                <w:szCs w:val="18"/>
              </w:rPr>
            </w:pPr>
            <w:r>
              <w:rPr>
                <w:rFonts w:asciiTheme="minorEastAsia" w:hAnsiTheme="minorEastAsia"/>
                <w:sz w:val="18"/>
                <w:szCs w:val="18"/>
              </w:rPr>
              <w:t>1</w:t>
            </w:r>
            <w:r>
              <w:rPr>
                <w:rFonts w:hint="eastAsia" w:asciiTheme="minorEastAsia" w:hAnsiTheme="minorEastAsia"/>
                <w:sz w:val="18"/>
                <w:szCs w:val="18"/>
              </w:rPr>
              <w:t>55</w:t>
            </w:r>
          </w:p>
        </w:tc>
        <w:tc>
          <w:tcPr>
            <w:tcW w:w="364" w:type="pct"/>
            <w:vAlign w:val="center"/>
          </w:tcPr>
          <w:p w14:paraId="7478AC0C">
            <w:pPr>
              <w:jc w:val="center"/>
              <w:rPr>
                <w:rFonts w:hint="default" w:asciiTheme="minorEastAsia" w:hAnsiTheme="minorEastAsia" w:eastAsiaTheme="minorEastAsia"/>
                <w:sz w:val="18"/>
                <w:szCs w:val="18"/>
                <w:lang w:val="en-US" w:eastAsia="zh-CN"/>
              </w:rPr>
            </w:pPr>
            <w:r>
              <w:rPr>
                <w:rFonts w:hint="eastAsia" w:asciiTheme="minorEastAsia" w:hAnsiTheme="minorEastAsia"/>
                <w:sz w:val="18"/>
                <w:szCs w:val="18"/>
                <w:lang w:val="en-US" w:eastAsia="zh-CN"/>
              </w:rPr>
              <w:t>154</w:t>
            </w:r>
          </w:p>
        </w:tc>
        <w:tc>
          <w:tcPr>
            <w:tcW w:w="249" w:type="pct"/>
            <w:vAlign w:val="center"/>
          </w:tcPr>
          <w:p w14:paraId="507B70C2">
            <w:pPr>
              <w:jc w:val="center"/>
              <w:rPr>
                <w:rFonts w:hint="eastAsia" w:asciiTheme="minorEastAsia" w:hAnsiTheme="minorEastAsia" w:eastAsiaTheme="minorEastAsia"/>
                <w:sz w:val="18"/>
                <w:szCs w:val="18"/>
                <w:lang w:eastAsia="zh-CN"/>
              </w:rPr>
            </w:pPr>
            <w:r>
              <w:rPr>
                <w:rFonts w:hint="eastAsia" w:asciiTheme="minorEastAsia" w:hAnsiTheme="minorEastAsia"/>
                <w:sz w:val="18"/>
                <w:szCs w:val="18"/>
                <w:lang w:val="en-US" w:eastAsia="zh-CN"/>
              </w:rPr>
              <w:t>1</w:t>
            </w:r>
          </w:p>
        </w:tc>
        <w:tc>
          <w:tcPr>
            <w:tcW w:w="375" w:type="pct"/>
            <w:vMerge w:val="restart"/>
            <w:vAlign w:val="center"/>
          </w:tcPr>
          <w:p w14:paraId="45D172DB">
            <w:pPr>
              <w:jc w:val="center"/>
              <w:rPr>
                <w:rFonts w:asciiTheme="minorEastAsia" w:hAnsiTheme="minorEastAsia"/>
                <w:sz w:val="18"/>
                <w:szCs w:val="18"/>
              </w:rPr>
            </w:pPr>
            <w:r>
              <w:rPr>
                <w:rFonts w:hint="eastAsia" w:asciiTheme="minorEastAsia" w:hAnsiTheme="minorEastAsia"/>
                <w:sz w:val="18"/>
                <w:szCs w:val="18"/>
              </w:rPr>
              <w:t>3</w:t>
            </w:r>
            <w:r>
              <w:rPr>
                <w:rFonts w:asciiTheme="minorEastAsia" w:hAnsiTheme="minorEastAsia"/>
                <w:sz w:val="18"/>
                <w:szCs w:val="18"/>
              </w:rPr>
              <w:t>0</w:t>
            </w:r>
          </w:p>
        </w:tc>
        <w:tc>
          <w:tcPr>
            <w:tcW w:w="1240" w:type="pct"/>
            <w:vMerge w:val="continue"/>
            <w:vAlign w:val="center"/>
          </w:tcPr>
          <w:p w14:paraId="17115770">
            <w:pPr>
              <w:rPr>
                <w:rFonts w:asciiTheme="minorEastAsia" w:hAnsiTheme="minorEastAsia"/>
                <w:sz w:val="18"/>
                <w:szCs w:val="18"/>
              </w:rPr>
            </w:pPr>
          </w:p>
        </w:tc>
        <w:tc>
          <w:tcPr>
            <w:tcW w:w="325" w:type="pct"/>
            <w:vMerge w:val="continue"/>
            <w:vAlign w:val="center"/>
          </w:tcPr>
          <w:p w14:paraId="0C5A6BCE">
            <w:pPr>
              <w:rPr>
                <w:rFonts w:asciiTheme="minorEastAsia" w:hAnsiTheme="minorEastAsia"/>
                <w:sz w:val="18"/>
                <w:szCs w:val="18"/>
              </w:rPr>
            </w:pPr>
          </w:p>
        </w:tc>
        <w:tc>
          <w:tcPr>
            <w:tcW w:w="133" w:type="pct"/>
            <w:vAlign w:val="center"/>
          </w:tcPr>
          <w:p w14:paraId="1B6755D3">
            <w:pPr>
              <w:rPr>
                <w:rFonts w:asciiTheme="minorEastAsia" w:hAnsiTheme="minorEastAsia"/>
                <w:sz w:val="18"/>
                <w:szCs w:val="18"/>
              </w:rPr>
            </w:pPr>
          </w:p>
        </w:tc>
      </w:tr>
      <w:tr w14:paraId="5769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76" w:type="pct"/>
            <w:vMerge w:val="continue"/>
            <w:vAlign w:val="center"/>
          </w:tcPr>
          <w:p w14:paraId="3858D90D">
            <w:pPr>
              <w:jc w:val="center"/>
              <w:rPr>
                <w:rFonts w:asciiTheme="minorEastAsia" w:hAnsiTheme="minorEastAsia"/>
                <w:sz w:val="18"/>
                <w:szCs w:val="18"/>
              </w:rPr>
            </w:pPr>
          </w:p>
        </w:tc>
        <w:tc>
          <w:tcPr>
            <w:tcW w:w="284" w:type="pct"/>
            <w:vAlign w:val="center"/>
          </w:tcPr>
          <w:p w14:paraId="6517EB0C">
            <w:pPr>
              <w:jc w:val="center"/>
              <w:rPr>
                <w:rFonts w:asciiTheme="minorEastAsia" w:hAnsiTheme="minorEastAsia"/>
                <w:sz w:val="18"/>
                <w:szCs w:val="18"/>
              </w:rPr>
            </w:pPr>
            <w:r>
              <w:rPr>
                <w:rFonts w:hint="eastAsia" w:asciiTheme="minorEastAsia" w:hAnsiTheme="minorEastAsia"/>
                <w:sz w:val="18"/>
                <w:szCs w:val="18"/>
                <w:lang w:bidi="ar"/>
              </w:rPr>
              <w:t>浦贝乡片区</w:t>
            </w:r>
          </w:p>
        </w:tc>
        <w:tc>
          <w:tcPr>
            <w:tcW w:w="1432" w:type="pct"/>
            <w:vAlign w:val="center"/>
          </w:tcPr>
          <w:p w14:paraId="07DA4E90">
            <w:pPr>
              <w:rPr>
                <w:rFonts w:asciiTheme="minorEastAsia" w:hAnsiTheme="minorEastAsia"/>
                <w:sz w:val="18"/>
                <w:szCs w:val="18"/>
                <w:lang w:bidi="ar"/>
              </w:rPr>
            </w:pPr>
            <w:r>
              <w:rPr>
                <w:rFonts w:hint="eastAsia" w:asciiTheme="minorEastAsia" w:hAnsiTheme="minorEastAsia"/>
                <w:sz w:val="18"/>
                <w:szCs w:val="18"/>
                <w:lang w:bidi="ar"/>
              </w:rPr>
              <w:t>以乡行政区域界限为参考作为浦贝乡单元网格</w:t>
            </w:r>
          </w:p>
        </w:tc>
        <w:tc>
          <w:tcPr>
            <w:tcW w:w="322" w:type="pct"/>
            <w:vAlign w:val="center"/>
          </w:tcPr>
          <w:p w14:paraId="3445F493">
            <w:pPr>
              <w:jc w:val="center"/>
              <w:rPr>
                <w:rFonts w:asciiTheme="minorEastAsia" w:hAnsiTheme="minorEastAsia"/>
                <w:sz w:val="18"/>
                <w:szCs w:val="18"/>
              </w:rPr>
            </w:pPr>
            <w:r>
              <w:rPr>
                <w:rFonts w:hint="eastAsia" w:asciiTheme="minorEastAsia" w:hAnsiTheme="minorEastAsia"/>
                <w:sz w:val="18"/>
                <w:szCs w:val="18"/>
              </w:rPr>
              <w:t>62</w:t>
            </w:r>
          </w:p>
        </w:tc>
        <w:tc>
          <w:tcPr>
            <w:tcW w:w="364" w:type="pct"/>
            <w:vAlign w:val="center"/>
          </w:tcPr>
          <w:p w14:paraId="49A2AEA2">
            <w:pPr>
              <w:jc w:val="center"/>
              <w:rPr>
                <w:rFonts w:hint="default" w:asciiTheme="minorEastAsia" w:hAnsiTheme="minorEastAsia" w:eastAsiaTheme="minorEastAsia"/>
                <w:sz w:val="18"/>
                <w:szCs w:val="18"/>
                <w:lang w:val="en-US" w:eastAsia="zh-CN"/>
              </w:rPr>
            </w:pPr>
            <w:r>
              <w:rPr>
                <w:rFonts w:hint="eastAsia" w:asciiTheme="minorEastAsia" w:hAnsiTheme="minorEastAsia"/>
                <w:sz w:val="18"/>
                <w:szCs w:val="18"/>
                <w:lang w:val="en-US" w:eastAsia="zh-CN"/>
              </w:rPr>
              <w:t>61</w:t>
            </w:r>
          </w:p>
        </w:tc>
        <w:tc>
          <w:tcPr>
            <w:tcW w:w="249" w:type="pct"/>
            <w:vAlign w:val="center"/>
          </w:tcPr>
          <w:p w14:paraId="5E63B8A5">
            <w:pPr>
              <w:jc w:val="center"/>
              <w:rPr>
                <w:rFonts w:hint="eastAsia" w:asciiTheme="minorEastAsia" w:hAnsiTheme="minorEastAsia" w:eastAsiaTheme="minorEastAsia"/>
                <w:sz w:val="18"/>
                <w:szCs w:val="18"/>
                <w:lang w:eastAsia="zh-CN"/>
              </w:rPr>
            </w:pPr>
            <w:r>
              <w:rPr>
                <w:rFonts w:hint="eastAsia" w:asciiTheme="minorEastAsia" w:hAnsiTheme="minorEastAsia"/>
                <w:sz w:val="18"/>
                <w:szCs w:val="18"/>
                <w:lang w:val="en-US" w:eastAsia="zh-CN"/>
              </w:rPr>
              <w:t>1</w:t>
            </w:r>
          </w:p>
        </w:tc>
        <w:tc>
          <w:tcPr>
            <w:tcW w:w="375" w:type="pct"/>
            <w:vMerge w:val="continue"/>
            <w:vAlign w:val="center"/>
          </w:tcPr>
          <w:p w14:paraId="4DD5DA4B">
            <w:pPr>
              <w:jc w:val="center"/>
              <w:rPr>
                <w:rFonts w:asciiTheme="minorEastAsia" w:hAnsiTheme="minorEastAsia"/>
                <w:sz w:val="18"/>
                <w:szCs w:val="18"/>
              </w:rPr>
            </w:pPr>
          </w:p>
        </w:tc>
        <w:tc>
          <w:tcPr>
            <w:tcW w:w="1240" w:type="pct"/>
            <w:vMerge w:val="continue"/>
            <w:vAlign w:val="center"/>
          </w:tcPr>
          <w:p w14:paraId="733C3DAF">
            <w:pPr>
              <w:rPr>
                <w:rFonts w:asciiTheme="minorEastAsia" w:hAnsiTheme="minorEastAsia"/>
                <w:sz w:val="18"/>
                <w:szCs w:val="18"/>
              </w:rPr>
            </w:pPr>
          </w:p>
        </w:tc>
        <w:tc>
          <w:tcPr>
            <w:tcW w:w="325" w:type="pct"/>
            <w:vMerge w:val="continue"/>
            <w:vAlign w:val="center"/>
          </w:tcPr>
          <w:p w14:paraId="191502BC">
            <w:pPr>
              <w:rPr>
                <w:rFonts w:asciiTheme="minorEastAsia" w:hAnsiTheme="minorEastAsia"/>
                <w:sz w:val="18"/>
                <w:szCs w:val="18"/>
              </w:rPr>
            </w:pPr>
          </w:p>
        </w:tc>
        <w:tc>
          <w:tcPr>
            <w:tcW w:w="133" w:type="pct"/>
            <w:vAlign w:val="center"/>
          </w:tcPr>
          <w:p w14:paraId="3FD5D116">
            <w:pPr>
              <w:rPr>
                <w:rFonts w:asciiTheme="minorEastAsia" w:hAnsiTheme="minorEastAsia"/>
                <w:sz w:val="18"/>
                <w:szCs w:val="18"/>
              </w:rPr>
            </w:pPr>
          </w:p>
        </w:tc>
      </w:tr>
      <w:tr w14:paraId="2BF2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76" w:type="pct"/>
            <w:vMerge w:val="continue"/>
            <w:vAlign w:val="center"/>
          </w:tcPr>
          <w:p w14:paraId="7485D9E9">
            <w:pPr>
              <w:jc w:val="center"/>
              <w:rPr>
                <w:rFonts w:asciiTheme="minorEastAsia" w:hAnsiTheme="minorEastAsia"/>
                <w:sz w:val="18"/>
                <w:szCs w:val="18"/>
              </w:rPr>
            </w:pPr>
          </w:p>
        </w:tc>
        <w:tc>
          <w:tcPr>
            <w:tcW w:w="284" w:type="pct"/>
            <w:vAlign w:val="center"/>
          </w:tcPr>
          <w:p w14:paraId="335523C2">
            <w:pPr>
              <w:jc w:val="center"/>
              <w:rPr>
                <w:rFonts w:asciiTheme="minorEastAsia" w:hAnsiTheme="minorEastAsia"/>
                <w:sz w:val="18"/>
                <w:szCs w:val="18"/>
              </w:rPr>
            </w:pPr>
            <w:r>
              <w:rPr>
                <w:rFonts w:hint="eastAsia" w:asciiTheme="minorEastAsia" w:hAnsiTheme="minorEastAsia"/>
                <w:sz w:val="18"/>
                <w:szCs w:val="18"/>
              </w:rPr>
              <w:t>十街乡</w:t>
            </w:r>
            <w:r>
              <w:rPr>
                <w:rFonts w:hint="eastAsia" w:asciiTheme="minorEastAsia" w:hAnsiTheme="minorEastAsia"/>
                <w:sz w:val="18"/>
                <w:szCs w:val="18"/>
                <w:lang w:bidi="ar"/>
              </w:rPr>
              <w:t>片区</w:t>
            </w:r>
          </w:p>
        </w:tc>
        <w:tc>
          <w:tcPr>
            <w:tcW w:w="1432" w:type="pct"/>
            <w:vAlign w:val="center"/>
          </w:tcPr>
          <w:p w14:paraId="65AEA2E8">
            <w:pPr>
              <w:rPr>
                <w:rFonts w:asciiTheme="minorEastAsia" w:hAnsiTheme="minorEastAsia"/>
                <w:sz w:val="18"/>
                <w:szCs w:val="18"/>
                <w:lang w:bidi="ar"/>
              </w:rPr>
            </w:pPr>
            <w:r>
              <w:rPr>
                <w:rFonts w:hint="eastAsia" w:asciiTheme="minorEastAsia" w:hAnsiTheme="minorEastAsia"/>
                <w:sz w:val="18"/>
                <w:szCs w:val="18"/>
                <w:lang w:bidi="ar"/>
              </w:rPr>
              <w:t>以乡行政区域界限为参考作为十街乡单元网格</w:t>
            </w:r>
          </w:p>
        </w:tc>
        <w:tc>
          <w:tcPr>
            <w:tcW w:w="322" w:type="pct"/>
            <w:vAlign w:val="center"/>
          </w:tcPr>
          <w:p w14:paraId="0C007FBA">
            <w:pPr>
              <w:jc w:val="center"/>
              <w:rPr>
                <w:rFonts w:asciiTheme="minorEastAsia" w:hAnsiTheme="minorEastAsia"/>
                <w:sz w:val="18"/>
                <w:szCs w:val="18"/>
              </w:rPr>
            </w:pPr>
            <w:r>
              <w:rPr>
                <w:rFonts w:hint="eastAsia" w:asciiTheme="minorEastAsia" w:hAnsiTheme="minorEastAsia"/>
                <w:sz w:val="18"/>
                <w:szCs w:val="18"/>
              </w:rPr>
              <w:t>46</w:t>
            </w:r>
          </w:p>
        </w:tc>
        <w:tc>
          <w:tcPr>
            <w:tcW w:w="364" w:type="pct"/>
            <w:vAlign w:val="center"/>
          </w:tcPr>
          <w:p w14:paraId="1DD53DF7">
            <w:pPr>
              <w:jc w:val="center"/>
              <w:rPr>
                <w:rFonts w:asciiTheme="minorEastAsia" w:hAnsiTheme="minorEastAsia"/>
                <w:sz w:val="18"/>
                <w:szCs w:val="18"/>
              </w:rPr>
            </w:pPr>
            <w:r>
              <w:rPr>
                <w:rFonts w:hint="eastAsia" w:asciiTheme="minorEastAsia" w:hAnsiTheme="minorEastAsia"/>
                <w:sz w:val="18"/>
                <w:szCs w:val="18"/>
              </w:rPr>
              <w:t>4</w:t>
            </w:r>
            <w:r>
              <w:rPr>
                <w:rFonts w:asciiTheme="minorEastAsia" w:hAnsiTheme="minorEastAsia"/>
                <w:sz w:val="18"/>
                <w:szCs w:val="18"/>
              </w:rPr>
              <w:t>6</w:t>
            </w:r>
          </w:p>
        </w:tc>
        <w:tc>
          <w:tcPr>
            <w:tcW w:w="249" w:type="pct"/>
            <w:vAlign w:val="center"/>
          </w:tcPr>
          <w:p w14:paraId="35AEDA3E">
            <w:pPr>
              <w:jc w:val="center"/>
              <w:rPr>
                <w:rFonts w:asciiTheme="minorEastAsia" w:hAnsiTheme="minorEastAsia"/>
                <w:sz w:val="18"/>
                <w:szCs w:val="18"/>
              </w:rPr>
            </w:pPr>
            <w:r>
              <w:rPr>
                <w:rFonts w:hint="eastAsia" w:asciiTheme="minorEastAsia" w:hAnsiTheme="minorEastAsia"/>
                <w:sz w:val="18"/>
                <w:szCs w:val="18"/>
              </w:rPr>
              <w:t>0</w:t>
            </w:r>
          </w:p>
        </w:tc>
        <w:tc>
          <w:tcPr>
            <w:tcW w:w="375" w:type="pct"/>
            <w:vMerge w:val="continue"/>
            <w:vAlign w:val="center"/>
          </w:tcPr>
          <w:p w14:paraId="092DD47A">
            <w:pPr>
              <w:rPr>
                <w:rFonts w:asciiTheme="minorEastAsia" w:hAnsiTheme="minorEastAsia"/>
                <w:sz w:val="18"/>
                <w:szCs w:val="18"/>
              </w:rPr>
            </w:pPr>
          </w:p>
        </w:tc>
        <w:tc>
          <w:tcPr>
            <w:tcW w:w="1240" w:type="pct"/>
            <w:vMerge w:val="continue"/>
            <w:vAlign w:val="center"/>
          </w:tcPr>
          <w:p w14:paraId="25DCA2C2">
            <w:pPr>
              <w:rPr>
                <w:rFonts w:asciiTheme="minorEastAsia" w:hAnsiTheme="minorEastAsia"/>
                <w:sz w:val="18"/>
                <w:szCs w:val="18"/>
              </w:rPr>
            </w:pPr>
          </w:p>
        </w:tc>
        <w:tc>
          <w:tcPr>
            <w:tcW w:w="325" w:type="pct"/>
            <w:vMerge w:val="continue"/>
            <w:vAlign w:val="center"/>
          </w:tcPr>
          <w:p w14:paraId="61F9322E">
            <w:pPr>
              <w:rPr>
                <w:rFonts w:asciiTheme="minorEastAsia" w:hAnsiTheme="minorEastAsia"/>
                <w:sz w:val="18"/>
                <w:szCs w:val="18"/>
              </w:rPr>
            </w:pPr>
          </w:p>
        </w:tc>
        <w:tc>
          <w:tcPr>
            <w:tcW w:w="133" w:type="pct"/>
            <w:vAlign w:val="center"/>
          </w:tcPr>
          <w:p w14:paraId="2CD28E0D">
            <w:pPr>
              <w:rPr>
                <w:rFonts w:asciiTheme="minorEastAsia" w:hAnsiTheme="minorEastAsia"/>
                <w:sz w:val="18"/>
                <w:szCs w:val="18"/>
              </w:rPr>
            </w:pPr>
          </w:p>
        </w:tc>
      </w:tr>
      <w:tr w14:paraId="00A9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76" w:type="pct"/>
            <w:vMerge w:val="continue"/>
            <w:vAlign w:val="center"/>
          </w:tcPr>
          <w:p w14:paraId="30A614CC">
            <w:pPr>
              <w:jc w:val="center"/>
              <w:rPr>
                <w:rFonts w:asciiTheme="minorEastAsia" w:hAnsiTheme="minorEastAsia"/>
                <w:sz w:val="18"/>
                <w:szCs w:val="18"/>
              </w:rPr>
            </w:pPr>
          </w:p>
        </w:tc>
        <w:tc>
          <w:tcPr>
            <w:tcW w:w="284" w:type="pct"/>
            <w:vAlign w:val="center"/>
          </w:tcPr>
          <w:p w14:paraId="7D708CE9">
            <w:pPr>
              <w:jc w:val="center"/>
              <w:rPr>
                <w:rFonts w:asciiTheme="minorEastAsia" w:hAnsiTheme="minorEastAsia"/>
                <w:sz w:val="18"/>
                <w:szCs w:val="18"/>
              </w:rPr>
            </w:pPr>
            <w:r>
              <w:rPr>
                <w:rFonts w:hint="eastAsia" w:asciiTheme="minorEastAsia" w:hAnsiTheme="minorEastAsia"/>
                <w:sz w:val="18"/>
                <w:szCs w:val="18"/>
              </w:rPr>
              <w:t>铜厂乡</w:t>
            </w:r>
            <w:r>
              <w:rPr>
                <w:rFonts w:hint="eastAsia" w:asciiTheme="minorEastAsia" w:hAnsiTheme="minorEastAsia"/>
                <w:sz w:val="18"/>
                <w:szCs w:val="18"/>
                <w:lang w:bidi="ar"/>
              </w:rPr>
              <w:t>片区</w:t>
            </w:r>
          </w:p>
        </w:tc>
        <w:tc>
          <w:tcPr>
            <w:tcW w:w="1432" w:type="pct"/>
            <w:vAlign w:val="center"/>
          </w:tcPr>
          <w:p w14:paraId="4AB0F826">
            <w:pPr>
              <w:rPr>
                <w:rFonts w:asciiTheme="minorEastAsia" w:hAnsiTheme="minorEastAsia"/>
                <w:sz w:val="18"/>
                <w:szCs w:val="18"/>
                <w:lang w:bidi="ar"/>
              </w:rPr>
            </w:pPr>
            <w:r>
              <w:rPr>
                <w:rFonts w:hint="eastAsia" w:asciiTheme="minorEastAsia" w:hAnsiTheme="minorEastAsia"/>
                <w:sz w:val="18"/>
                <w:szCs w:val="18"/>
                <w:lang w:bidi="ar"/>
              </w:rPr>
              <w:t>以乡行政区域界限为参考作为铜厂乡单元网格</w:t>
            </w:r>
          </w:p>
        </w:tc>
        <w:tc>
          <w:tcPr>
            <w:tcW w:w="322" w:type="pct"/>
            <w:vAlign w:val="center"/>
          </w:tcPr>
          <w:p w14:paraId="6C313B6C">
            <w:pPr>
              <w:jc w:val="center"/>
              <w:rPr>
                <w:rFonts w:asciiTheme="minorEastAsia" w:hAnsiTheme="minorEastAsia"/>
                <w:sz w:val="18"/>
                <w:szCs w:val="18"/>
              </w:rPr>
            </w:pPr>
            <w:r>
              <w:rPr>
                <w:rFonts w:hint="eastAsia" w:asciiTheme="minorEastAsia" w:hAnsiTheme="minorEastAsia"/>
                <w:sz w:val="18"/>
                <w:szCs w:val="18"/>
              </w:rPr>
              <w:t>51</w:t>
            </w:r>
          </w:p>
        </w:tc>
        <w:tc>
          <w:tcPr>
            <w:tcW w:w="364" w:type="pct"/>
            <w:vAlign w:val="center"/>
          </w:tcPr>
          <w:p w14:paraId="65598C08">
            <w:pPr>
              <w:jc w:val="center"/>
              <w:rPr>
                <w:rFonts w:asciiTheme="minorEastAsia" w:hAnsiTheme="minorEastAsia"/>
                <w:sz w:val="18"/>
                <w:szCs w:val="18"/>
              </w:rPr>
            </w:pPr>
            <w:r>
              <w:rPr>
                <w:rFonts w:hint="eastAsia" w:asciiTheme="minorEastAsia" w:hAnsiTheme="minorEastAsia"/>
                <w:sz w:val="18"/>
                <w:szCs w:val="18"/>
              </w:rPr>
              <w:t>5</w:t>
            </w:r>
            <w:r>
              <w:rPr>
                <w:rFonts w:asciiTheme="minorEastAsia" w:hAnsiTheme="minorEastAsia"/>
                <w:sz w:val="18"/>
                <w:szCs w:val="18"/>
              </w:rPr>
              <w:t>1</w:t>
            </w:r>
          </w:p>
        </w:tc>
        <w:tc>
          <w:tcPr>
            <w:tcW w:w="249" w:type="pct"/>
            <w:vAlign w:val="center"/>
          </w:tcPr>
          <w:p w14:paraId="7B1DE761">
            <w:pPr>
              <w:jc w:val="center"/>
              <w:rPr>
                <w:rFonts w:asciiTheme="minorEastAsia" w:hAnsiTheme="minorEastAsia"/>
                <w:sz w:val="18"/>
                <w:szCs w:val="18"/>
              </w:rPr>
            </w:pPr>
            <w:r>
              <w:rPr>
                <w:rFonts w:hint="eastAsia" w:asciiTheme="minorEastAsia" w:hAnsiTheme="minorEastAsia"/>
                <w:sz w:val="18"/>
                <w:szCs w:val="18"/>
              </w:rPr>
              <w:t>0</w:t>
            </w:r>
          </w:p>
        </w:tc>
        <w:tc>
          <w:tcPr>
            <w:tcW w:w="375" w:type="pct"/>
            <w:vMerge w:val="continue"/>
            <w:vAlign w:val="center"/>
          </w:tcPr>
          <w:p w14:paraId="13C755C5">
            <w:pPr>
              <w:rPr>
                <w:rFonts w:asciiTheme="minorEastAsia" w:hAnsiTheme="minorEastAsia"/>
                <w:sz w:val="18"/>
                <w:szCs w:val="18"/>
              </w:rPr>
            </w:pPr>
          </w:p>
        </w:tc>
        <w:tc>
          <w:tcPr>
            <w:tcW w:w="1240" w:type="pct"/>
            <w:vMerge w:val="continue"/>
            <w:vAlign w:val="center"/>
          </w:tcPr>
          <w:p w14:paraId="2905F44A">
            <w:pPr>
              <w:rPr>
                <w:rFonts w:asciiTheme="minorEastAsia" w:hAnsiTheme="minorEastAsia"/>
                <w:sz w:val="18"/>
                <w:szCs w:val="18"/>
              </w:rPr>
            </w:pPr>
          </w:p>
        </w:tc>
        <w:tc>
          <w:tcPr>
            <w:tcW w:w="325" w:type="pct"/>
            <w:vMerge w:val="continue"/>
            <w:vAlign w:val="center"/>
          </w:tcPr>
          <w:p w14:paraId="21B12BAB">
            <w:pPr>
              <w:rPr>
                <w:rFonts w:asciiTheme="minorEastAsia" w:hAnsiTheme="minorEastAsia"/>
                <w:sz w:val="18"/>
                <w:szCs w:val="18"/>
              </w:rPr>
            </w:pPr>
          </w:p>
        </w:tc>
        <w:tc>
          <w:tcPr>
            <w:tcW w:w="133" w:type="pct"/>
            <w:vAlign w:val="center"/>
          </w:tcPr>
          <w:p w14:paraId="5E44D78D">
            <w:pPr>
              <w:rPr>
                <w:rFonts w:asciiTheme="minorEastAsia" w:hAnsiTheme="minorEastAsia"/>
                <w:sz w:val="18"/>
                <w:szCs w:val="18"/>
              </w:rPr>
            </w:pPr>
          </w:p>
        </w:tc>
      </w:tr>
      <w:tr w14:paraId="577E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76" w:type="pct"/>
            <w:vMerge w:val="continue"/>
            <w:vAlign w:val="center"/>
          </w:tcPr>
          <w:p w14:paraId="4E6CEB59">
            <w:pPr>
              <w:jc w:val="center"/>
              <w:rPr>
                <w:rFonts w:asciiTheme="minorEastAsia" w:hAnsiTheme="minorEastAsia"/>
                <w:sz w:val="18"/>
                <w:szCs w:val="18"/>
              </w:rPr>
            </w:pPr>
          </w:p>
        </w:tc>
        <w:tc>
          <w:tcPr>
            <w:tcW w:w="284" w:type="pct"/>
            <w:vAlign w:val="center"/>
          </w:tcPr>
          <w:p w14:paraId="76BDC87A">
            <w:pPr>
              <w:jc w:val="center"/>
              <w:rPr>
                <w:rFonts w:asciiTheme="minorEastAsia" w:hAnsiTheme="minorEastAsia"/>
                <w:sz w:val="18"/>
                <w:szCs w:val="18"/>
              </w:rPr>
            </w:pPr>
            <w:r>
              <w:rPr>
                <w:rFonts w:hint="eastAsia" w:asciiTheme="minorEastAsia" w:hAnsiTheme="minorEastAsia"/>
                <w:sz w:val="18"/>
                <w:szCs w:val="18"/>
              </w:rPr>
              <w:t>绿汁镇</w:t>
            </w:r>
            <w:r>
              <w:rPr>
                <w:rFonts w:hint="eastAsia" w:asciiTheme="minorEastAsia" w:hAnsiTheme="minorEastAsia"/>
                <w:sz w:val="18"/>
                <w:szCs w:val="18"/>
                <w:lang w:bidi="ar"/>
              </w:rPr>
              <w:t>片区</w:t>
            </w:r>
          </w:p>
        </w:tc>
        <w:tc>
          <w:tcPr>
            <w:tcW w:w="1432" w:type="pct"/>
            <w:vAlign w:val="center"/>
          </w:tcPr>
          <w:p w14:paraId="0B69D50A">
            <w:pPr>
              <w:rPr>
                <w:rFonts w:asciiTheme="minorEastAsia" w:hAnsiTheme="minorEastAsia"/>
                <w:sz w:val="18"/>
                <w:szCs w:val="18"/>
                <w:lang w:bidi="ar"/>
              </w:rPr>
            </w:pPr>
            <w:r>
              <w:rPr>
                <w:rFonts w:hint="eastAsia" w:asciiTheme="minorEastAsia" w:hAnsiTheme="minorEastAsia"/>
                <w:sz w:val="18"/>
                <w:szCs w:val="18"/>
                <w:lang w:bidi="ar"/>
              </w:rPr>
              <w:t>以乡行政区域界限为参考作为绿汁乡单元网格</w:t>
            </w:r>
          </w:p>
        </w:tc>
        <w:tc>
          <w:tcPr>
            <w:tcW w:w="322" w:type="pct"/>
            <w:vAlign w:val="center"/>
          </w:tcPr>
          <w:p w14:paraId="0A5F9E1E">
            <w:pPr>
              <w:jc w:val="center"/>
              <w:rPr>
                <w:rFonts w:hint="eastAsia" w:asciiTheme="minorEastAsia" w:hAnsiTheme="minorEastAsia" w:eastAsiaTheme="minorEastAsia"/>
                <w:sz w:val="18"/>
                <w:szCs w:val="18"/>
                <w:lang w:eastAsia="zh-CN"/>
              </w:rPr>
            </w:pPr>
            <w:r>
              <w:rPr>
                <w:rFonts w:asciiTheme="minorEastAsia" w:hAnsiTheme="minorEastAsia"/>
                <w:sz w:val="18"/>
                <w:szCs w:val="18"/>
              </w:rPr>
              <w:t>4</w:t>
            </w:r>
            <w:r>
              <w:rPr>
                <w:rFonts w:hint="eastAsia" w:asciiTheme="minorEastAsia" w:hAnsiTheme="minorEastAsia"/>
                <w:sz w:val="18"/>
                <w:szCs w:val="18"/>
                <w:lang w:val="en-US" w:eastAsia="zh-CN"/>
              </w:rPr>
              <w:t>8</w:t>
            </w:r>
          </w:p>
        </w:tc>
        <w:tc>
          <w:tcPr>
            <w:tcW w:w="364" w:type="pct"/>
            <w:vAlign w:val="center"/>
          </w:tcPr>
          <w:p w14:paraId="45556772">
            <w:pPr>
              <w:jc w:val="center"/>
              <w:rPr>
                <w:rFonts w:hint="default" w:asciiTheme="minorEastAsia" w:hAnsiTheme="minorEastAsia" w:eastAsiaTheme="minorEastAsia"/>
                <w:sz w:val="18"/>
                <w:szCs w:val="18"/>
                <w:lang w:val="en-US" w:eastAsia="zh-CN"/>
              </w:rPr>
            </w:pPr>
            <w:r>
              <w:rPr>
                <w:rFonts w:hint="eastAsia" w:asciiTheme="minorEastAsia" w:hAnsiTheme="minorEastAsia"/>
                <w:sz w:val="18"/>
                <w:szCs w:val="18"/>
                <w:lang w:val="en-US" w:eastAsia="zh-CN"/>
              </w:rPr>
              <w:t>45</w:t>
            </w:r>
          </w:p>
        </w:tc>
        <w:tc>
          <w:tcPr>
            <w:tcW w:w="249" w:type="pct"/>
            <w:vAlign w:val="center"/>
          </w:tcPr>
          <w:p w14:paraId="1605930E">
            <w:pPr>
              <w:jc w:val="center"/>
              <w:rPr>
                <w:rFonts w:hint="eastAsia" w:asciiTheme="minorEastAsia" w:hAnsiTheme="minorEastAsia" w:eastAsiaTheme="minorEastAsia"/>
                <w:sz w:val="18"/>
                <w:szCs w:val="18"/>
                <w:lang w:eastAsia="zh-CN"/>
              </w:rPr>
            </w:pPr>
            <w:r>
              <w:rPr>
                <w:rFonts w:hint="eastAsia" w:asciiTheme="minorEastAsia" w:hAnsiTheme="minorEastAsia"/>
                <w:sz w:val="18"/>
                <w:szCs w:val="18"/>
                <w:lang w:val="en-US" w:eastAsia="zh-CN"/>
              </w:rPr>
              <w:t>3</w:t>
            </w:r>
          </w:p>
        </w:tc>
        <w:tc>
          <w:tcPr>
            <w:tcW w:w="375" w:type="pct"/>
            <w:vMerge w:val="continue"/>
            <w:vAlign w:val="center"/>
          </w:tcPr>
          <w:p w14:paraId="3B684BAB">
            <w:pPr>
              <w:rPr>
                <w:rFonts w:asciiTheme="minorEastAsia" w:hAnsiTheme="minorEastAsia"/>
                <w:sz w:val="18"/>
                <w:szCs w:val="18"/>
              </w:rPr>
            </w:pPr>
          </w:p>
        </w:tc>
        <w:tc>
          <w:tcPr>
            <w:tcW w:w="1240" w:type="pct"/>
            <w:vMerge w:val="continue"/>
            <w:vAlign w:val="center"/>
          </w:tcPr>
          <w:p w14:paraId="437CAB85">
            <w:pPr>
              <w:rPr>
                <w:rFonts w:asciiTheme="minorEastAsia" w:hAnsiTheme="minorEastAsia"/>
                <w:sz w:val="18"/>
                <w:szCs w:val="18"/>
              </w:rPr>
            </w:pPr>
          </w:p>
        </w:tc>
        <w:tc>
          <w:tcPr>
            <w:tcW w:w="325" w:type="pct"/>
            <w:vMerge w:val="continue"/>
            <w:vAlign w:val="center"/>
          </w:tcPr>
          <w:p w14:paraId="67A17490">
            <w:pPr>
              <w:rPr>
                <w:rFonts w:asciiTheme="minorEastAsia" w:hAnsiTheme="minorEastAsia"/>
                <w:sz w:val="18"/>
                <w:szCs w:val="18"/>
              </w:rPr>
            </w:pPr>
          </w:p>
        </w:tc>
        <w:tc>
          <w:tcPr>
            <w:tcW w:w="133" w:type="pct"/>
            <w:vAlign w:val="center"/>
          </w:tcPr>
          <w:p w14:paraId="4FBE8000">
            <w:pPr>
              <w:rPr>
                <w:rFonts w:asciiTheme="minorEastAsia" w:hAnsiTheme="minorEastAsia"/>
                <w:sz w:val="18"/>
                <w:szCs w:val="18"/>
              </w:rPr>
            </w:pPr>
          </w:p>
        </w:tc>
      </w:tr>
      <w:tr w14:paraId="1A24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76" w:type="pct"/>
            <w:vMerge w:val="continue"/>
            <w:vAlign w:val="center"/>
          </w:tcPr>
          <w:p w14:paraId="0549F51B">
            <w:pPr>
              <w:jc w:val="center"/>
              <w:rPr>
                <w:rFonts w:asciiTheme="minorEastAsia" w:hAnsiTheme="minorEastAsia"/>
                <w:sz w:val="18"/>
                <w:szCs w:val="18"/>
              </w:rPr>
            </w:pPr>
          </w:p>
        </w:tc>
        <w:tc>
          <w:tcPr>
            <w:tcW w:w="284" w:type="pct"/>
            <w:vAlign w:val="center"/>
          </w:tcPr>
          <w:p w14:paraId="1BC0E020">
            <w:pPr>
              <w:jc w:val="center"/>
              <w:rPr>
                <w:rFonts w:asciiTheme="minorEastAsia" w:hAnsiTheme="minorEastAsia"/>
                <w:sz w:val="18"/>
                <w:szCs w:val="18"/>
              </w:rPr>
            </w:pPr>
            <w:r>
              <w:rPr>
                <w:rFonts w:hint="eastAsia" w:asciiTheme="minorEastAsia" w:hAnsiTheme="minorEastAsia"/>
                <w:sz w:val="18"/>
                <w:szCs w:val="18"/>
              </w:rPr>
              <w:t>小街乡</w:t>
            </w:r>
            <w:r>
              <w:rPr>
                <w:rFonts w:hint="eastAsia" w:asciiTheme="minorEastAsia" w:hAnsiTheme="minorEastAsia"/>
                <w:sz w:val="18"/>
                <w:szCs w:val="18"/>
                <w:lang w:bidi="ar"/>
              </w:rPr>
              <w:t>片区</w:t>
            </w:r>
          </w:p>
        </w:tc>
        <w:tc>
          <w:tcPr>
            <w:tcW w:w="1432" w:type="pct"/>
            <w:vAlign w:val="center"/>
          </w:tcPr>
          <w:p w14:paraId="747E469F">
            <w:pPr>
              <w:rPr>
                <w:rFonts w:asciiTheme="minorEastAsia" w:hAnsiTheme="minorEastAsia"/>
                <w:sz w:val="18"/>
                <w:szCs w:val="18"/>
                <w:lang w:bidi="ar"/>
              </w:rPr>
            </w:pPr>
            <w:r>
              <w:rPr>
                <w:rFonts w:hint="eastAsia" w:asciiTheme="minorEastAsia" w:hAnsiTheme="minorEastAsia"/>
                <w:sz w:val="18"/>
                <w:szCs w:val="18"/>
                <w:lang w:bidi="ar"/>
              </w:rPr>
              <w:t>以乡行政区域界限为参考作为小街乡单元网格</w:t>
            </w:r>
          </w:p>
        </w:tc>
        <w:tc>
          <w:tcPr>
            <w:tcW w:w="322" w:type="pct"/>
            <w:vAlign w:val="center"/>
          </w:tcPr>
          <w:p w14:paraId="4DBD38D7">
            <w:pPr>
              <w:jc w:val="center"/>
              <w:rPr>
                <w:rFonts w:asciiTheme="minorEastAsia" w:hAnsiTheme="minorEastAsia"/>
                <w:sz w:val="18"/>
                <w:szCs w:val="18"/>
              </w:rPr>
            </w:pPr>
            <w:r>
              <w:rPr>
                <w:rFonts w:hint="eastAsia" w:asciiTheme="minorEastAsia" w:hAnsiTheme="minorEastAsia"/>
                <w:sz w:val="18"/>
                <w:szCs w:val="18"/>
              </w:rPr>
              <w:t>44</w:t>
            </w:r>
          </w:p>
        </w:tc>
        <w:tc>
          <w:tcPr>
            <w:tcW w:w="364" w:type="pct"/>
            <w:vAlign w:val="center"/>
          </w:tcPr>
          <w:p w14:paraId="64D9C07E">
            <w:pPr>
              <w:jc w:val="center"/>
              <w:rPr>
                <w:rFonts w:asciiTheme="minorEastAsia" w:hAnsiTheme="minorEastAsia"/>
                <w:sz w:val="18"/>
                <w:szCs w:val="18"/>
              </w:rPr>
            </w:pPr>
            <w:r>
              <w:rPr>
                <w:rFonts w:hint="eastAsia" w:asciiTheme="minorEastAsia" w:hAnsiTheme="minorEastAsia"/>
                <w:sz w:val="18"/>
                <w:szCs w:val="18"/>
              </w:rPr>
              <w:t>44</w:t>
            </w:r>
          </w:p>
        </w:tc>
        <w:tc>
          <w:tcPr>
            <w:tcW w:w="249" w:type="pct"/>
            <w:vAlign w:val="center"/>
          </w:tcPr>
          <w:p w14:paraId="01B40103">
            <w:pPr>
              <w:jc w:val="center"/>
              <w:rPr>
                <w:rFonts w:asciiTheme="minorEastAsia" w:hAnsiTheme="minorEastAsia"/>
                <w:sz w:val="18"/>
                <w:szCs w:val="18"/>
              </w:rPr>
            </w:pPr>
            <w:r>
              <w:rPr>
                <w:rFonts w:hint="eastAsia" w:asciiTheme="minorEastAsia" w:hAnsiTheme="minorEastAsia"/>
                <w:sz w:val="18"/>
                <w:szCs w:val="18"/>
              </w:rPr>
              <w:t>0</w:t>
            </w:r>
          </w:p>
        </w:tc>
        <w:tc>
          <w:tcPr>
            <w:tcW w:w="375" w:type="pct"/>
            <w:vMerge w:val="continue"/>
            <w:vAlign w:val="center"/>
          </w:tcPr>
          <w:p w14:paraId="40871B05">
            <w:pPr>
              <w:rPr>
                <w:rFonts w:asciiTheme="minorEastAsia" w:hAnsiTheme="minorEastAsia"/>
                <w:sz w:val="18"/>
                <w:szCs w:val="18"/>
              </w:rPr>
            </w:pPr>
          </w:p>
        </w:tc>
        <w:tc>
          <w:tcPr>
            <w:tcW w:w="1240" w:type="pct"/>
            <w:vMerge w:val="continue"/>
            <w:vAlign w:val="center"/>
          </w:tcPr>
          <w:p w14:paraId="4F45EA50">
            <w:pPr>
              <w:rPr>
                <w:rFonts w:asciiTheme="minorEastAsia" w:hAnsiTheme="minorEastAsia"/>
                <w:sz w:val="18"/>
                <w:szCs w:val="18"/>
              </w:rPr>
            </w:pPr>
          </w:p>
        </w:tc>
        <w:tc>
          <w:tcPr>
            <w:tcW w:w="325" w:type="pct"/>
            <w:vMerge w:val="continue"/>
            <w:vAlign w:val="center"/>
          </w:tcPr>
          <w:p w14:paraId="665AC658">
            <w:pPr>
              <w:rPr>
                <w:rFonts w:asciiTheme="minorEastAsia" w:hAnsiTheme="minorEastAsia"/>
                <w:sz w:val="18"/>
                <w:szCs w:val="18"/>
              </w:rPr>
            </w:pPr>
          </w:p>
        </w:tc>
        <w:tc>
          <w:tcPr>
            <w:tcW w:w="133" w:type="pct"/>
            <w:vAlign w:val="center"/>
          </w:tcPr>
          <w:p w14:paraId="32753746">
            <w:pPr>
              <w:rPr>
                <w:rFonts w:asciiTheme="minorEastAsia" w:hAnsiTheme="minorEastAsia"/>
                <w:sz w:val="18"/>
                <w:szCs w:val="18"/>
              </w:rPr>
            </w:pPr>
          </w:p>
        </w:tc>
      </w:tr>
      <w:tr w14:paraId="76DF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3" w:hRule="atLeast"/>
        </w:trPr>
        <w:tc>
          <w:tcPr>
            <w:tcW w:w="276" w:type="pct"/>
            <w:vMerge w:val="continue"/>
            <w:vAlign w:val="center"/>
          </w:tcPr>
          <w:p w14:paraId="09778899">
            <w:pPr>
              <w:jc w:val="center"/>
              <w:rPr>
                <w:rFonts w:asciiTheme="minorEastAsia" w:hAnsiTheme="minorEastAsia"/>
                <w:sz w:val="18"/>
                <w:szCs w:val="18"/>
              </w:rPr>
            </w:pPr>
          </w:p>
        </w:tc>
        <w:tc>
          <w:tcPr>
            <w:tcW w:w="284" w:type="pct"/>
            <w:vAlign w:val="center"/>
          </w:tcPr>
          <w:p w14:paraId="658DBE1E">
            <w:pPr>
              <w:jc w:val="center"/>
              <w:rPr>
                <w:rFonts w:asciiTheme="minorEastAsia" w:hAnsiTheme="minorEastAsia"/>
                <w:sz w:val="18"/>
                <w:szCs w:val="18"/>
              </w:rPr>
            </w:pPr>
            <w:r>
              <w:rPr>
                <w:rFonts w:hint="eastAsia" w:asciiTheme="minorEastAsia" w:hAnsiTheme="minorEastAsia"/>
                <w:sz w:val="18"/>
                <w:szCs w:val="18"/>
              </w:rPr>
              <w:t>六街街道</w:t>
            </w:r>
            <w:r>
              <w:rPr>
                <w:rFonts w:hint="eastAsia" w:asciiTheme="minorEastAsia" w:hAnsiTheme="minorEastAsia"/>
                <w:sz w:val="18"/>
                <w:szCs w:val="18"/>
                <w:lang w:bidi="ar"/>
              </w:rPr>
              <w:t>片区</w:t>
            </w:r>
          </w:p>
        </w:tc>
        <w:tc>
          <w:tcPr>
            <w:tcW w:w="1432" w:type="pct"/>
            <w:vAlign w:val="center"/>
          </w:tcPr>
          <w:p w14:paraId="73C0E7BD">
            <w:pPr>
              <w:rPr>
                <w:rFonts w:asciiTheme="minorEastAsia" w:hAnsiTheme="minorEastAsia"/>
                <w:sz w:val="18"/>
                <w:szCs w:val="18"/>
              </w:rPr>
            </w:pPr>
            <w:r>
              <w:rPr>
                <w:rFonts w:hint="eastAsia" w:asciiTheme="minorEastAsia" w:hAnsiTheme="minorEastAsia"/>
                <w:sz w:val="18"/>
                <w:szCs w:val="18"/>
                <w:lang w:bidi="ar"/>
              </w:rPr>
              <w:t>以乡行政区域界限为参考作为六街街道单元网格</w:t>
            </w:r>
          </w:p>
        </w:tc>
        <w:tc>
          <w:tcPr>
            <w:tcW w:w="322" w:type="pct"/>
            <w:vAlign w:val="center"/>
          </w:tcPr>
          <w:p w14:paraId="5E48D3DA">
            <w:pPr>
              <w:jc w:val="cente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2</w:t>
            </w:r>
            <w:r>
              <w:rPr>
                <w:rFonts w:hint="eastAsia" w:asciiTheme="minorEastAsia" w:hAnsiTheme="minorEastAsia"/>
                <w:sz w:val="18"/>
                <w:szCs w:val="18"/>
              </w:rPr>
              <w:t>2</w:t>
            </w:r>
          </w:p>
        </w:tc>
        <w:tc>
          <w:tcPr>
            <w:tcW w:w="364" w:type="pct"/>
            <w:vAlign w:val="center"/>
          </w:tcPr>
          <w:p w14:paraId="3FFBB00B">
            <w:pPr>
              <w:jc w:val="center"/>
              <w:rPr>
                <w:rFonts w:asciiTheme="minorEastAsia" w:hAnsiTheme="minorEastAsia"/>
                <w:sz w:val="18"/>
                <w:szCs w:val="18"/>
              </w:rPr>
            </w:pPr>
            <w:r>
              <w:rPr>
                <w:rFonts w:hint="eastAsia" w:asciiTheme="minorEastAsia" w:hAnsiTheme="minorEastAsia"/>
                <w:sz w:val="18"/>
                <w:szCs w:val="18"/>
              </w:rPr>
              <w:t>120</w:t>
            </w:r>
          </w:p>
        </w:tc>
        <w:tc>
          <w:tcPr>
            <w:tcW w:w="249" w:type="pct"/>
            <w:vAlign w:val="center"/>
          </w:tcPr>
          <w:p w14:paraId="0F41323F">
            <w:pPr>
              <w:jc w:val="center"/>
              <w:rPr>
                <w:rFonts w:asciiTheme="minorEastAsia" w:hAnsiTheme="minorEastAsia"/>
                <w:sz w:val="18"/>
                <w:szCs w:val="18"/>
              </w:rPr>
            </w:pPr>
            <w:r>
              <w:rPr>
                <w:rFonts w:hint="eastAsia" w:asciiTheme="minorEastAsia" w:hAnsiTheme="minorEastAsia"/>
                <w:sz w:val="18"/>
                <w:szCs w:val="18"/>
              </w:rPr>
              <w:t>2</w:t>
            </w:r>
          </w:p>
        </w:tc>
        <w:tc>
          <w:tcPr>
            <w:tcW w:w="375" w:type="pct"/>
            <w:vMerge w:val="continue"/>
            <w:vAlign w:val="center"/>
          </w:tcPr>
          <w:p w14:paraId="0E26D4EE">
            <w:pPr>
              <w:rPr>
                <w:rFonts w:asciiTheme="minorEastAsia" w:hAnsiTheme="minorEastAsia"/>
                <w:sz w:val="18"/>
                <w:szCs w:val="18"/>
              </w:rPr>
            </w:pPr>
          </w:p>
        </w:tc>
        <w:tc>
          <w:tcPr>
            <w:tcW w:w="1240" w:type="pct"/>
            <w:vMerge w:val="continue"/>
            <w:vAlign w:val="center"/>
          </w:tcPr>
          <w:p w14:paraId="1AF16F84">
            <w:pPr>
              <w:rPr>
                <w:rFonts w:asciiTheme="minorEastAsia" w:hAnsiTheme="minorEastAsia"/>
                <w:sz w:val="18"/>
                <w:szCs w:val="18"/>
              </w:rPr>
            </w:pPr>
          </w:p>
        </w:tc>
        <w:tc>
          <w:tcPr>
            <w:tcW w:w="325" w:type="pct"/>
            <w:vMerge w:val="continue"/>
            <w:vAlign w:val="center"/>
          </w:tcPr>
          <w:p w14:paraId="2DA4F268">
            <w:pPr>
              <w:rPr>
                <w:rFonts w:asciiTheme="minorEastAsia" w:hAnsiTheme="minorEastAsia"/>
                <w:sz w:val="18"/>
                <w:szCs w:val="18"/>
              </w:rPr>
            </w:pPr>
          </w:p>
        </w:tc>
        <w:tc>
          <w:tcPr>
            <w:tcW w:w="133" w:type="pct"/>
            <w:vAlign w:val="center"/>
          </w:tcPr>
          <w:p w14:paraId="036FCE66">
            <w:pPr>
              <w:rPr>
                <w:rFonts w:asciiTheme="minorEastAsia" w:hAnsiTheme="minorEastAsia"/>
                <w:sz w:val="18"/>
                <w:szCs w:val="18"/>
              </w:rPr>
            </w:pPr>
          </w:p>
        </w:tc>
      </w:tr>
    </w:tbl>
    <w:p w14:paraId="133A61B0">
      <w:pPr>
        <w:rPr>
          <w:rFonts w:asciiTheme="minorEastAsia" w:hAnsiTheme="minorEastAsia"/>
          <w:sz w:val="22"/>
        </w:rPr>
      </w:pPr>
      <w:r>
        <w:rPr>
          <w:rFonts w:hint="eastAsia" w:asciiTheme="minorEastAsia" w:hAnsiTheme="minorEastAsia"/>
          <w:sz w:val="22"/>
        </w:rPr>
        <w:t>备注：1.本公示表的数据根据本县零售点布局规划实行定期评价、动态管理。</w:t>
      </w:r>
    </w:p>
    <w:p w14:paraId="2DA51C68">
      <w:pPr>
        <w:ind w:firstLine="660" w:firstLineChars="300"/>
        <w:rPr>
          <w:rFonts w:asciiTheme="minorEastAsia" w:hAnsiTheme="minorEastAsia"/>
          <w:sz w:val="22"/>
        </w:rPr>
      </w:pPr>
      <w:r>
        <w:rPr>
          <w:rFonts w:hint="eastAsia" w:asciiTheme="minorEastAsia" w:hAnsiTheme="minorEastAsia"/>
          <w:sz w:val="22"/>
        </w:rPr>
        <w:t>2.每季度根据经济发展、城乡建设、市场形势等变化情况对本表中的数据进行动态调整，规划数相应进行动态更新，以每季度最后一次公示的数据为准。</w:t>
      </w:r>
    </w:p>
    <w:p w14:paraId="0FC3467C">
      <w:pPr>
        <w:ind w:firstLine="660" w:firstLineChars="300"/>
      </w:pPr>
      <w:r>
        <w:rPr>
          <w:rFonts w:hint="eastAsia" w:asciiTheme="minorEastAsia" w:hAnsiTheme="minorEastAsia"/>
          <w:sz w:val="22"/>
        </w:rPr>
        <w:t>3.本数据由云南省易门县烟草专卖局负责解释，咨询电话：0877-4963461。</w:t>
      </w:r>
    </w:p>
    <w:p w14:paraId="3B7F7F71"/>
    <w:p w14:paraId="2DAA2806">
      <w:pPr>
        <w:spacing w:before="57" w:line="221" w:lineRule="auto"/>
        <w:ind w:left="0"/>
        <w:rPr>
          <w:rFonts w:hint="eastAsia" w:ascii="FangSong_GB2312" w:hAnsi="FangSong_GB2312" w:eastAsia="FangSong_GB2312" w:cs="FangSong_GB2312"/>
          <w:spacing w:val="26"/>
          <w:sz w:val="31"/>
          <w:szCs w:val="31"/>
          <w:lang w:eastAsia="zh-CN"/>
        </w:rPr>
        <w:sectPr>
          <w:pgSz w:w="16838" w:h="11906" w:orient="landscape"/>
          <w:pgMar w:top="1800" w:right="1440" w:bottom="1800" w:left="1440" w:header="851" w:footer="992" w:gutter="0"/>
          <w:pgNumType w:fmt="decimal"/>
          <w:cols w:space="425" w:num="1"/>
          <w:docGrid w:type="lines" w:linePitch="312" w:charSpace="0"/>
        </w:sectPr>
      </w:pPr>
    </w:p>
    <w:p w14:paraId="638973F1">
      <w:pPr>
        <w:ind w:firstLine="672"/>
        <w:rPr>
          <w:rFonts w:ascii="黑体" w:hAnsi="黑体" w:eastAsia="黑体" w:cs="黑体"/>
          <w:spacing w:val="8"/>
          <w:sz w:val="32"/>
          <w:szCs w:val="32"/>
          <w:lang w:eastAsia="zh-CN"/>
        </w:rPr>
      </w:pPr>
      <w:r>
        <w:rPr>
          <w:rFonts w:hint="eastAsia" w:ascii="黑体" w:hAnsi="黑体" w:eastAsia="黑体" w:cs="黑体"/>
          <w:spacing w:val="8"/>
          <w:sz w:val="32"/>
          <w:szCs w:val="32"/>
          <w:lang w:eastAsia="zh-CN"/>
        </w:rPr>
        <w:t>附件</w:t>
      </w:r>
      <w:r>
        <w:rPr>
          <w:rFonts w:ascii="黑体" w:hAnsi="黑体" w:eastAsia="黑体" w:cs="黑体"/>
          <w:spacing w:val="8"/>
          <w:sz w:val="32"/>
          <w:szCs w:val="32"/>
          <w:lang w:eastAsia="zh-CN"/>
        </w:rPr>
        <w:t>3</w:t>
      </w:r>
    </w:p>
    <w:p w14:paraId="2B31C450">
      <w:pPr>
        <w:spacing w:line="440" w:lineRule="exact"/>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云南省易门县烟草制品零售点</w:t>
      </w:r>
    </w:p>
    <w:p w14:paraId="2F44E9C9">
      <w:pPr>
        <w:spacing w:line="4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合理布局网格示意图</w:t>
      </w:r>
    </w:p>
    <w:p w14:paraId="01C98AC2">
      <w:pPr>
        <w:jc w:val="center"/>
        <w:rPr>
          <w:rFonts w:ascii="仿宋_GB2312" w:hAnsi="仿宋_GB2312" w:cs="仿宋_GB2312"/>
          <w:sz w:val="24"/>
        </w:rPr>
      </w:pPr>
      <w:r>
        <w:rPr>
          <w:rFonts w:ascii="仿宋_GB2312" w:hAnsi="仿宋_GB2312" w:cs="仿宋_GB2312"/>
          <w:sz w:val="24"/>
        </w:rPr>
        <w:drawing>
          <wp:inline distT="0" distB="0" distL="0" distR="0">
            <wp:extent cx="8519795" cy="4257675"/>
            <wp:effectExtent l="0" t="0" r="5080" b="0"/>
            <wp:docPr id="4" name="图片 4" descr="C:\Users\zhangwen0350\Documents\WeChat Files\zw841208\FileStorage\Temp\04eed7a0449dec0ebce18a5b43e4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angwen0350\Documents\WeChat Files\zw841208\FileStorage\Temp\04eed7a0449dec0ebce18a5b43e4d4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8590565" cy="4292990"/>
                    </a:xfrm>
                    <a:prstGeom prst="rect">
                      <a:avLst/>
                    </a:prstGeom>
                    <a:noFill/>
                    <a:ln>
                      <a:noFill/>
                    </a:ln>
                  </pic:spPr>
                </pic:pic>
              </a:graphicData>
            </a:graphic>
          </wp:inline>
        </w:drawing>
      </w:r>
    </w:p>
    <w:p w14:paraId="0C5098A0">
      <w:pPr>
        <w:spacing w:before="104" w:line="224" w:lineRule="auto"/>
        <w:ind w:left="619"/>
        <w:rPr>
          <w:rFonts w:hint="default" w:ascii="黑体" w:hAnsi="黑体" w:eastAsia="黑体" w:cs="黑体"/>
          <w:spacing w:val="8"/>
          <w:sz w:val="32"/>
          <w:szCs w:val="32"/>
          <w:lang w:val="en-US" w:eastAsia="zh-CN"/>
        </w:rPr>
      </w:pPr>
      <w:r>
        <w:rPr>
          <w:rFonts w:hint="eastAsia" w:ascii="黑体" w:hAnsi="黑体" w:eastAsia="黑体" w:cs="黑体"/>
          <w:spacing w:val="8"/>
          <w:sz w:val="32"/>
          <w:szCs w:val="32"/>
          <w:lang w:eastAsia="zh-CN"/>
        </w:rPr>
        <w:t>附件</w:t>
      </w:r>
      <w:r>
        <w:rPr>
          <w:rFonts w:hint="eastAsia" w:ascii="黑体" w:hAnsi="黑体" w:eastAsia="黑体" w:cs="黑体"/>
          <w:spacing w:val="8"/>
          <w:sz w:val="32"/>
          <w:szCs w:val="32"/>
          <w:lang w:val="en-US" w:eastAsia="zh-CN"/>
        </w:rPr>
        <w:t>4</w:t>
      </w:r>
    </w:p>
    <w:p w14:paraId="133CB62B">
      <w:pPr>
        <w:spacing w:before="42" w:line="317" w:lineRule="auto"/>
        <w:jc w:val="center"/>
        <w:rPr>
          <w:rFonts w:ascii="方正小标宋简体" w:hAnsi="Times New Roman" w:eastAsia="方正小标宋简体" w:cs="Times New Roman"/>
          <w:snapToGrid/>
          <w:color w:val="auto"/>
          <w:kern w:val="2"/>
          <w:sz w:val="44"/>
          <w:szCs w:val="44"/>
          <w:lang w:eastAsia="zh-CN"/>
        </w:rPr>
      </w:pPr>
      <w:r>
        <w:rPr>
          <w:rFonts w:hint="eastAsia" w:ascii="方正小标宋简体" w:hAnsi="Times New Roman" w:eastAsia="方正小标宋简体" w:cs="Times New Roman"/>
          <w:snapToGrid/>
          <w:color w:val="auto"/>
          <w:kern w:val="2"/>
          <w:sz w:val="44"/>
          <w:szCs w:val="44"/>
          <w:lang w:eastAsia="zh-CN"/>
        </w:rPr>
        <w:t>云南省</w:t>
      </w:r>
      <w:r>
        <w:rPr>
          <w:rFonts w:hint="eastAsia" w:ascii="方正小标宋简体" w:hAnsi="Times New Roman" w:eastAsia="方正小标宋简体" w:cs="Times New Roman"/>
          <w:snapToGrid/>
          <w:color w:val="auto"/>
          <w:kern w:val="2"/>
          <w:sz w:val="44"/>
          <w:szCs w:val="44"/>
          <w:lang w:val="en-US" w:eastAsia="zh-CN"/>
        </w:rPr>
        <w:t>易门县</w:t>
      </w:r>
      <w:r>
        <w:rPr>
          <w:rFonts w:hint="eastAsia" w:ascii="方正小标宋简体" w:hAnsi="Times New Roman" w:eastAsia="方正小标宋简体" w:cs="Times New Roman"/>
          <w:snapToGrid/>
          <w:color w:val="auto"/>
          <w:kern w:val="2"/>
          <w:sz w:val="44"/>
          <w:szCs w:val="44"/>
          <w:lang w:eastAsia="zh-CN"/>
        </w:rPr>
        <w:t>雪茄烟专营店零售点合理布局公示表</w:t>
      </w:r>
    </w:p>
    <w:p w14:paraId="1B255921">
      <w:pPr>
        <w:kinsoku/>
        <w:autoSpaceDE/>
        <w:autoSpaceDN/>
        <w:adjustRightInd/>
        <w:snapToGrid/>
        <w:ind w:firstLine="420" w:firstLineChars="200"/>
        <w:textAlignment w:val="auto"/>
        <w:rPr>
          <w:lang w:eastAsia="zh-CN"/>
        </w:rPr>
      </w:pPr>
      <w:r>
        <w:rPr>
          <w:rFonts w:hint="eastAsia" w:eastAsia="宋体"/>
          <w:lang w:eastAsia="zh-CN"/>
        </w:rPr>
        <w:t>单位：</w:t>
      </w:r>
      <w:r>
        <w:rPr>
          <w:rFonts w:hint="eastAsia"/>
          <w:lang w:val="en-US" w:eastAsia="zh-CN"/>
        </w:rPr>
        <w:t>云南省易门县</w:t>
      </w:r>
      <w:r>
        <w:rPr>
          <w:rFonts w:hint="eastAsia" w:ascii="宋体" w:hAnsi="宋体" w:eastAsia="宋体" w:cs="宋体"/>
          <w:lang w:eastAsia="zh-CN"/>
        </w:rPr>
        <w:t>烟草专卖局</w:t>
      </w:r>
      <w:r>
        <w:rPr>
          <w:rFonts w:hint="eastAsia" w:ascii="宋体" w:hAnsi="宋体" w:eastAsia="宋体" w:cs="宋体"/>
          <w:lang w:val="en-US" w:eastAsia="zh-CN"/>
        </w:rPr>
        <w:t xml:space="preserve">      </w:t>
      </w:r>
      <w:r>
        <w:rPr>
          <w:rFonts w:hint="eastAsia" w:eastAsia="宋体"/>
          <w:lang w:eastAsia="zh-CN"/>
        </w:rPr>
        <w:t xml:space="preserve">                                     公示时间：</w:t>
      </w:r>
      <w:r>
        <w:rPr>
          <w:lang w:eastAsia="zh-CN"/>
        </w:rPr>
        <w:t>XX年XX月XX日</w:t>
      </w:r>
      <w:r>
        <w:rPr>
          <w:rFonts w:hint="eastAsia"/>
          <w:lang w:eastAsia="zh-CN"/>
        </w:rPr>
        <w:t>-</w:t>
      </w:r>
      <w:r>
        <w:rPr>
          <w:lang w:eastAsia="zh-CN"/>
        </w:rPr>
        <w:t>XX年XX月XX日</w:t>
      </w:r>
    </w:p>
    <w:tbl>
      <w:tblPr>
        <w:tblStyle w:val="8"/>
        <w:tblpPr w:leftFromText="180" w:rightFromText="180" w:vertAnchor="text" w:horzAnchor="page" w:tblpX="1789" w:tblpY="151"/>
        <w:tblOverlap w:val="never"/>
        <w:tblW w:w="475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06"/>
        <w:gridCol w:w="3516"/>
        <w:gridCol w:w="3556"/>
        <w:gridCol w:w="3404"/>
        <w:gridCol w:w="1790"/>
      </w:tblGrid>
      <w:tr w14:paraId="7902B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379" w:type="pct"/>
            <w:tcBorders>
              <w:top w:val="single" w:color="auto" w:sz="4" w:space="0"/>
              <w:left w:val="single" w:color="auto" w:sz="4" w:space="0"/>
              <w:bottom w:val="single" w:color="auto" w:sz="4" w:space="0"/>
              <w:right w:val="single" w:color="auto" w:sz="4" w:space="0"/>
            </w:tcBorders>
            <w:vAlign w:val="center"/>
          </w:tcPr>
          <w:p w14:paraId="02D901BC">
            <w:pPr>
              <w:jc w:val="center"/>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b/>
                <w:bCs/>
                <w:color w:val="auto"/>
                <w:sz w:val="22"/>
                <w:szCs w:val="22"/>
                <w:lang w:val="en-US" w:eastAsia="zh-CN"/>
              </w:rPr>
              <w:t>名称</w:t>
            </w:r>
          </w:p>
        </w:tc>
        <w:tc>
          <w:tcPr>
            <w:tcW w:w="3945" w:type="pct"/>
            <w:gridSpan w:val="3"/>
            <w:tcBorders>
              <w:top w:val="single" w:color="auto" w:sz="4" w:space="0"/>
              <w:left w:val="single" w:color="auto" w:sz="4" w:space="0"/>
            </w:tcBorders>
            <w:vAlign w:val="center"/>
          </w:tcPr>
          <w:p w14:paraId="5A244C5B">
            <w:pPr>
              <w:ind w:left="241" w:hanging="241" w:hangingChars="100"/>
              <w:jc w:val="center"/>
              <w:rPr>
                <w:rFonts w:asciiTheme="minorEastAsia" w:hAnsiTheme="minorEastAsia" w:eastAsiaTheme="minorEastAsia" w:cstheme="minorEastAsia"/>
                <w:b/>
                <w:bCs/>
                <w:color w:val="auto"/>
                <w:sz w:val="24"/>
                <w:szCs w:val="24"/>
                <w:lang w:eastAsia="zh-CN"/>
              </w:rPr>
            </w:pPr>
            <w:r>
              <w:rPr>
                <w:rFonts w:hint="eastAsia" w:asciiTheme="minorEastAsia" w:hAnsiTheme="minorEastAsia" w:eastAsiaTheme="minorEastAsia" w:cstheme="minorEastAsia"/>
                <w:b/>
                <w:bCs/>
                <w:color w:val="auto"/>
                <w:sz w:val="24"/>
                <w:szCs w:val="24"/>
                <w:lang w:eastAsia="zh-CN"/>
              </w:rPr>
              <w:t>数量情况</w:t>
            </w:r>
          </w:p>
        </w:tc>
        <w:tc>
          <w:tcPr>
            <w:tcW w:w="674" w:type="pct"/>
            <w:vMerge w:val="restart"/>
            <w:tcBorders>
              <w:top w:val="single" w:color="auto" w:sz="4" w:space="0"/>
              <w:right w:val="single" w:color="auto" w:sz="4" w:space="0"/>
            </w:tcBorders>
            <w:vAlign w:val="center"/>
          </w:tcPr>
          <w:p w14:paraId="2C169299">
            <w:pPr>
              <w:ind w:left="19" w:right="80" w:rightChars="38" w:hanging="19" w:hangingChars="8"/>
              <w:jc w:val="center"/>
              <w:rPr>
                <w:rFonts w:asciiTheme="minorEastAsia" w:hAnsiTheme="minorEastAsia" w:eastAsiaTheme="minorEastAsia" w:cstheme="minorEastAsia"/>
                <w:b/>
                <w:bCs/>
                <w:color w:val="auto"/>
                <w:spacing w:val="-1"/>
                <w:sz w:val="24"/>
                <w:szCs w:val="24"/>
                <w:lang w:eastAsia="zh-CN"/>
              </w:rPr>
            </w:pPr>
            <w:r>
              <w:rPr>
                <w:rFonts w:hint="eastAsia" w:asciiTheme="minorEastAsia" w:hAnsiTheme="minorEastAsia" w:eastAsiaTheme="minorEastAsia" w:cstheme="minorEastAsia"/>
                <w:b/>
                <w:bCs/>
                <w:color w:val="auto"/>
                <w:spacing w:val="-1"/>
                <w:sz w:val="24"/>
                <w:szCs w:val="24"/>
                <w:lang w:eastAsia="zh-CN"/>
              </w:rPr>
              <w:t>备注</w:t>
            </w:r>
          </w:p>
        </w:tc>
      </w:tr>
      <w:tr w14:paraId="3CEEB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79" w:type="pct"/>
            <w:vMerge w:val="restart"/>
            <w:tcBorders>
              <w:top w:val="single" w:color="auto" w:sz="4" w:space="0"/>
              <w:left w:val="single" w:color="auto" w:sz="4" w:space="0"/>
              <w:bottom w:val="single" w:color="auto" w:sz="4" w:space="0"/>
              <w:right w:val="single" w:color="auto" w:sz="4" w:space="0"/>
            </w:tcBorders>
            <w:vAlign w:val="center"/>
          </w:tcPr>
          <w:p w14:paraId="793D8F87">
            <w:pPr>
              <w:jc w:val="center"/>
              <w:rPr>
                <w:rFonts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val="en-US" w:eastAsia="zh-CN"/>
              </w:rPr>
              <w:t>易门</w:t>
            </w:r>
            <w:r>
              <w:rPr>
                <w:rFonts w:hint="eastAsia" w:asciiTheme="minorEastAsia" w:hAnsiTheme="minorEastAsia" w:eastAsiaTheme="minorEastAsia" w:cstheme="minorEastAsia"/>
                <w:color w:val="auto"/>
                <w:sz w:val="22"/>
                <w:szCs w:val="22"/>
                <w:lang w:eastAsia="zh-CN"/>
              </w:rPr>
              <w:t>县</w:t>
            </w:r>
          </w:p>
        </w:tc>
        <w:tc>
          <w:tcPr>
            <w:tcW w:w="1324" w:type="pct"/>
            <w:tcBorders>
              <w:left w:val="single" w:color="auto" w:sz="4" w:space="0"/>
            </w:tcBorders>
            <w:vAlign w:val="center"/>
          </w:tcPr>
          <w:p w14:paraId="49B82B3F">
            <w:pPr>
              <w:jc w:val="center"/>
              <w:rPr>
                <w:rFonts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val="en-US" w:eastAsia="zh-CN"/>
              </w:rPr>
              <w:t>总量</w:t>
            </w:r>
            <w:r>
              <w:rPr>
                <w:rFonts w:hint="eastAsia" w:asciiTheme="minorEastAsia" w:hAnsiTheme="minorEastAsia" w:eastAsiaTheme="minorEastAsia" w:cstheme="minorEastAsia"/>
                <w:color w:val="auto"/>
                <w:sz w:val="22"/>
                <w:szCs w:val="22"/>
                <w:lang w:eastAsia="zh-CN"/>
              </w:rPr>
              <w:t>规划数</w:t>
            </w:r>
          </w:p>
          <w:p w14:paraId="395FFDCF">
            <w:pPr>
              <w:jc w:val="center"/>
              <w:rPr>
                <w:rFonts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pacing w:val="-1"/>
                <w:sz w:val="22"/>
                <w:szCs w:val="22"/>
                <w:lang w:eastAsia="zh-CN"/>
              </w:rPr>
              <w:t>（个）</w:t>
            </w:r>
          </w:p>
        </w:tc>
        <w:tc>
          <w:tcPr>
            <w:tcW w:w="1339" w:type="pct"/>
            <w:vAlign w:val="center"/>
          </w:tcPr>
          <w:p w14:paraId="3298B395">
            <w:pPr>
              <w:jc w:val="center"/>
              <w:rPr>
                <w:rFonts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当前实际数</w:t>
            </w:r>
          </w:p>
          <w:p w14:paraId="272E3C9D">
            <w:pPr>
              <w:jc w:val="center"/>
              <w:rPr>
                <w:rFonts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（个）</w:t>
            </w:r>
          </w:p>
        </w:tc>
        <w:tc>
          <w:tcPr>
            <w:tcW w:w="1281" w:type="pct"/>
            <w:vAlign w:val="center"/>
          </w:tcPr>
          <w:p w14:paraId="33D81293">
            <w:pPr>
              <w:jc w:val="center"/>
              <w:rPr>
                <w:rFonts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val="en-US" w:eastAsia="zh-CN"/>
              </w:rPr>
              <w:t>当前</w:t>
            </w:r>
            <w:r>
              <w:rPr>
                <w:rFonts w:hint="eastAsia" w:asciiTheme="minorEastAsia" w:hAnsiTheme="minorEastAsia" w:eastAsiaTheme="minorEastAsia" w:cstheme="minorEastAsia"/>
                <w:color w:val="auto"/>
                <w:sz w:val="22"/>
                <w:szCs w:val="22"/>
                <w:lang w:eastAsia="zh-CN"/>
              </w:rPr>
              <w:t>余量</w:t>
            </w:r>
          </w:p>
          <w:p w14:paraId="034D6C72">
            <w:pPr>
              <w:jc w:val="center"/>
              <w:rPr>
                <w:rFonts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（个）</w:t>
            </w:r>
          </w:p>
        </w:tc>
        <w:tc>
          <w:tcPr>
            <w:tcW w:w="674" w:type="pct"/>
            <w:vMerge w:val="continue"/>
            <w:tcBorders>
              <w:right w:val="single" w:color="auto" w:sz="4" w:space="0"/>
            </w:tcBorders>
            <w:vAlign w:val="center"/>
          </w:tcPr>
          <w:p w14:paraId="6357DE0E">
            <w:pPr>
              <w:rPr>
                <w:rFonts w:asciiTheme="minorEastAsia" w:hAnsiTheme="minorEastAsia" w:eastAsiaTheme="minorEastAsia" w:cstheme="minorEastAsia"/>
                <w:color w:val="auto"/>
                <w:sz w:val="22"/>
                <w:szCs w:val="22"/>
                <w:lang w:eastAsia="zh-CN"/>
              </w:rPr>
            </w:pPr>
          </w:p>
        </w:tc>
      </w:tr>
      <w:tr w14:paraId="112D9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379" w:type="pct"/>
            <w:vMerge w:val="continue"/>
            <w:tcBorders>
              <w:top w:val="single" w:color="auto" w:sz="4" w:space="0"/>
              <w:left w:val="single" w:color="auto" w:sz="4" w:space="0"/>
              <w:bottom w:val="single" w:color="auto" w:sz="4" w:space="0"/>
              <w:right w:val="single" w:color="auto" w:sz="4" w:space="0"/>
            </w:tcBorders>
            <w:vAlign w:val="center"/>
          </w:tcPr>
          <w:p w14:paraId="2DC2F057">
            <w:pPr>
              <w:jc w:val="center"/>
              <w:rPr>
                <w:rFonts w:asciiTheme="minorEastAsia" w:hAnsiTheme="minorEastAsia" w:eastAsiaTheme="minorEastAsia" w:cstheme="minorEastAsia"/>
                <w:color w:val="auto"/>
                <w:sz w:val="22"/>
                <w:szCs w:val="22"/>
              </w:rPr>
            </w:pPr>
          </w:p>
        </w:tc>
        <w:tc>
          <w:tcPr>
            <w:tcW w:w="1324" w:type="pct"/>
            <w:tcBorders>
              <w:left w:val="single" w:color="auto" w:sz="4" w:space="0"/>
              <w:bottom w:val="single" w:color="auto" w:sz="4" w:space="0"/>
            </w:tcBorders>
            <w:vAlign w:val="center"/>
          </w:tcPr>
          <w:p w14:paraId="2A8B1206">
            <w:pPr>
              <w:jc w:val="center"/>
              <w:rPr>
                <w:rFonts w:hint="default"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20</w:t>
            </w:r>
          </w:p>
        </w:tc>
        <w:tc>
          <w:tcPr>
            <w:tcW w:w="1339" w:type="pct"/>
            <w:tcBorders>
              <w:bottom w:val="single" w:color="auto" w:sz="4" w:space="0"/>
            </w:tcBorders>
            <w:vAlign w:val="center"/>
          </w:tcPr>
          <w:p w14:paraId="343F308B">
            <w:pPr>
              <w:jc w:val="center"/>
              <w:rPr>
                <w:rFonts w:hint="default"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0</w:t>
            </w:r>
          </w:p>
        </w:tc>
        <w:tc>
          <w:tcPr>
            <w:tcW w:w="1281" w:type="pct"/>
            <w:tcBorders>
              <w:bottom w:val="single" w:color="auto" w:sz="4" w:space="0"/>
            </w:tcBorders>
            <w:vAlign w:val="center"/>
          </w:tcPr>
          <w:p w14:paraId="77361F75">
            <w:pPr>
              <w:jc w:val="center"/>
              <w:rPr>
                <w:rFonts w:hint="default"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20</w:t>
            </w:r>
          </w:p>
        </w:tc>
        <w:tc>
          <w:tcPr>
            <w:tcW w:w="674" w:type="pct"/>
            <w:tcBorders>
              <w:bottom w:val="single" w:color="auto" w:sz="4" w:space="0"/>
              <w:right w:val="single" w:color="auto" w:sz="4" w:space="0"/>
            </w:tcBorders>
            <w:vAlign w:val="center"/>
          </w:tcPr>
          <w:p w14:paraId="2C4C9645">
            <w:pPr>
              <w:jc w:val="center"/>
              <w:rPr>
                <w:rFonts w:asciiTheme="minorEastAsia" w:hAnsiTheme="minorEastAsia" w:eastAsiaTheme="minorEastAsia" w:cstheme="minorEastAsia"/>
                <w:color w:val="auto"/>
                <w:sz w:val="22"/>
                <w:szCs w:val="22"/>
              </w:rPr>
            </w:pPr>
          </w:p>
        </w:tc>
      </w:tr>
    </w:tbl>
    <w:p w14:paraId="58173094">
      <w:pPr>
        <w:spacing w:before="42" w:line="219" w:lineRule="auto"/>
        <w:ind w:firstLine="416" w:firstLineChars="200"/>
        <w:rPr>
          <w:rFonts w:ascii="宋体" w:hAnsi="宋体" w:eastAsia="宋体" w:cs="宋体"/>
          <w:spacing w:val="-1"/>
        </w:rPr>
      </w:pPr>
      <w:r>
        <w:rPr>
          <w:rFonts w:ascii="宋体" w:hAnsi="宋体" w:eastAsia="宋体" w:cs="宋体"/>
          <w:spacing w:val="-1"/>
        </w:rPr>
        <w:t>备注：</w:t>
      </w:r>
    </w:p>
    <w:p w14:paraId="0CAF81A6">
      <w:pPr>
        <w:spacing w:before="42" w:line="219" w:lineRule="auto"/>
        <w:ind w:firstLine="416" w:firstLineChars="200"/>
        <w:rPr>
          <w:rFonts w:ascii="宋体" w:hAnsi="宋体" w:eastAsia="宋体" w:cs="宋体"/>
          <w:spacing w:val="-1"/>
          <w:lang w:eastAsia="zh-CN"/>
        </w:rPr>
      </w:pPr>
      <w:r>
        <w:rPr>
          <w:rFonts w:hint="eastAsia" w:ascii="宋体" w:hAnsi="宋体" w:eastAsia="宋体" w:cs="宋体"/>
          <w:spacing w:val="-1"/>
          <w:lang w:eastAsia="zh-CN"/>
        </w:rPr>
        <w:t>1.本公示表的数据根据本县零售点布局规划实行定期评价、动态管理。</w:t>
      </w:r>
    </w:p>
    <w:p w14:paraId="536751EC">
      <w:pPr>
        <w:spacing w:before="42" w:line="219" w:lineRule="auto"/>
        <w:ind w:left="420" w:leftChars="200"/>
        <w:rPr>
          <w:rFonts w:ascii="宋体" w:hAnsi="宋体" w:eastAsia="宋体" w:cs="宋体"/>
          <w:spacing w:val="-1"/>
          <w:lang w:eastAsia="zh-CN"/>
        </w:rPr>
      </w:pPr>
      <w:r>
        <w:rPr>
          <w:rFonts w:hint="eastAsia" w:ascii="宋体" w:hAnsi="宋体" w:eastAsia="宋体" w:cs="宋体"/>
          <w:spacing w:val="-1"/>
          <w:lang w:eastAsia="zh-CN"/>
        </w:rPr>
        <w:t>2.每季度根据经济发展、城市和乡村建设、市场形势等变化情况对本表中的数据进行动态调整，规划数相应进行动态更新，以每季度最后一次公示的数据为准。</w:t>
      </w:r>
    </w:p>
    <w:p w14:paraId="3DBEA4CC">
      <w:pPr>
        <w:spacing w:before="42" w:line="219" w:lineRule="auto"/>
        <w:ind w:firstLine="416" w:firstLineChars="200"/>
        <w:jc w:val="both"/>
        <w:rPr>
          <w:rFonts w:ascii="方正小标宋简体" w:hAnsi="Times New Roman" w:eastAsia="方正小标宋简体" w:cs="Times New Roman"/>
          <w:snapToGrid/>
          <w:color w:val="auto"/>
          <w:kern w:val="2"/>
          <w:sz w:val="32"/>
          <w:szCs w:val="32"/>
          <w:lang w:eastAsia="zh-CN"/>
        </w:rPr>
      </w:pPr>
      <w:r>
        <w:rPr>
          <w:rFonts w:hint="eastAsia" w:ascii="宋体" w:hAnsi="宋体" w:eastAsia="宋体" w:cs="宋体"/>
          <w:spacing w:val="-1"/>
          <w:lang w:eastAsia="zh-CN"/>
        </w:rPr>
        <w:t>3.本数据由</w:t>
      </w:r>
      <w:r>
        <w:rPr>
          <w:rFonts w:hint="eastAsia" w:ascii="宋体" w:hAnsi="宋体" w:eastAsia="宋体" w:cs="宋体"/>
          <w:spacing w:val="-1"/>
          <w:lang w:val="en-US" w:eastAsia="zh-CN"/>
        </w:rPr>
        <w:t>云南省易门县</w:t>
      </w:r>
      <w:r>
        <w:rPr>
          <w:rFonts w:hint="eastAsia" w:ascii="宋体" w:hAnsi="宋体" w:eastAsia="宋体" w:cs="宋体"/>
          <w:spacing w:val="-1"/>
          <w:lang w:eastAsia="zh-CN"/>
        </w:rPr>
        <w:t>烟草专卖局负责解释，咨询电话：</w:t>
      </w:r>
      <w:r>
        <w:rPr>
          <w:rFonts w:hint="eastAsia" w:ascii="宋体" w:hAnsi="宋体" w:eastAsia="宋体" w:cs="宋体"/>
          <w:spacing w:val="-1"/>
          <w:lang w:val="en-US" w:eastAsia="zh-CN"/>
        </w:rPr>
        <w:t>0877-4968256</w:t>
      </w:r>
      <w:r>
        <w:rPr>
          <w:rFonts w:hint="eastAsia" w:ascii="宋体" w:hAnsi="宋体" w:eastAsia="宋体" w:cs="宋体"/>
          <w:spacing w:val="-1"/>
          <w:lang w:eastAsia="zh-CN"/>
        </w:rPr>
        <w:t>。</w:t>
      </w:r>
    </w:p>
    <w:p w14:paraId="5B879873">
      <w:pPr>
        <w:spacing w:before="57" w:line="221" w:lineRule="auto"/>
        <w:ind w:left="0"/>
        <w:rPr>
          <w:rFonts w:hint="eastAsia" w:ascii="FangSong_GB2312" w:hAnsi="FangSong_GB2312" w:eastAsia="FangSong_GB2312" w:cs="FangSong_GB2312"/>
          <w:spacing w:val="26"/>
          <w:sz w:val="31"/>
          <w:szCs w:val="31"/>
          <w:lang w:eastAsia="zh-CN"/>
        </w:rPr>
        <w:sectPr>
          <w:pgSz w:w="16838" w:h="11906" w:orient="landscape"/>
          <w:pgMar w:top="1800" w:right="1440" w:bottom="1800" w:left="1440" w:header="851" w:footer="992" w:gutter="0"/>
          <w:pgNumType w:fmt="decimal"/>
          <w:cols w:space="425" w:num="1"/>
          <w:docGrid w:type="lines" w:linePitch="312" w:charSpace="0"/>
        </w:sectPr>
      </w:pPr>
    </w:p>
    <w:p w14:paraId="0E2C71C0">
      <w:pPr>
        <w:spacing w:before="104" w:line="224" w:lineRule="auto"/>
        <w:rPr>
          <w:rFonts w:hint="default" w:ascii="方正小标宋简体" w:eastAsia="方正小标宋简体"/>
          <w:b/>
          <w:bCs/>
          <w:sz w:val="44"/>
          <w:szCs w:val="44"/>
          <w:lang w:val="en-US" w:eastAsia="zh-CN"/>
        </w:rPr>
      </w:pPr>
      <w:r>
        <w:rPr>
          <w:rFonts w:hint="eastAsia" w:ascii="黑体" w:hAnsi="黑体" w:eastAsia="黑体" w:cs="黑体"/>
          <w:spacing w:val="8"/>
          <w:sz w:val="32"/>
          <w:szCs w:val="32"/>
          <w:lang w:eastAsia="zh-CN"/>
        </w:rPr>
        <w:t>附件</w:t>
      </w:r>
      <w:r>
        <w:rPr>
          <w:rFonts w:hint="eastAsia" w:ascii="黑体" w:hAnsi="黑体" w:eastAsia="黑体" w:cs="黑体"/>
          <w:spacing w:val="8"/>
          <w:sz w:val="32"/>
          <w:szCs w:val="32"/>
          <w:lang w:val="en-US" w:eastAsia="zh-CN"/>
        </w:rPr>
        <w:t>5</w:t>
      </w:r>
    </w:p>
    <w:p w14:paraId="5A1482ED">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ascii="方正小标宋简体" w:eastAsia="方正小标宋简体"/>
          <w:sz w:val="44"/>
          <w:szCs w:val="44"/>
          <w:lang w:eastAsia="zh-CN"/>
        </w:rPr>
      </w:pPr>
      <w:r>
        <w:rPr>
          <w:rFonts w:hint="eastAsia" w:ascii="方正小标宋简体" w:eastAsia="方正小标宋简体"/>
          <w:sz w:val="44"/>
          <w:szCs w:val="44"/>
          <w:lang w:eastAsia="zh-CN"/>
        </w:rPr>
        <w:t>云南省易门县烟草制品零售点</w:t>
      </w:r>
    </w:p>
    <w:p w14:paraId="5FEFB66E">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合理布局规划数动态调整管理制度</w:t>
      </w:r>
    </w:p>
    <w:p w14:paraId="19817099">
      <w:pPr>
        <w:pStyle w:val="2"/>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lang w:eastAsia="zh-CN"/>
        </w:rPr>
      </w:pPr>
    </w:p>
    <w:p w14:paraId="0A368F3A">
      <w:pPr>
        <w:keepNext w:val="0"/>
        <w:keepLines w:val="0"/>
        <w:pageBreakBefore w:val="0"/>
        <w:widowControl w:val="0"/>
        <w:numPr>
          <w:ilvl w:val="2"/>
          <w:numId w:val="1"/>
        </w:numPr>
        <w:kinsoku/>
        <w:wordWrap/>
        <w:overflowPunct/>
        <w:topLinePunct w:val="0"/>
        <w:autoSpaceDE/>
        <w:autoSpaceDN/>
        <w:bidi w:val="0"/>
        <w:adjustRightInd w:val="0"/>
        <w:snapToGrid w:val="0"/>
        <w:spacing w:line="560" w:lineRule="exact"/>
        <w:ind w:firstLine="680"/>
        <w:textAlignment w:val="auto"/>
        <w:rPr>
          <w:rFonts w:ascii="仿宋_GB2312" w:hAnsi="仿宋_GB2312" w:eastAsia="仿宋_GB2312" w:cs="仿宋_GB2312"/>
          <w:kern w:val="28"/>
          <w:sz w:val="32"/>
          <w:szCs w:val="32"/>
          <w:lang w:eastAsia="zh-CN"/>
        </w:rPr>
      </w:pPr>
      <w:r>
        <w:rPr>
          <w:rFonts w:hint="eastAsia" w:ascii="仿宋_GB2312" w:hAnsi="仿宋_GB2312" w:eastAsia="仿宋_GB2312" w:cs="仿宋_GB2312"/>
          <w:sz w:val="32"/>
          <w:szCs w:val="32"/>
          <w:lang w:eastAsia="zh-CN"/>
        </w:rPr>
        <w:t>为建立合理布局规划管理动态调整机制，做好规范性文件的动态管理，保证《云南省易门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lang w:eastAsia="zh-CN"/>
        </w:rPr>
        <w:t>办法实施细则》等法律法规规章和规范性文件的规定，特制定本制度。</w:t>
      </w:r>
    </w:p>
    <w:p w14:paraId="6A2161CF">
      <w:pPr>
        <w:keepNext w:val="0"/>
        <w:keepLines w:val="0"/>
        <w:pageBreakBefore w:val="0"/>
        <w:widowControl w:val="0"/>
        <w:numPr>
          <w:ilvl w:val="2"/>
          <w:numId w:val="1"/>
        </w:numPr>
        <w:kinsoku/>
        <w:wordWrap/>
        <w:overflowPunct/>
        <w:topLinePunct w:val="0"/>
        <w:autoSpaceDE/>
        <w:autoSpaceDN/>
        <w:bidi w:val="0"/>
        <w:adjustRightInd w:val="0"/>
        <w:snapToGrid w:val="0"/>
        <w:spacing w:line="560" w:lineRule="exact"/>
        <w:ind w:firstLine="68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kern w:val="28"/>
          <w:sz w:val="32"/>
          <w:szCs w:val="32"/>
          <w:lang w:eastAsia="zh-CN"/>
        </w:rPr>
        <w:t>根据《云南省易门县烟草制品零售点合理布局规划》，易门县</w:t>
      </w:r>
      <w:r>
        <w:rPr>
          <w:rFonts w:hint="eastAsia" w:ascii="仿宋_GB2312" w:hAnsi="仿宋_GB2312" w:eastAsia="仿宋_GB2312" w:cs="仿宋_GB2312"/>
          <w:sz w:val="32"/>
          <w:szCs w:val="32"/>
          <w:lang w:eastAsia="zh-CN"/>
        </w:rPr>
        <w:t>烟草专卖局每季度根据本地</w:t>
      </w:r>
      <w:r>
        <w:rPr>
          <w:rFonts w:eastAsia="仿宋_GB2312"/>
          <w:sz w:val="32"/>
          <w:szCs w:val="32"/>
          <w:lang w:eastAsia="zh-CN"/>
        </w:rPr>
        <w:t>人口数量、交通状况、经济发展水平、居民消费能力、消费购买习惯</w:t>
      </w:r>
      <w:r>
        <w:rPr>
          <w:rFonts w:hint="eastAsia" w:ascii="仿宋_GB2312" w:hAnsi="仿宋_GB2312" w:eastAsia="仿宋_GB2312" w:cs="仿宋_GB2312"/>
          <w:sz w:val="32"/>
          <w:szCs w:val="32"/>
          <w:lang w:eastAsia="zh-CN"/>
        </w:rPr>
        <w:t>等变化情况，对辖区单元网格零售点合理布局规划数进行动态调整。零售点合理布局规划数动态调整情况应提交易门县</w:t>
      </w:r>
      <w:r>
        <w:rPr>
          <w:rFonts w:hint="eastAsia" w:ascii="仿宋_GB2312" w:eastAsia="仿宋_GB2312"/>
          <w:sz w:val="32"/>
          <w:szCs w:val="32"/>
          <w:lang w:eastAsia="zh-CN"/>
        </w:rPr>
        <w:t>烟草专卖局领导班子集体讨论决定。讨论通过的，应在</w:t>
      </w:r>
      <w:r>
        <w:rPr>
          <w:rFonts w:hint="eastAsia" w:ascii="仿宋_GB2312" w:hAnsi="仿宋_GB2312" w:eastAsia="仿宋_GB2312" w:cs="仿宋_GB2312"/>
          <w:sz w:val="32"/>
          <w:szCs w:val="32"/>
          <w:lang w:eastAsia="zh-CN"/>
        </w:rPr>
        <w:t>五日内通过政府网站、行业网站及政务服务大厅等平台公示《云南省易门县烟草制品零售点合理布局公示表》，同时报上一级烟草专卖局备案。</w:t>
      </w:r>
    </w:p>
    <w:p w14:paraId="1DB235D1">
      <w:pPr>
        <w:keepNext w:val="0"/>
        <w:keepLines w:val="0"/>
        <w:pageBreakBefore w:val="0"/>
        <w:widowControl w:val="0"/>
        <w:numPr>
          <w:ilvl w:val="2"/>
          <w:numId w:val="1"/>
        </w:numPr>
        <w:kinsoku/>
        <w:wordWrap/>
        <w:overflowPunct/>
        <w:topLinePunct w:val="0"/>
        <w:autoSpaceDE/>
        <w:autoSpaceDN/>
        <w:bidi w:val="0"/>
        <w:adjustRightInd w:val="0"/>
        <w:snapToGrid w:val="0"/>
        <w:spacing w:line="560" w:lineRule="exact"/>
        <w:ind w:firstLine="68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零售点合理布局规划数动态调整情况</w:t>
      </w:r>
      <w:r>
        <w:rPr>
          <w:rFonts w:hint="eastAsia" w:ascii="仿宋_GB2312" w:hAnsi="仿宋_GB2312" w:eastAsia="仿宋_GB2312" w:cs="仿宋_GB2312"/>
          <w:kern w:val="28"/>
          <w:sz w:val="32"/>
          <w:szCs w:val="32"/>
          <w:lang w:eastAsia="zh-CN"/>
        </w:rPr>
        <w:t>于公示之日起三日后开始实施</w:t>
      </w:r>
      <w:r>
        <w:rPr>
          <w:rFonts w:hint="eastAsia" w:ascii="仿宋_GB2312" w:hAnsi="仿宋_GB2312" w:eastAsia="仿宋_GB2312" w:cs="仿宋_GB2312"/>
          <w:sz w:val="32"/>
          <w:szCs w:val="32"/>
          <w:lang w:eastAsia="zh-CN"/>
        </w:rPr>
        <w:t>。</w:t>
      </w:r>
    </w:p>
    <w:p w14:paraId="58C750D1">
      <w:pPr>
        <w:keepNext w:val="0"/>
        <w:keepLines w:val="0"/>
        <w:pageBreakBefore w:val="0"/>
        <w:widowControl w:val="0"/>
        <w:numPr>
          <w:ilvl w:val="2"/>
          <w:numId w:val="1"/>
        </w:numPr>
        <w:kinsoku/>
        <w:wordWrap/>
        <w:overflowPunct/>
        <w:topLinePunct w:val="0"/>
        <w:autoSpaceDE/>
        <w:autoSpaceDN/>
        <w:bidi w:val="0"/>
        <w:adjustRightInd w:val="0"/>
        <w:snapToGrid w:val="0"/>
        <w:spacing w:line="560" w:lineRule="exact"/>
        <w:ind w:firstLine="680"/>
        <w:textAlignment w:val="auto"/>
        <w:rPr>
          <w:rFonts w:ascii="楷体" w:hAnsi="楷体" w:eastAsia="楷体" w:cs="楷体"/>
          <w:sz w:val="32"/>
          <w:szCs w:val="32"/>
          <w:lang w:eastAsia="zh-CN"/>
        </w:rPr>
      </w:pPr>
      <w:r>
        <w:rPr>
          <w:rFonts w:hint="eastAsia" w:ascii="仿宋_GB2312" w:hAnsi="仿宋_GB2312" w:eastAsia="仿宋_GB2312" w:cs="仿宋_GB2312"/>
          <w:sz w:val="32"/>
          <w:szCs w:val="32"/>
          <w:lang w:eastAsia="zh-CN"/>
        </w:rPr>
        <w:t>易门县烟草专卖局每年年底向上一级烟草专卖局报告本年度烟草制品零售点合理布局规划数动态调整工作执行情况。</w:t>
      </w:r>
    </w:p>
    <w:p w14:paraId="71743D1C">
      <w:pPr>
        <w:keepNext w:val="0"/>
        <w:keepLines w:val="0"/>
        <w:pageBreakBefore w:val="0"/>
        <w:widowControl w:val="0"/>
        <w:numPr>
          <w:ilvl w:val="2"/>
          <w:numId w:val="1"/>
        </w:numPr>
        <w:kinsoku/>
        <w:wordWrap/>
        <w:overflowPunct/>
        <w:topLinePunct w:val="0"/>
        <w:autoSpaceDE/>
        <w:autoSpaceDN/>
        <w:bidi w:val="0"/>
        <w:adjustRightInd w:val="0"/>
        <w:snapToGrid w:val="0"/>
        <w:spacing w:line="560" w:lineRule="exact"/>
        <w:ind w:firstLine="68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本制度中按照年、月、日计算期间的，开始的当日不计入，自下一日开始计算。均以工作日计算，不含法定节假日。</w:t>
      </w:r>
    </w:p>
    <w:p w14:paraId="13595D8D">
      <w:pPr>
        <w:keepNext w:val="0"/>
        <w:keepLines w:val="0"/>
        <w:pageBreakBefore w:val="0"/>
        <w:widowControl w:val="0"/>
        <w:numPr>
          <w:ilvl w:val="2"/>
          <w:numId w:val="1"/>
        </w:numPr>
        <w:kinsoku/>
        <w:wordWrap/>
        <w:overflowPunct/>
        <w:topLinePunct w:val="0"/>
        <w:autoSpaceDE/>
        <w:autoSpaceDN/>
        <w:bidi w:val="0"/>
        <w:adjustRightInd w:val="0"/>
        <w:snapToGrid w:val="0"/>
        <w:spacing w:line="560" w:lineRule="exact"/>
        <w:ind w:firstLine="68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本制度由云南省易门县烟草专卖局负责解释。</w:t>
      </w:r>
    </w:p>
    <w:p w14:paraId="66669FCB">
      <w:pPr>
        <w:keepNext w:val="0"/>
        <w:keepLines w:val="0"/>
        <w:pageBreakBefore w:val="0"/>
        <w:widowControl w:val="0"/>
        <w:numPr>
          <w:ilvl w:val="2"/>
          <w:numId w:val="1"/>
        </w:numPr>
        <w:kinsoku/>
        <w:wordWrap/>
        <w:overflowPunct/>
        <w:topLinePunct w:val="0"/>
        <w:autoSpaceDE/>
        <w:autoSpaceDN/>
        <w:bidi w:val="0"/>
        <w:adjustRightInd w:val="0"/>
        <w:snapToGrid w:val="0"/>
        <w:spacing w:line="560" w:lineRule="exact"/>
        <w:ind w:firstLine="68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本制度自《云南省易门县烟草制品零售点合理布局规划》实施之日起同时施行。</w:t>
      </w:r>
    </w:p>
    <w:p w14:paraId="0EBB8C89">
      <w:pPr>
        <w:keepNext w:val="0"/>
        <w:keepLines w:val="0"/>
        <w:pageBreakBefore w:val="0"/>
        <w:wordWrap/>
        <w:overflowPunct/>
        <w:topLinePunct w:val="0"/>
        <w:bidi w:val="0"/>
        <w:adjustRightInd w:val="0"/>
        <w:snapToGrid w:val="0"/>
        <w:spacing w:line="560" w:lineRule="exact"/>
      </w:pPr>
    </w:p>
    <w:p w14:paraId="78993382">
      <w:pPr>
        <w:keepNext w:val="0"/>
        <w:keepLines w:val="0"/>
        <w:pageBreakBefore w:val="0"/>
        <w:wordWrap/>
        <w:overflowPunct/>
        <w:topLinePunct w:val="0"/>
        <w:bidi w:val="0"/>
        <w:adjustRightInd w:val="0"/>
        <w:snapToGrid w:val="0"/>
        <w:spacing w:line="560" w:lineRule="exact"/>
        <w:ind w:left="0"/>
        <w:rPr>
          <w:rFonts w:hint="eastAsia" w:ascii="FangSong_GB2312" w:hAnsi="FangSong_GB2312" w:eastAsia="FangSong_GB2312" w:cs="FangSong_GB2312"/>
          <w:spacing w:val="26"/>
          <w:sz w:val="31"/>
          <w:szCs w:val="31"/>
          <w:lang w:eastAsia="zh-CN"/>
        </w:rPr>
        <w:sectPr>
          <w:pgSz w:w="11906" w:h="16838"/>
          <w:pgMar w:top="1440" w:right="1800" w:bottom="1440" w:left="1800" w:header="851" w:footer="992" w:gutter="0"/>
          <w:pgNumType w:fmt="decimal"/>
          <w:cols w:space="425" w:num="1"/>
          <w:docGrid w:type="lines" w:linePitch="312" w:charSpace="0"/>
        </w:sectPr>
      </w:pPr>
    </w:p>
    <w:p w14:paraId="240474D5">
      <w:pPr>
        <w:keepNext w:val="0"/>
        <w:keepLines w:val="0"/>
        <w:pageBreakBefore w:val="0"/>
        <w:wordWrap/>
        <w:overflowPunct/>
        <w:topLinePunct w:val="0"/>
        <w:bidi w:val="0"/>
        <w:adjustRightInd w:val="0"/>
        <w:snapToGrid w:val="0"/>
        <w:spacing w:line="560" w:lineRule="exact"/>
        <w:rPr>
          <w:rFonts w:hint="default" w:ascii="黑体" w:hAnsi="黑体" w:eastAsia="黑体" w:cs="黑体"/>
          <w:spacing w:val="8"/>
          <w:sz w:val="32"/>
          <w:szCs w:val="32"/>
          <w:lang w:val="en-US" w:eastAsia="zh-CN"/>
        </w:rPr>
      </w:pPr>
      <w:r>
        <w:rPr>
          <w:rFonts w:hint="eastAsia" w:ascii="黑体" w:hAnsi="黑体" w:eastAsia="黑体" w:cs="黑体"/>
          <w:spacing w:val="8"/>
          <w:sz w:val="32"/>
          <w:szCs w:val="32"/>
          <w:lang w:eastAsia="zh-CN"/>
        </w:rPr>
        <w:t>附件</w:t>
      </w:r>
      <w:r>
        <w:rPr>
          <w:rFonts w:hint="eastAsia" w:ascii="黑体" w:hAnsi="黑体" w:eastAsia="黑体" w:cs="黑体"/>
          <w:spacing w:val="8"/>
          <w:sz w:val="32"/>
          <w:szCs w:val="32"/>
          <w:lang w:val="en-US" w:eastAsia="zh-CN"/>
        </w:rPr>
        <w:t>6</w:t>
      </w:r>
    </w:p>
    <w:p w14:paraId="5A02DA28">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ascii="方正小标宋简体" w:eastAsia="方正小标宋简体"/>
          <w:sz w:val="44"/>
          <w:szCs w:val="44"/>
          <w:lang w:eastAsia="zh-CN"/>
        </w:rPr>
      </w:pPr>
      <w:r>
        <w:rPr>
          <w:rFonts w:hint="eastAsia" w:ascii="方正小标宋简体" w:eastAsia="方正小标宋简体"/>
          <w:sz w:val="44"/>
          <w:szCs w:val="44"/>
          <w:lang w:eastAsia="zh-CN"/>
        </w:rPr>
        <w:t>云南省易门县烟草制品零售点</w:t>
      </w:r>
    </w:p>
    <w:p w14:paraId="3A781503">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方正小标宋简体" w:eastAsia="方正小标宋简体"/>
          <w:sz w:val="44"/>
          <w:szCs w:val="44"/>
        </w:rPr>
      </w:pPr>
      <w:r>
        <w:rPr>
          <w:rFonts w:hint="eastAsia" w:ascii="方正小标宋简体" w:eastAsia="方正小标宋简体"/>
          <w:sz w:val="44"/>
          <w:szCs w:val="44"/>
        </w:rPr>
        <w:t>排队轮候制度</w:t>
      </w:r>
    </w:p>
    <w:p w14:paraId="34B21C96">
      <w:pPr>
        <w:pStyle w:val="2"/>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pPr>
    </w:p>
    <w:p w14:paraId="2BCADDD2">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坚持公平、公正、公开原则，规范实施《云南省易门县烟草制品零售点合理布局规划》，根据《中华人民共和国行政许可法》《烟草专卖许可证管理办法》《烟草专卖许可证管理办法实施细则》等法律法规规章和规范性文件的规定，结合易门县实际，制定本制度。</w:t>
      </w:r>
    </w:p>
    <w:p w14:paraId="20AC90F1">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8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本制度适用于云南省易门县行政辖区烟草制品零售点新办申请排队轮候管理。</w:t>
      </w:r>
    </w:p>
    <w:p w14:paraId="17412440">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80"/>
        <w:jc w:val="both"/>
        <w:textAlignment w:val="auto"/>
        <w:rPr>
          <w:rFonts w:ascii="黑体" w:hAnsi="黑体" w:eastAsia="黑体" w:cs="黑体"/>
          <w:sz w:val="32"/>
          <w:szCs w:val="32"/>
          <w:lang w:eastAsia="zh-CN"/>
        </w:rPr>
      </w:pPr>
      <w:r>
        <w:rPr>
          <w:rFonts w:hint="eastAsia" w:ascii="仿宋_GB2312" w:hAnsi="仿宋_GB2312" w:eastAsia="仿宋_GB2312" w:cs="仿宋_GB2312"/>
          <w:kern w:val="28"/>
          <w:sz w:val="32"/>
          <w:szCs w:val="32"/>
          <w:lang w:eastAsia="zh-CN"/>
        </w:rPr>
        <w:t>本县</w:t>
      </w:r>
      <w:r>
        <w:rPr>
          <w:rFonts w:hint="eastAsia" w:ascii="仿宋_GB2312" w:hAnsi="仿宋_GB2312" w:eastAsia="仿宋_GB2312" w:cs="仿宋_GB2312"/>
          <w:sz w:val="32"/>
          <w:szCs w:val="32"/>
          <w:lang w:eastAsia="zh-CN"/>
        </w:rPr>
        <w:t>行政辖区</w:t>
      </w:r>
      <w:r>
        <w:rPr>
          <w:rFonts w:hint="eastAsia" w:ascii="仿宋_GB2312" w:hAnsi="仿宋_GB2312" w:eastAsia="仿宋_GB2312" w:cs="仿宋_GB2312"/>
          <w:kern w:val="28"/>
          <w:sz w:val="32"/>
          <w:szCs w:val="32"/>
          <w:lang w:eastAsia="zh-CN"/>
        </w:rPr>
        <w:t>最小单元网格内的零售点实际数量大于或等于</w:t>
      </w:r>
      <w:r>
        <w:rPr>
          <w:rFonts w:hint="eastAsia" w:ascii="仿宋_GB2312" w:hAnsi="仿宋_GB2312" w:eastAsia="仿宋_GB2312" w:cs="仿宋_GB2312"/>
          <w:sz w:val="32"/>
          <w:szCs w:val="32"/>
          <w:lang w:eastAsia="zh-CN"/>
        </w:rPr>
        <w:t>合理容量</w:t>
      </w:r>
      <w:r>
        <w:rPr>
          <w:rFonts w:hint="eastAsia" w:ascii="仿宋_GB2312" w:hAnsi="仿宋_GB2312" w:eastAsia="仿宋_GB2312" w:cs="仿宋_GB2312"/>
          <w:kern w:val="28"/>
          <w:sz w:val="32"/>
          <w:szCs w:val="32"/>
          <w:lang w:eastAsia="zh-CN"/>
        </w:rPr>
        <w:t>时不再设新的零售点。新办申请人应按本制度首先提出排队轮候申请，直至该最小单元网格内的零售点实际数量小于</w:t>
      </w:r>
      <w:r>
        <w:rPr>
          <w:rFonts w:hint="eastAsia" w:ascii="仿宋_GB2312" w:hAnsi="仿宋_GB2312" w:eastAsia="仿宋_GB2312" w:cs="仿宋_GB2312"/>
          <w:sz w:val="32"/>
          <w:szCs w:val="32"/>
          <w:lang w:eastAsia="zh-CN"/>
        </w:rPr>
        <w:t>合理容量时，再按照排队轮候的顺序依次提交新办申请。</w:t>
      </w:r>
    </w:p>
    <w:p w14:paraId="391875A8">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40" w:firstLineChars="200"/>
        <w:jc w:val="both"/>
        <w:textAlignment w:val="auto"/>
        <w:rPr>
          <w:rFonts w:ascii="楷体" w:hAnsi="楷体" w:eastAsia="楷体" w:cs="楷体"/>
          <w:sz w:val="32"/>
          <w:szCs w:val="32"/>
          <w:lang w:eastAsia="zh-CN"/>
        </w:rPr>
      </w:pPr>
      <w:r>
        <w:rPr>
          <w:rFonts w:hint="eastAsia" w:ascii="仿宋_GB2312" w:hAnsi="黑体" w:eastAsia="仿宋_GB2312"/>
          <w:sz w:val="32"/>
          <w:szCs w:val="32"/>
          <w:lang w:eastAsia="zh-CN"/>
        </w:rPr>
        <w:t>在本制度首次施行时，根据</w:t>
      </w:r>
      <w:r>
        <w:rPr>
          <w:rFonts w:hint="eastAsia" w:ascii="仿宋_GB2312" w:hAnsi="仿宋_GB2312" w:eastAsia="仿宋_GB2312" w:cs="仿宋_GB2312"/>
          <w:kern w:val="28"/>
          <w:sz w:val="32"/>
          <w:szCs w:val="32"/>
          <w:lang w:eastAsia="zh-CN"/>
        </w:rPr>
        <w:t>本县</w:t>
      </w:r>
      <w:r>
        <w:rPr>
          <w:rFonts w:hint="eastAsia" w:ascii="仿宋_GB2312" w:hAnsi="仿宋_GB2312" w:eastAsia="仿宋_GB2312" w:cs="仿宋_GB2312"/>
          <w:sz w:val="32"/>
          <w:szCs w:val="32"/>
          <w:lang w:eastAsia="zh-CN"/>
        </w:rPr>
        <w:t>行政辖区</w:t>
      </w:r>
      <w:r>
        <w:rPr>
          <w:rFonts w:hint="eastAsia" w:ascii="仿宋_GB2312" w:hAnsi="仿宋_GB2312" w:eastAsia="仿宋_GB2312" w:cs="仿宋_GB2312"/>
          <w:kern w:val="28"/>
          <w:sz w:val="32"/>
          <w:szCs w:val="32"/>
          <w:lang w:eastAsia="zh-CN"/>
        </w:rPr>
        <w:t>最小单元网格的合理容量公示情况，对符合排队轮候情形的最小单元网格，发证机关采取集中抽签方式确定该最小单元网格首次排队轮候顺序。</w:t>
      </w:r>
      <w:bookmarkStart w:id="2" w:name="_GoBack"/>
      <w:bookmarkEnd w:id="2"/>
    </w:p>
    <w:p w14:paraId="7A666FAA">
      <w:pPr>
        <w:keepNext w:val="0"/>
        <w:keepLines w:val="0"/>
        <w:pageBreakBefore w:val="0"/>
        <w:wordWrap/>
        <w:overflowPunct/>
        <w:topLinePunct w:val="0"/>
        <w:bidi w:val="0"/>
        <w:adjustRightInd w:val="0"/>
        <w:snapToGrid w:val="0"/>
        <w:spacing w:line="560" w:lineRule="exact"/>
        <w:ind w:firstLine="640" w:firstLineChars="200"/>
        <w:rPr>
          <w:rFonts w:ascii="楷体" w:hAnsi="楷体" w:eastAsia="楷体" w:cs="楷体"/>
          <w:sz w:val="32"/>
          <w:szCs w:val="32"/>
          <w:lang w:eastAsia="zh-CN"/>
        </w:rPr>
      </w:pPr>
      <w:r>
        <w:rPr>
          <w:rFonts w:hint="eastAsia" w:ascii="仿宋_GB2312" w:hAnsi="黑体" w:eastAsia="仿宋_GB2312"/>
          <w:sz w:val="32"/>
          <w:szCs w:val="32"/>
          <w:lang w:eastAsia="zh-CN"/>
        </w:rPr>
        <w:t>在本制度首次施行前，已执行排队轮候的，按原排队轮候顺序由</w:t>
      </w:r>
      <w:r>
        <w:rPr>
          <w:rFonts w:hint="eastAsia" w:ascii="仿宋_GB2312" w:hAnsi="仿宋_GB2312" w:eastAsia="仿宋_GB2312" w:cs="仿宋_GB2312"/>
          <w:kern w:val="28"/>
          <w:sz w:val="32"/>
          <w:szCs w:val="32"/>
          <w:lang w:eastAsia="zh-CN"/>
        </w:rPr>
        <w:t>发证机关录入排队轮候系统。</w:t>
      </w:r>
    </w:p>
    <w:p w14:paraId="46D6D175">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40" w:firstLineChars="200"/>
        <w:jc w:val="both"/>
        <w:textAlignment w:val="auto"/>
        <w:rPr>
          <w:rFonts w:ascii="楷体" w:hAnsi="楷体" w:eastAsia="楷体" w:cs="楷体"/>
          <w:sz w:val="32"/>
          <w:szCs w:val="32"/>
          <w:lang w:eastAsia="zh-CN"/>
        </w:rPr>
      </w:pPr>
      <w:r>
        <w:rPr>
          <w:rFonts w:hint="eastAsia" w:ascii="仿宋_GB2312" w:hAnsi="仿宋_GB2312" w:eastAsia="仿宋_GB2312" w:cs="仿宋_GB2312"/>
          <w:kern w:val="28"/>
          <w:sz w:val="32"/>
          <w:szCs w:val="32"/>
          <w:lang w:eastAsia="zh-CN"/>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14:paraId="3A2E435B">
      <w:pPr>
        <w:keepNext w:val="0"/>
        <w:keepLines w:val="0"/>
        <w:pageBreakBefore w:val="0"/>
        <w:wordWrap/>
        <w:overflowPunct/>
        <w:topLinePunct w:val="0"/>
        <w:bidi w:val="0"/>
        <w:adjustRightInd w:val="0"/>
        <w:snapToGrid w:val="0"/>
        <w:spacing w:line="560" w:lineRule="exact"/>
        <w:ind w:firstLine="640" w:firstLineChars="200"/>
        <w:rPr>
          <w:rFonts w:ascii="楷体" w:hAnsi="楷体" w:eastAsia="楷体" w:cs="楷体"/>
          <w:sz w:val="32"/>
          <w:szCs w:val="32"/>
        </w:rPr>
      </w:pPr>
      <w:r>
        <w:rPr>
          <w:rFonts w:hint="eastAsia" w:ascii="仿宋_GB2312" w:hAnsi="仿宋_GB2312" w:eastAsia="仿宋_GB2312" w:cs="仿宋_GB2312"/>
          <w:kern w:val="28"/>
          <w:sz w:val="32"/>
          <w:szCs w:val="32"/>
          <w:lang w:eastAsia="zh-CN"/>
        </w:rPr>
        <w:t>集中公证抽签现场按照对外发布方案确定最小单元网格首次排队轮候顺序，并在完成集中公证抽签后二个工作日内公示。</w:t>
      </w:r>
      <w:r>
        <w:rPr>
          <w:rFonts w:hint="eastAsia" w:ascii="楷体" w:hAnsi="楷体" w:eastAsia="楷体" w:cs="楷体"/>
          <w:sz w:val="32"/>
          <w:szCs w:val="32"/>
          <w:lang w:eastAsia="zh-CN"/>
        </w:rPr>
        <w:t>（备注：第四条、第五条仅适用于本次合理布局规划发布前尚未开展排队轮候的县（市、区），已开展的地区</w:t>
      </w:r>
      <w:r>
        <w:rPr>
          <w:rFonts w:hint="eastAsia" w:eastAsia="楷体"/>
          <w:sz w:val="32"/>
          <w:szCs w:val="32"/>
          <w:lang w:eastAsia="zh-CN"/>
        </w:rPr>
        <w:t>可</w:t>
      </w:r>
      <w:r>
        <w:rPr>
          <w:rFonts w:eastAsia="楷体"/>
          <w:sz w:val="32"/>
          <w:szCs w:val="32"/>
          <w:lang w:eastAsia="zh-CN"/>
        </w:rPr>
        <w:t>结合实际决定是否保留此条</w:t>
      </w:r>
      <w:r>
        <w:rPr>
          <w:rFonts w:hint="eastAsia" w:eastAsia="楷体"/>
          <w:sz w:val="32"/>
          <w:szCs w:val="32"/>
          <w:lang w:eastAsia="zh-CN"/>
        </w:rPr>
        <w:t>。</w:t>
      </w:r>
      <w:r>
        <w:rPr>
          <w:rFonts w:hint="eastAsia" w:ascii="楷体" w:hAnsi="楷体" w:eastAsia="楷体" w:cs="楷体"/>
          <w:sz w:val="32"/>
          <w:szCs w:val="32"/>
        </w:rPr>
        <w:t>）</w:t>
      </w:r>
    </w:p>
    <w:p w14:paraId="1BDAC956">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40" w:firstLineChars="200"/>
        <w:jc w:val="both"/>
        <w:textAlignment w:val="auto"/>
        <w:rPr>
          <w:rFonts w:ascii="楷体" w:hAnsi="楷体" w:eastAsia="楷体" w:cs="楷体"/>
          <w:sz w:val="32"/>
          <w:szCs w:val="32"/>
        </w:rPr>
      </w:pPr>
      <w:r>
        <w:rPr>
          <w:rFonts w:hint="eastAsia" w:ascii="仿宋_GB2312" w:hAnsi="仿宋_GB2312" w:eastAsia="仿宋_GB2312" w:cs="仿宋_GB2312"/>
          <w:sz w:val="32"/>
          <w:szCs w:val="32"/>
          <w:lang w:eastAsia="zh-CN"/>
        </w:rPr>
        <w:t>零售点排队轮候采取最小单元网格管理。自愿加入排队轮候的申请人，应线上填写并提交《云南省易门县烟草制品零售点排队轮候申请表》（详见附表）。</w:t>
      </w:r>
      <w:r>
        <w:rPr>
          <w:rFonts w:hint="eastAsia" w:ascii="仿宋_GB2312" w:hAnsi="仿宋_GB2312" w:eastAsia="仿宋_GB2312" w:cs="仿宋_GB2312"/>
          <w:sz w:val="32"/>
          <w:szCs w:val="32"/>
        </w:rPr>
        <w:t>申请人在填报信息时应准确、真实。</w:t>
      </w:r>
    </w:p>
    <w:p w14:paraId="336AA276">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系统根据申请人线上提交时间，自动生成排队轮候顺序，并由系统自动推送告知申请人单元网格内当前排队轮候顺序号。</w:t>
      </w:r>
      <w:r>
        <w:rPr>
          <w:rFonts w:hint="eastAsia" w:ascii="楷体" w:hAnsi="楷体" w:eastAsia="楷体" w:cs="楷体"/>
          <w:sz w:val="32"/>
          <w:szCs w:val="32"/>
          <w:lang w:eastAsia="zh-CN"/>
        </w:rPr>
        <w:t>（备注：线上排队轮候系统由省局统一开发，系统填写内容包括但不限于第五条中的登记信息、精确到秒的提交时间、顺序号、辖区内所属网格、约定事项等。</w:t>
      </w:r>
      <w:r>
        <w:rPr>
          <w:rFonts w:hint="eastAsia" w:ascii="楷体" w:hAnsi="楷体" w:eastAsia="楷体" w:cs="楷体"/>
          <w:sz w:val="32"/>
          <w:szCs w:val="32"/>
        </w:rPr>
        <w:t>）</w:t>
      </w:r>
    </w:p>
    <w:p w14:paraId="1CE767E1">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40" w:firstLineChars="20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发证机关应公开排队轮候情况，并接受公众监督。申请人可通过线上、线下等方式查询排队轮候情况。</w:t>
      </w:r>
    </w:p>
    <w:p w14:paraId="7488E280">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40" w:firstLineChars="20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当单元网格内可新增零售点时，由发证机关按照顺序号和申请表约定的联系方式在五个工作日内依次通知申请人提交新办申请。</w:t>
      </w:r>
    </w:p>
    <w:p w14:paraId="42663871">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40" w:firstLineChars="20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到号办理时，申请人提交的办证申请信息应与排队轮候登记信息一致。信息不一致的，申请人需重新登记排队轮候。</w:t>
      </w:r>
    </w:p>
    <w:p w14:paraId="66902F46">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40" w:firstLineChars="20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易门县烟草专卖局每年年底向上一级烟草专卖局报告本年度烟草制品零售点排队轮候管理工作情况。</w:t>
      </w:r>
    </w:p>
    <w:p w14:paraId="447283AB">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40" w:firstLineChars="200"/>
        <w:jc w:val="both"/>
        <w:textAlignment w:val="auto"/>
        <w:rPr>
          <w:rFonts w:ascii="黑体" w:hAnsi="黑体" w:eastAsia="黑体" w:cs="黑体"/>
          <w:sz w:val="32"/>
          <w:szCs w:val="32"/>
          <w:lang w:eastAsia="zh-CN"/>
        </w:rPr>
      </w:pPr>
      <w:r>
        <w:rPr>
          <w:rFonts w:hint="eastAsia" w:ascii="仿宋_GB2312" w:hAnsi="仿宋_GB2312" w:eastAsia="仿宋_GB2312" w:cs="仿宋_GB2312"/>
          <w:sz w:val="32"/>
          <w:szCs w:val="32"/>
          <w:lang w:eastAsia="zh-CN"/>
        </w:rPr>
        <w:t>发证机关接收和办理排队轮候业务，不得收取任何费用。</w:t>
      </w:r>
    </w:p>
    <w:p w14:paraId="78321EE5">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8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本制度中按照年、月、日计算期间的，开始的当日不计入，自下一日开始计算。均以工作日计算，不含法定节假日。</w:t>
      </w:r>
    </w:p>
    <w:p w14:paraId="35D826FC">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80"/>
        <w:jc w:val="both"/>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本制度由云南省易门县烟草专卖局负责解释。</w:t>
      </w:r>
    </w:p>
    <w:p w14:paraId="405C6BB0">
      <w:pPr>
        <w:keepNext w:val="0"/>
        <w:keepLines w:val="0"/>
        <w:pageBreakBefore w:val="0"/>
        <w:widowControl w:val="0"/>
        <w:numPr>
          <w:ilvl w:val="2"/>
          <w:numId w:val="2"/>
        </w:numPr>
        <w:kinsoku/>
        <w:wordWrap/>
        <w:overflowPunct/>
        <w:topLinePunct w:val="0"/>
        <w:autoSpaceDE/>
        <w:autoSpaceDN/>
        <w:bidi w:val="0"/>
        <w:adjustRightInd w:val="0"/>
        <w:snapToGrid w:val="0"/>
        <w:spacing w:line="560" w:lineRule="exact"/>
        <w:ind w:firstLine="680"/>
        <w:jc w:val="both"/>
        <w:textAlignment w:val="auto"/>
        <w:rPr>
          <w:rFonts w:ascii="楷体" w:hAnsi="楷体" w:eastAsia="楷体" w:cs="楷体"/>
          <w:sz w:val="32"/>
          <w:szCs w:val="32"/>
          <w:lang w:eastAsia="zh-CN"/>
        </w:rPr>
      </w:pPr>
      <w:r>
        <w:rPr>
          <w:rFonts w:hint="eastAsia" w:ascii="仿宋_GB2312" w:hAnsi="仿宋_GB2312" w:eastAsia="仿宋_GB2312" w:cs="仿宋_GB2312"/>
          <w:sz w:val="32"/>
          <w:szCs w:val="32"/>
          <w:lang w:eastAsia="zh-CN"/>
        </w:rPr>
        <w:t>本制度自《云南省易门县烟草制品零售点合理布局规划》实施之日起同时施行。</w:t>
      </w:r>
    </w:p>
    <w:p w14:paraId="349C061F">
      <w:pPr>
        <w:spacing w:line="336" w:lineRule="auto"/>
        <w:ind w:left="402" w:firstLine="640" w:firstLineChars="200"/>
        <w:rPr>
          <w:rFonts w:ascii="仿宋_GB2312" w:hAnsi="仿宋_GB2312" w:eastAsia="仿宋_GB2312" w:cs="仿宋_GB2312"/>
          <w:sz w:val="32"/>
          <w:szCs w:val="32"/>
          <w:lang w:eastAsia="zh-CN"/>
        </w:rPr>
      </w:pPr>
    </w:p>
    <w:p w14:paraId="60A39C2A">
      <w:pPr>
        <w:keepNext w:val="0"/>
        <w:keepLines w:val="0"/>
        <w:pageBreakBefore w:val="0"/>
        <w:widowControl/>
        <w:kinsoku w:val="0"/>
        <w:wordWrap/>
        <w:overflowPunct/>
        <w:topLinePunct w:val="0"/>
        <w:autoSpaceDE w:val="0"/>
        <w:autoSpaceDN w:val="0"/>
        <w:bidi w:val="0"/>
        <w:adjustRightInd w:val="0"/>
        <w:snapToGrid w:val="0"/>
        <w:spacing w:line="560" w:lineRule="exact"/>
        <w:ind w:left="403" w:firstLine="640" w:firstLineChars="200"/>
        <w:textAlignment w:val="baseline"/>
        <w:rPr>
          <w:rFonts w:ascii="仿宋_GB2312" w:hAnsi="仿宋_GB2312" w:eastAsia="仿宋_GB2312" w:cs="仿宋_GB2312"/>
          <w:spacing w:val="-20"/>
          <w:sz w:val="32"/>
          <w:szCs w:val="32"/>
          <w:lang w:eastAsia="zh-CN"/>
        </w:rPr>
      </w:pPr>
      <w:r>
        <w:rPr>
          <w:rFonts w:hint="eastAsia" w:ascii="仿宋_GB2312" w:hAnsi="仿宋_GB2312" w:eastAsia="仿宋_GB2312" w:cs="仿宋_GB2312"/>
          <w:sz w:val="32"/>
          <w:szCs w:val="32"/>
          <w:lang w:eastAsia="zh-CN"/>
        </w:rPr>
        <w:t>附表：</w:t>
      </w:r>
      <w:r>
        <w:rPr>
          <w:rFonts w:hint="eastAsia" w:ascii="仿宋_GB2312" w:hAnsi="仿宋_GB2312" w:eastAsia="仿宋_GB2312" w:cs="仿宋_GB2312"/>
          <w:spacing w:val="-20"/>
          <w:sz w:val="32"/>
          <w:szCs w:val="32"/>
          <w:lang w:eastAsia="zh-CN"/>
        </w:rPr>
        <w:t>云南省易门县烟草制品零售点排队轮候申请表</w:t>
      </w:r>
    </w:p>
    <w:p w14:paraId="7FAAED57">
      <w:pPr>
        <w:rPr>
          <w:rFonts w:ascii="黑体" w:hAnsi="黑体" w:eastAsia="黑体" w:cs="黑体"/>
          <w:sz w:val="32"/>
          <w:szCs w:val="32"/>
          <w:lang w:eastAsia="zh-CN"/>
        </w:rPr>
      </w:pPr>
      <w:r>
        <w:rPr>
          <w:rFonts w:ascii="黑体" w:hAnsi="黑体" w:eastAsia="黑体" w:cs="黑体"/>
          <w:sz w:val="32"/>
          <w:szCs w:val="32"/>
          <w:lang w:eastAsia="zh-CN"/>
        </w:rPr>
        <w:br w:type="page"/>
      </w:r>
    </w:p>
    <w:p w14:paraId="5B602CFF">
      <w:pPr>
        <w:spacing w:line="360" w:lineRule="auto"/>
        <w:rPr>
          <w:rFonts w:ascii="黑体" w:hAnsi="黑体" w:eastAsia="黑体" w:cs="黑体"/>
          <w:sz w:val="44"/>
          <w:szCs w:val="44"/>
          <w:lang w:eastAsia="zh-CN"/>
        </w:rPr>
      </w:pPr>
      <w:r>
        <w:rPr>
          <w:rFonts w:hint="eastAsia" w:ascii="黑体" w:hAnsi="黑体" w:eastAsia="黑体" w:cs="黑体"/>
          <w:sz w:val="32"/>
          <w:szCs w:val="32"/>
          <w:lang w:eastAsia="zh-CN"/>
        </w:rPr>
        <w:t>附表</w:t>
      </w:r>
    </w:p>
    <w:p w14:paraId="13AB1F5C">
      <w:pPr>
        <w:spacing w:line="360" w:lineRule="auto"/>
        <w:ind w:left="402"/>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云南省易门县烟草制品零售点排队轮候申请表</w:t>
      </w:r>
    </w:p>
    <w:tbl>
      <w:tblPr>
        <w:tblStyle w:val="5"/>
        <w:tblW w:w="0" w:type="auto"/>
        <w:tblInd w:w="96" w:type="dxa"/>
        <w:tblLayout w:type="fixed"/>
        <w:tblCellMar>
          <w:top w:w="0" w:type="dxa"/>
          <w:left w:w="108" w:type="dxa"/>
          <w:bottom w:w="0" w:type="dxa"/>
          <w:right w:w="108" w:type="dxa"/>
        </w:tblCellMar>
      </w:tblPr>
      <w:tblGrid>
        <w:gridCol w:w="2422"/>
        <w:gridCol w:w="2283"/>
        <w:gridCol w:w="1543"/>
        <w:gridCol w:w="2178"/>
      </w:tblGrid>
      <w:tr w14:paraId="4DADA71C">
        <w:tblPrEx>
          <w:tblCellMar>
            <w:top w:w="0" w:type="dxa"/>
            <w:left w:w="108" w:type="dxa"/>
            <w:bottom w:w="0" w:type="dxa"/>
            <w:right w:w="108" w:type="dxa"/>
          </w:tblCellMar>
        </w:tblPrEx>
        <w:trPr>
          <w:trHeight w:val="464"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ED567">
            <w:pPr>
              <w:jc w:val="center"/>
              <w:textAlignment w:val="center"/>
              <w:rPr>
                <w:rFonts w:ascii="宋体" w:hAnsi="宋体" w:cs="宋体"/>
                <w:b/>
                <w:bCs/>
                <w:sz w:val="24"/>
              </w:rPr>
            </w:pPr>
            <w:r>
              <w:rPr>
                <w:rFonts w:hint="eastAsia" w:ascii="宋体" w:hAnsi="宋体" w:cs="宋体"/>
                <w:b/>
                <w:bCs/>
                <w:sz w:val="24"/>
                <w:lang w:bidi="ar"/>
              </w:rPr>
              <w:t>申请人基本信息</w:t>
            </w:r>
          </w:p>
        </w:tc>
      </w:tr>
      <w:tr w14:paraId="6A401209">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0BD15">
            <w:pPr>
              <w:jc w:val="center"/>
              <w:textAlignment w:val="center"/>
              <w:rPr>
                <w:rFonts w:ascii="宋体" w:hAnsi="宋体" w:cs="宋体"/>
                <w:sz w:val="24"/>
              </w:rPr>
            </w:pPr>
            <w:r>
              <w:rPr>
                <w:rFonts w:hint="eastAsia" w:ascii="宋体" w:hAnsi="宋体" w:cs="宋体"/>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929549">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5F65F">
            <w:pPr>
              <w:jc w:val="center"/>
              <w:textAlignment w:val="center"/>
              <w:rPr>
                <w:rFonts w:ascii="宋体" w:hAnsi="宋体" w:cs="宋体"/>
                <w:sz w:val="24"/>
              </w:rPr>
            </w:pPr>
            <w:r>
              <w:rPr>
                <w:rFonts w:hint="eastAsia" w:ascii="宋体" w:hAnsi="宋体" w:cs="宋体"/>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798715">
            <w:pPr>
              <w:jc w:val="center"/>
              <w:rPr>
                <w:rFonts w:ascii="宋体" w:hAnsi="宋体" w:cs="宋体"/>
                <w:sz w:val="24"/>
              </w:rPr>
            </w:pPr>
          </w:p>
        </w:tc>
      </w:tr>
      <w:tr w14:paraId="683E2BA6">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0C234">
            <w:pPr>
              <w:jc w:val="center"/>
              <w:textAlignment w:val="center"/>
              <w:rPr>
                <w:rFonts w:ascii="宋体" w:hAnsi="宋体" w:cs="宋体"/>
                <w:sz w:val="24"/>
              </w:rPr>
            </w:pPr>
            <w:r>
              <w:rPr>
                <w:rFonts w:hint="eastAsia" w:ascii="宋体" w:hAnsi="宋体" w:cs="宋体"/>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7240D">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9ED46B">
            <w:pPr>
              <w:jc w:val="center"/>
              <w:textAlignment w:val="center"/>
              <w:rPr>
                <w:rFonts w:ascii="宋体" w:hAnsi="宋体" w:cs="宋体"/>
                <w:sz w:val="24"/>
              </w:rPr>
            </w:pPr>
            <w:r>
              <w:rPr>
                <w:rFonts w:hint="eastAsia" w:ascii="宋体" w:hAnsi="宋体" w:cs="宋体"/>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81AF0">
            <w:pPr>
              <w:jc w:val="center"/>
              <w:rPr>
                <w:rFonts w:ascii="宋体" w:hAnsi="宋体" w:cs="宋体"/>
                <w:sz w:val="24"/>
              </w:rPr>
            </w:pPr>
          </w:p>
        </w:tc>
      </w:tr>
      <w:tr w14:paraId="31599BAD">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1D5D91">
            <w:pPr>
              <w:jc w:val="center"/>
              <w:textAlignment w:val="center"/>
              <w:rPr>
                <w:rFonts w:ascii="宋体" w:hAnsi="宋体" w:cs="宋体"/>
                <w:sz w:val="24"/>
              </w:rPr>
            </w:pPr>
            <w:r>
              <w:rPr>
                <w:rFonts w:hint="eastAsia" w:ascii="宋体" w:hAnsi="宋体" w:cs="宋体"/>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B4A7B">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5437A">
            <w:pPr>
              <w:jc w:val="center"/>
              <w:textAlignment w:val="center"/>
              <w:rPr>
                <w:rFonts w:ascii="宋体" w:hAnsi="宋体" w:cs="宋体"/>
                <w:sz w:val="24"/>
              </w:rPr>
            </w:pPr>
            <w:r>
              <w:rPr>
                <w:rFonts w:hint="eastAsia" w:ascii="宋体" w:hAnsi="宋体" w:cs="宋体"/>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7A5D49">
            <w:pPr>
              <w:jc w:val="center"/>
              <w:rPr>
                <w:rFonts w:ascii="宋体" w:hAnsi="宋体" w:cs="宋体"/>
                <w:sz w:val="24"/>
              </w:rPr>
            </w:pPr>
          </w:p>
        </w:tc>
      </w:tr>
      <w:tr w14:paraId="7AF7C2E7">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613BD">
            <w:pPr>
              <w:jc w:val="center"/>
              <w:textAlignment w:val="center"/>
              <w:rPr>
                <w:rFonts w:ascii="宋体" w:hAnsi="宋体" w:cs="宋体"/>
                <w:sz w:val="24"/>
              </w:rPr>
            </w:pPr>
            <w:r>
              <w:rPr>
                <w:rFonts w:hint="eastAsia" w:ascii="宋体" w:hAnsi="宋体" w:cs="宋体"/>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015F9">
            <w:pPr>
              <w:jc w:val="center"/>
              <w:rPr>
                <w:rFonts w:ascii="宋体" w:hAnsi="宋体" w:cs="宋体"/>
                <w:sz w:val="24"/>
              </w:rPr>
            </w:pPr>
          </w:p>
        </w:tc>
      </w:tr>
      <w:tr w14:paraId="3E5FF3F1">
        <w:tblPrEx>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D02C5">
            <w:pPr>
              <w:jc w:val="center"/>
              <w:textAlignment w:val="center"/>
              <w:rPr>
                <w:rFonts w:ascii="宋体" w:hAnsi="宋体" w:cs="宋体"/>
                <w:b/>
                <w:bCs/>
                <w:sz w:val="24"/>
              </w:rPr>
            </w:pPr>
            <w:r>
              <w:rPr>
                <w:rFonts w:hint="eastAsia" w:ascii="宋体" w:hAnsi="宋体" w:cs="宋体"/>
                <w:b/>
                <w:bCs/>
                <w:sz w:val="24"/>
                <w:lang w:bidi="ar"/>
              </w:rPr>
              <w:t>营业执照基本信息</w:t>
            </w:r>
          </w:p>
        </w:tc>
      </w:tr>
      <w:tr w14:paraId="01925541">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E3D1F">
            <w:pPr>
              <w:jc w:val="center"/>
              <w:textAlignment w:val="center"/>
              <w:rPr>
                <w:rFonts w:ascii="宋体" w:hAnsi="宋体" w:cs="宋体"/>
                <w:sz w:val="24"/>
              </w:rPr>
            </w:pPr>
            <w:r>
              <w:rPr>
                <w:rFonts w:hint="eastAsia" w:ascii="宋体" w:hAnsi="宋体" w:cs="宋体"/>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1B7632">
            <w:pPr>
              <w:jc w:val="center"/>
              <w:rPr>
                <w:rFonts w:ascii="宋体" w:hAnsi="宋体" w:cs="宋体"/>
                <w:sz w:val="24"/>
              </w:rPr>
            </w:pPr>
          </w:p>
        </w:tc>
      </w:tr>
      <w:tr w14:paraId="44CBBE12">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D571B">
            <w:pPr>
              <w:jc w:val="center"/>
              <w:textAlignment w:val="center"/>
              <w:rPr>
                <w:rFonts w:ascii="宋体" w:hAnsi="宋体" w:cs="宋体"/>
                <w:sz w:val="24"/>
              </w:rPr>
            </w:pPr>
            <w:r>
              <w:rPr>
                <w:rFonts w:hint="eastAsia" w:ascii="宋体" w:hAnsi="宋体" w:cs="宋体"/>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3A55C">
            <w:pPr>
              <w:jc w:val="center"/>
              <w:rPr>
                <w:rFonts w:ascii="宋体" w:hAnsi="宋体" w:cs="宋体"/>
                <w:sz w:val="24"/>
              </w:rPr>
            </w:pPr>
          </w:p>
        </w:tc>
      </w:tr>
      <w:tr w14:paraId="2FD1B3F2">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797EC">
            <w:pPr>
              <w:jc w:val="center"/>
              <w:textAlignment w:val="center"/>
              <w:rPr>
                <w:rFonts w:ascii="宋体" w:hAnsi="宋体" w:cs="宋体"/>
                <w:sz w:val="24"/>
              </w:rPr>
            </w:pPr>
            <w:r>
              <w:rPr>
                <w:rFonts w:hint="eastAsia" w:ascii="宋体" w:hAnsi="宋体" w:cs="宋体"/>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C1B56">
            <w:pPr>
              <w:jc w:val="center"/>
              <w:rPr>
                <w:rFonts w:ascii="宋体" w:hAnsi="宋体" w:cs="宋体"/>
                <w:sz w:val="24"/>
              </w:rPr>
            </w:pPr>
          </w:p>
        </w:tc>
      </w:tr>
      <w:tr w14:paraId="34E175C6">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F10E94">
            <w:pPr>
              <w:jc w:val="center"/>
              <w:textAlignment w:val="center"/>
              <w:rPr>
                <w:rFonts w:ascii="宋体" w:hAnsi="宋体" w:cs="宋体"/>
                <w:sz w:val="24"/>
              </w:rPr>
            </w:pPr>
            <w:r>
              <w:rPr>
                <w:rFonts w:hint="eastAsia" w:ascii="宋体" w:hAnsi="宋体" w:cs="宋体"/>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8F811">
            <w:pPr>
              <w:jc w:val="center"/>
              <w:rPr>
                <w:rFonts w:ascii="宋体" w:hAnsi="宋体" w:cs="宋体"/>
                <w:sz w:val="24"/>
              </w:rPr>
            </w:pPr>
          </w:p>
        </w:tc>
      </w:tr>
      <w:tr w14:paraId="516505A5">
        <w:tblPrEx>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86FFF5A">
            <w:pPr>
              <w:textAlignment w:val="center"/>
              <w:rPr>
                <w:rStyle w:val="10"/>
                <w:rFonts w:hint="default"/>
                <w:color w:val="auto"/>
                <w:lang w:eastAsia="zh-CN" w:bidi="ar"/>
              </w:rPr>
            </w:pPr>
            <w:r>
              <w:rPr>
                <w:rStyle w:val="10"/>
                <w:rFonts w:hint="default"/>
                <w:color w:val="auto"/>
                <w:lang w:eastAsia="zh-CN" w:bidi="ar"/>
              </w:rPr>
              <w:t>申请人承诺：</w:t>
            </w:r>
          </w:p>
          <w:p w14:paraId="0BA3F20C">
            <w:pPr>
              <w:ind w:firstLine="482" w:firstLineChars="200"/>
              <w:textAlignment w:val="center"/>
              <w:rPr>
                <w:rStyle w:val="10"/>
                <w:rFonts w:hint="default"/>
                <w:b w:val="0"/>
                <w:bCs w:val="0"/>
                <w:color w:val="auto"/>
                <w:lang w:eastAsia="zh-CN" w:bidi="ar"/>
              </w:rPr>
            </w:pPr>
            <w:r>
              <w:rPr>
                <w:rStyle w:val="10"/>
                <w:rFonts w:hint="default"/>
                <w:color w:val="auto"/>
                <w:lang w:eastAsia="zh-CN"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14:paraId="2B895B60">
            <w:pPr>
              <w:ind w:firstLine="482" w:firstLineChars="200"/>
              <w:textAlignment w:val="center"/>
              <w:rPr>
                <w:rStyle w:val="10"/>
                <w:rFonts w:hint="default"/>
                <w:b w:val="0"/>
                <w:bCs w:val="0"/>
                <w:color w:val="auto"/>
                <w:lang w:eastAsia="zh-CN" w:bidi="ar"/>
              </w:rPr>
            </w:pPr>
            <w:r>
              <w:rPr>
                <w:rStyle w:val="10"/>
                <w:rFonts w:hint="default"/>
                <w:color w:val="auto"/>
                <w:lang w:eastAsia="zh-CN" w:bidi="ar"/>
              </w:rPr>
              <w:t>2.申请人所提交的预登记信息确保与到号办理时提交的办证信息一致，若不一致的，申请人应重新登记轮候；</w:t>
            </w:r>
          </w:p>
          <w:p w14:paraId="4F834160">
            <w:pPr>
              <w:ind w:firstLine="482" w:firstLineChars="200"/>
              <w:textAlignment w:val="center"/>
              <w:rPr>
                <w:rStyle w:val="10"/>
                <w:rFonts w:hint="default"/>
                <w:b w:val="0"/>
                <w:bCs w:val="0"/>
                <w:color w:val="auto"/>
                <w:lang w:eastAsia="zh-CN" w:bidi="ar"/>
              </w:rPr>
            </w:pPr>
            <w:r>
              <w:rPr>
                <w:rStyle w:val="10"/>
                <w:rFonts w:hint="default"/>
                <w:color w:val="auto"/>
                <w:lang w:eastAsia="zh-CN"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14:paraId="796FCEFF">
            <w:pPr>
              <w:ind w:firstLine="482" w:firstLineChars="200"/>
              <w:textAlignment w:val="center"/>
              <w:rPr>
                <w:rFonts w:ascii="宋体" w:hAnsi="宋体" w:cs="宋体"/>
                <w:b/>
                <w:bCs/>
                <w:sz w:val="24"/>
                <w:lang w:eastAsia="zh-CN"/>
              </w:rPr>
            </w:pPr>
            <w:r>
              <w:rPr>
                <w:rStyle w:val="10"/>
                <w:rFonts w:hint="default"/>
                <w:color w:val="auto"/>
                <w:lang w:eastAsia="zh-CN" w:bidi="ar"/>
              </w:rPr>
              <w:t>申请人或代理人（签名或印章）：</w:t>
            </w:r>
            <w:r>
              <w:rPr>
                <w:rStyle w:val="11"/>
                <w:rFonts w:hint="default"/>
                <w:color w:val="auto"/>
                <w:lang w:eastAsia="zh-CN" w:bidi="ar"/>
              </w:rPr>
              <w:t xml:space="preserve">        </w:t>
            </w:r>
            <w:r>
              <w:rPr>
                <w:rStyle w:val="10"/>
                <w:rFonts w:hint="default"/>
                <w:color w:val="auto"/>
                <w:lang w:eastAsia="zh-CN" w:bidi="ar"/>
              </w:rPr>
              <w:t xml:space="preserve">                                                                         </w:t>
            </w:r>
          </w:p>
        </w:tc>
      </w:tr>
      <w:tr w14:paraId="3A0BCA3A">
        <w:tblPrEx>
          <w:tblCellMar>
            <w:top w:w="0" w:type="dxa"/>
            <w:left w:w="108" w:type="dxa"/>
            <w:bottom w:w="0" w:type="dxa"/>
            <w:right w:w="108" w:type="dxa"/>
          </w:tblCellMar>
        </w:tblPrEx>
        <w:trPr>
          <w:trHeight w:val="1166"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967245">
            <w:pPr>
              <w:jc w:val="center"/>
              <w:textAlignment w:val="center"/>
              <w:rPr>
                <w:rFonts w:ascii="宋体" w:hAnsi="宋体" w:cs="宋体"/>
                <w:b/>
                <w:bCs/>
                <w:sz w:val="24"/>
              </w:rPr>
            </w:pPr>
            <w:r>
              <w:rPr>
                <w:rFonts w:hint="eastAsia" w:ascii="宋体" w:hAnsi="宋体" w:cs="宋体"/>
                <w:b/>
                <w:bCs/>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5AA870D">
            <w:pPr>
              <w:jc w:val="center"/>
              <w:rPr>
                <w:rFonts w:ascii="宋体" w:hAnsi="宋体" w:cs="宋体"/>
                <w:b/>
                <w:bCs/>
                <w:sz w:val="24"/>
              </w:rPr>
            </w:pPr>
          </w:p>
        </w:tc>
      </w:tr>
    </w:tbl>
    <w:p w14:paraId="22589B77"/>
    <w:p w14:paraId="75818893">
      <w:pPr>
        <w:spacing w:before="57" w:line="221" w:lineRule="auto"/>
        <w:ind w:left="0"/>
        <w:rPr>
          <w:rFonts w:hint="eastAsia" w:ascii="FangSong_GB2312" w:hAnsi="FangSong_GB2312" w:eastAsia="FangSong_GB2312" w:cs="FangSong_GB2312"/>
          <w:spacing w:val="26"/>
          <w:sz w:val="31"/>
          <w:szCs w:val="31"/>
          <w:lang w:eastAsia="zh-CN"/>
        </w:rPr>
      </w:pPr>
    </w:p>
    <w:sectPr>
      <w:footerReference r:id="rId8" w:type="default"/>
      <w:footerReference r:id="rId9" w:type="even"/>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FangSong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小标宋_GBK">
    <w:panose1 w:val="02000000000000000000"/>
    <w:charset w:val="86"/>
    <w:family w:val="auto"/>
    <w:pitch w:val="default"/>
    <w:sig w:usb0="00000001" w:usb1="08000000" w:usb2="00000000" w:usb3="00000000" w:csb0="00040000" w:csb1="00000000"/>
  </w:font>
  <w:font w:name="方正隶书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AF5B5">
    <w:pPr>
      <w:pStyle w:val="2"/>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A85941F">
                          <w:pPr>
                            <w:pStyle w:val="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14:paraId="2A85941F">
                    <w:pPr>
                      <w:pStyle w:val="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C43F0">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6BE190">
                          <w:pPr>
                            <w:pStyle w:val="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14:paraId="696BE190">
                    <w:pPr>
                      <w:pStyle w:val="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4B91A">
    <w:pPr>
      <w:pStyle w:val="3"/>
    </w:pPr>
    <w:r>
      <mc:AlternateContent>
        <mc:Choice Requires="wps">
          <w:drawing>
            <wp:anchor distT="0" distB="0" distL="114300" distR="114300" simplePos="0" relativeHeight="251659264" behindDoc="0" locked="0" layoutInCell="1" allowOverlap="1">
              <wp:simplePos x="0" y="0"/>
              <wp:positionH relativeFrom="margin">
                <wp:posOffset>6350</wp:posOffset>
              </wp:positionH>
              <wp:positionV relativeFrom="paragraph">
                <wp:posOffset>-83820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D2A15">
                          <w:pPr>
                            <w:pStyle w:val="3"/>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6pt;height:144pt;width:144pt;mso-position-horizontal-relative:margin;mso-wrap-style:none;z-index:251659264;mso-width-relative:page;mso-height-relative:page;" filled="f" stroked="f" coordsize="21600,21600" o:gfxdata="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PQa5aF&#10;rd5ZHqGjeN6ujgECtrpGUToleq3QbW1l+smI7fznvo16+hss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c3Vz1gAAAAkBAAAPAAAAAAAAAAEAIAAAACIAAABkcnMvZG93bnJldi54bWxQSwECFAAU&#10;AAAACACHTuJAr2PYMCwCAABVBAAADgAAAAAAAAABACAAAAAlAQAAZHJzL2Uyb0RvYy54bWxQSwUG&#10;AAAAAAYABgBZAQAAwwUAAAAA&#10;">
              <v:fill on="f" focussize="0,0"/>
              <v:stroke on="f" weight="0.5pt"/>
              <v:imagedata o:title=""/>
              <o:lock v:ext="edit" aspectratio="f"/>
              <v:textbox inset="0mm,0mm,0mm,0mm" style="mso-fit-shape-to-text:t;">
                <w:txbxContent>
                  <w:p w14:paraId="0A0D2A15">
                    <w:pPr>
                      <w:pStyle w:val="3"/>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D5833">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BCB9E3">
                          <w:pPr>
                            <w:pStyle w:val="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27</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61BCB9E3">
                    <w:pPr>
                      <w:pStyle w:val="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27</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8A4C5">
    <w:pPr>
      <w:pStyle w:val="3"/>
    </w:pPr>
    <w:r>
      <mc:AlternateContent>
        <mc:Choice Requires="wps">
          <w:drawing>
            <wp:anchor distT="0" distB="0" distL="114300" distR="114300" simplePos="0" relativeHeight="251659264" behindDoc="0" locked="0" layoutInCell="1" allowOverlap="1">
              <wp:simplePos x="0" y="0"/>
              <wp:positionH relativeFrom="margin">
                <wp:posOffset>6350</wp:posOffset>
              </wp:positionH>
              <wp:positionV relativeFrom="paragraph">
                <wp:posOffset>-83820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D8AEB">
                          <w:pPr>
                            <w:pStyle w:val="3"/>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6pt;height:144pt;width:144pt;mso-position-horizontal-relative:margin;mso-wrap-style:none;z-index:251659264;mso-width-relative:page;mso-height-relative:page;" filled="f" stroked="f" coordsize="21600,21600" o:gfxdata="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c3Vz1gAAAAkBAAAPAAAAAAAAAAEAIAAAACIAAABkcnMvZG93bnJldi54bWxQSwECFAAU&#10;AAAACACHTuJAnroL+ywCAABVBAAADgAAAAAAAAABACAAAAAlAQAAZHJzL2Uyb0RvYy54bWxQSwUG&#10;AAAAAAYABgBZAQAAwwUAAAAA&#10;">
              <v:fill on="f" focussize="0,0"/>
              <v:stroke on="f" weight="0.5pt"/>
              <v:imagedata o:title=""/>
              <o:lock v:ext="edit" aspectratio="f"/>
              <v:textbox inset="0mm,0mm,0mm,0mm" style="mso-fit-shape-to-text:t;">
                <w:txbxContent>
                  <w:p w14:paraId="287D8AEB">
                    <w:pPr>
                      <w:pStyle w:val="3"/>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FCD2BF"/>
    <w:multiLevelType w:val="multilevel"/>
    <w:tmpl w:val="F7FCD2B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1EC05970"/>
    <w:multiLevelType w:val="multilevel"/>
    <w:tmpl w:val="1EC0597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AA9DBE0"/>
    <w:rsid w:val="0C84056C"/>
    <w:rsid w:val="0F2862EC"/>
    <w:rsid w:val="17D36973"/>
    <w:rsid w:val="1DBD0847"/>
    <w:rsid w:val="1EB06519"/>
    <w:rsid w:val="298F777C"/>
    <w:rsid w:val="2BBC07AE"/>
    <w:rsid w:val="326317D2"/>
    <w:rsid w:val="32D15BB8"/>
    <w:rsid w:val="35AD27BF"/>
    <w:rsid w:val="35FF79D5"/>
    <w:rsid w:val="375F5525"/>
    <w:rsid w:val="3FEE19DC"/>
    <w:rsid w:val="45ED0183"/>
    <w:rsid w:val="4EFE38E9"/>
    <w:rsid w:val="502A2F55"/>
    <w:rsid w:val="572E5FBD"/>
    <w:rsid w:val="57881E81"/>
    <w:rsid w:val="5AF7B167"/>
    <w:rsid w:val="5BE9BA9F"/>
    <w:rsid w:val="5EEFD7BE"/>
    <w:rsid w:val="632A29FE"/>
    <w:rsid w:val="66260E10"/>
    <w:rsid w:val="6B919176"/>
    <w:rsid w:val="6FA9C0DB"/>
    <w:rsid w:val="6FBF8541"/>
    <w:rsid w:val="7667B4F7"/>
    <w:rsid w:val="77B237C7"/>
    <w:rsid w:val="7CE6D763"/>
    <w:rsid w:val="7DFB9EC5"/>
    <w:rsid w:val="7EFBEE6B"/>
    <w:rsid w:val="7FA00308"/>
    <w:rsid w:val="7FBFD53B"/>
    <w:rsid w:val="7FDE3138"/>
    <w:rsid w:val="7FFDE3D4"/>
    <w:rsid w:val="96FE86E1"/>
    <w:rsid w:val="9CFF94A2"/>
    <w:rsid w:val="9FFA3ABD"/>
    <w:rsid w:val="B3BE79B0"/>
    <w:rsid w:val="B3EF291A"/>
    <w:rsid w:val="B6F5A97A"/>
    <w:rsid w:val="BF53BE73"/>
    <w:rsid w:val="BF6E939C"/>
    <w:rsid w:val="BFEEB323"/>
    <w:rsid w:val="C9BF5F7E"/>
    <w:rsid w:val="DFEF5E39"/>
    <w:rsid w:val="E743DE4E"/>
    <w:rsid w:val="EF0A75DD"/>
    <w:rsid w:val="EF73BB32"/>
    <w:rsid w:val="EFAFF4AF"/>
    <w:rsid w:val="EFF7804F"/>
    <w:rsid w:val="EFFFB637"/>
    <w:rsid w:val="F6F9469E"/>
    <w:rsid w:val="F717B198"/>
    <w:rsid w:val="F8BF1484"/>
    <w:rsid w:val="FBAF7873"/>
    <w:rsid w:val="FDFE117B"/>
    <w:rsid w:val="FEFBE1A0"/>
    <w:rsid w:val="FFFFB55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sz w:val="22"/>
      <w:szCs w:val="22"/>
      <w:lang w:val="en-US" w:eastAsia="en-US" w:bidi="ar-SA"/>
    </w:rPr>
  </w:style>
  <w:style w:type="character" w:customStyle="1" w:styleId="10">
    <w:name w:val="font11"/>
    <w:basedOn w:val="7"/>
    <w:autoRedefine/>
    <w:qFormat/>
    <w:uiPriority w:val="0"/>
    <w:rPr>
      <w:rFonts w:hint="eastAsia" w:ascii="宋体" w:hAnsi="宋体" w:eastAsia="宋体" w:cs="宋体"/>
      <w:b/>
      <w:bCs/>
      <w:color w:val="000000"/>
      <w:sz w:val="24"/>
      <w:szCs w:val="24"/>
      <w:u w:val="none"/>
    </w:rPr>
  </w:style>
  <w:style w:type="character" w:customStyle="1" w:styleId="11">
    <w:name w:val="font21"/>
    <w:basedOn w:val="7"/>
    <w:autoRedefine/>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7149</Words>
  <Characters>7385</Characters>
  <TotalTime>15</TotalTime>
  <ScaleCrop>false</ScaleCrop>
  <LinksUpToDate>false</LinksUpToDate>
  <CharactersWithSpaces>7459</CharactersWithSpaces>
  <Application>WPS Office_12.8.2.1119_F1E327BC-269C-435d-A152-05C5408002CA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2024-11-30T02:20:00Z</dcterms:created>
  <dc:creator>排版打印员</dc:creator>
  <cp:lastModifiedBy>User</cp:lastModifiedBy>
  <dcterms:modified xsi:type="dcterms:W3CDTF">2025-08-11T15:29:36Z</dcterms:modified>
  <dc:title>抄报：省局（公司）领导</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2024-11-29T18:23:26Z</vt:filetime>
  </property>
  <property fmtid="{D5CDD505-2E9C-101B-9397-08002B2CF9AE}" pid="4" name="KSOTemplateDocerSaveRecord">
    <vt:lpwstr>eyJoZGlkIjoiMGRhMjlkM2VkMjc5NTgyNjY4YTM1OGQ0N2UwYTkxMDYiLCJ1c2VySWQiOiIyMzYyMzIwNzAifQ==</vt:lpwstr>
  </property>
  <property fmtid="{D5CDD505-2E9C-101B-9397-08002B2CF9AE}" pid="5" name="KSOProductBuildVer">
    <vt:lpwstr>2052-12.8.2.1119</vt:lpwstr>
  </property>
  <property fmtid="{D5CDD505-2E9C-101B-9397-08002B2CF9AE}" pid="6" name="ICV">
    <vt:lpwstr>4484BB0AE41E4D7AAA5923DADD56CB62_13</vt:lpwstr>
  </property>
</Properties>
</file>