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hint="default" w:ascii="Times New Roman" w:hAnsi="Times New Roman" w:eastAsia="黑体" w:cs="Times New Roman"/>
          <w:spacing w:val="8"/>
          <w:sz w:val="32"/>
          <w:szCs w:val="32"/>
          <w:lang w:val="en-US" w:eastAsia="zh-CN"/>
        </w:rPr>
      </w:pPr>
      <w:r>
        <w:rPr>
          <w:rFonts w:hint="eastAsia" w:ascii="黑体" w:hAnsi="黑体" w:eastAsia="黑体" w:cs="黑体"/>
          <w:spacing w:val="8"/>
          <w:sz w:val="32"/>
          <w:szCs w:val="32"/>
          <w:lang w:eastAsia="zh-CN"/>
        </w:rPr>
        <w:t>附件</w:t>
      </w:r>
      <w:r>
        <w:rPr>
          <w:rFonts w:hint="default" w:ascii="Times New Roman" w:hAnsi="Times New Roman" w:eastAsia="黑体" w:cs="Times New Roman"/>
          <w:spacing w:val="8"/>
          <w:sz w:val="32"/>
          <w:szCs w:val="32"/>
          <w:lang w:val="en-US" w:eastAsia="zh-CN"/>
        </w:rPr>
        <w:t>1-</w:t>
      </w:r>
      <w:r>
        <w:rPr>
          <w:rFonts w:hint="default" w:ascii="Times New Roman" w:hAnsi="Times New Roman" w:eastAsia="黑体" w:cs="Times New Roman"/>
          <w:spacing w:val="8"/>
          <w:sz w:val="32"/>
          <w:szCs w:val="32"/>
          <w:lang w:val="en-US" w:eastAsia="zh-CN"/>
        </w:rPr>
        <w:t>6</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云南省易门县烟草制品零售点</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排队轮候制度</w:t>
      </w:r>
    </w:p>
    <w:p>
      <w:pPr>
        <w:pStyle w:val="2"/>
      </w:pP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为坚持公平、公正、公开原则，规范实施《云南省易门县烟草制品零售点合理布局规划》，根据《中华人民共和国行政许可法》《</w:t>
      </w:r>
      <w:bookmarkStart w:id="0" w:name="_GoBack"/>
      <w:bookmarkEnd w:id="0"/>
      <w:r>
        <w:rPr>
          <w:rFonts w:hint="eastAsia" w:ascii="仿宋_GB2312" w:hAnsi="仿宋_GB2312" w:eastAsia="仿宋_GB2312" w:cs="仿宋_GB2312"/>
          <w:sz w:val="32"/>
          <w:szCs w:val="32"/>
          <w:lang w:eastAsia="zh-CN"/>
        </w:rPr>
        <w:t>烟草专卖许可证管理办法》《烟草专卖许可证管理办法实施细则》等法律法规规章和规范性文件的规定，结合易门县实际，制定本制度。</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本制度适用于云南省易门县行政辖区烟草制品零售点新办申请排队轮候管理。</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sz w:val="32"/>
          <w:szCs w:val="32"/>
          <w:lang w:eastAsia="zh-CN"/>
        </w:rPr>
      </w:pPr>
      <w:r>
        <w:rPr>
          <w:rFonts w:hint="eastAsia" w:ascii="仿宋_GB2312" w:hAnsi="仿宋_GB2312" w:eastAsia="仿宋_GB2312" w:cs="仿宋_GB2312"/>
          <w:kern w:val="28"/>
          <w:sz w:val="32"/>
          <w:szCs w:val="32"/>
          <w:lang w:eastAsia="zh-CN"/>
        </w:rPr>
        <w:t>本县</w:t>
      </w:r>
      <w:r>
        <w:rPr>
          <w:rFonts w:hint="eastAsia" w:ascii="仿宋_GB2312" w:hAnsi="仿宋_GB2312" w:eastAsia="仿宋_GB2312" w:cs="仿宋_GB2312"/>
          <w:sz w:val="32"/>
          <w:szCs w:val="32"/>
          <w:lang w:eastAsia="zh-CN"/>
        </w:rPr>
        <w:t>行政辖区</w:t>
      </w:r>
      <w:r>
        <w:rPr>
          <w:rFonts w:hint="eastAsia" w:ascii="仿宋_GB2312" w:hAnsi="仿宋_GB2312" w:eastAsia="仿宋_GB2312" w:cs="仿宋_GB2312"/>
          <w:kern w:val="28"/>
          <w:sz w:val="32"/>
          <w:szCs w:val="32"/>
          <w:lang w:eastAsia="zh-CN"/>
        </w:rPr>
        <w:t>最小单元网格内的零售点实际数量大于或等于</w:t>
      </w:r>
      <w:r>
        <w:rPr>
          <w:rFonts w:hint="eastAsia" w:ascii="仿宋_GB2312" w:hAnsi="仿宋_GB2312" w:eastAsia="仿宋_GB2312" w:cs="仿宋_GB2312"/>
          <w:sz w:val="32"/>
          <w:szCs w:val="32"/>
          <w:lang w:eastAsia="zh-CN"/>
        </w:rPr>
        <w:t>合理容量</w:t>
      </w:r>
      <w:r>
        <w:rPr>
          <w:rFonts w:hint="eastAsia" w:ascii="仿宋_GB2312" w:hAnsi="仿宋_GB2312" w:eastAsia="仿宋_GB2312" w:cs="仿宋_GB2312"/>
          <w:kern w:val="28"/>
          <w:sz w:val="32"/>
          <w:szCs w:val="32"/>
          <w:lang w:eastAsia="zh-CN"/>
        </w:rPr>
        <w:t>时不再设新的零售点。新办申请人应按本制度首先提出排队轮候申请，直至该最小单元网格内的零售点实际数量小于</w:t>
      </w:r>
      <w:r>
        <w:rPr>
          <w:rFonts w:hint="eastAsia" w:ascii="仿宋_GB2312" w:hAnsi="仿宋_GB2312" w:eastAsia="仿宋_GB2312" w:cs="仿宋_GB2312"/>
          <w:sz w:val="32"/>
          <w:szCs w:val="32"/>
          <w:lang w:eastAsia="zh-CN"/>
        </w:rPr>
        <w:t>合理容量时，再按照排队轮候的顺序依次提交新办申请。</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楷体" w:hAnsi="楷体" w:eastAsia="楷体" w:cs="楷体"/>
          <w:sz w:val="32"/>
          <w:szCs w:val="32"/>
          <w:lang w:eastAsia="zh-CN"/>
        </w:rPr>
      </w:pPr>
      <w:r>
        <w:rPr>
          <w:rFonts w:hint="eastAsia" w:ascii="仿宋_GB2312" w:hAnsi="黑体" w:eastAsia="仿宋_GB2312"/>
          <w:sz w:val="32"/>
          <w:szCs w:val="32"/>
          <w:lang w:eastAsia="zh-CN"/>
        </w:rPr>
        <w:t>在本制度首次施行时，根据</w:t>
      </w:r>
      <w:r>
        <w:rPr>
          <w:rFonts w:hint="eastAsia" w:ascii="仿宋_GB2312" w:hAnsi="仿宋_GB2312" w:eastAsia="仿宋_GB2312" w:cs="仿宋_GB2312"/>
          <w:kern w:val="28"/>
          <w:sz w:val="32"/>
          <w:szCs w:val="32"/>
          <w:lang w:eastAsia="zh-CN"/>
        </w:rPr>
        <w:t>本县</w:t>
      </w:r>
      <w:r>
        <w:rPr>
          <w:rFonts w:hint="eastAsia" w:ascii="仿宋_GB2312" w:hAnsi="仿宋_GB2312" w:eastAsia="仿宋_GB2312" w:cs="仿宋_GB2312"/>
          <w:sz w:val="32"/>
          <w:szCs w:val="32"/>
          <w:lang w:eastAsia="zh-CN"/>
        </w:rPr>
        <w:t>行政辖区</w:t>
      </w:r>
      <w:r>
        <w:rPr>
          <w:rFonts w:hint="eastAsia" w:ascii="仿宋_GB2312" w:hAnsi="仿宋_GB2312" w:eastAsia="仿宋_GB2312" w:cs="仿宋_GB2312"/>
          <w:kern w:val="28"/>
          <w:sz w:val="32"/>
          <w:szCs w:val="32"/>
          <w:lang w:eastAsia="zh-CN"/>
        </w:rPr>
        <w:t>最小单元网格的合理容量公示情况，对符合排队轮候情形的最小单元网格，发证机关采取集中抽签方式确定该最小单元网格首次排队轮候顺序。</w:t>
      </w:r>
    </w:p>
    <w:p>
      <w:pPr>
        <w:keepNext w:val="0"/>
        <w:keepLines w:val="0"/>
        <w:pageBreakBefore w:val="0"/>
        <w:wordWrap/>
        <w:overflowPunct/>
        <w:topLinePunct w:val="0"/>
        <w:bidi w:val="0"/>
        <w:adjustRightInd w:val="0"/>
        <w:snapToGrid w:val="0"/>
        <w:spacing w:line="560" w:lineRule="exact"/>
        <w:ind w:firstLine="640" w:firstLineChars="200"/>
        <w:jc w:val="left"/>
        <w:rPr>
          <w:rFonts w:ascii="楷体" w:hAnsi="楷体" w:eastAsia="楷体" w:cs="楷体"/>
          <w:sz w:val="32"/>
          <w:szCs w:val="32"/>
          <w:lang w:eastAsia="zh-CN"/>
        </w:rPr>
      </w:pPr>
      <w:r>
        <w:rPr>
          <w:rFonts w:hint="eastAsia" w:ascii="仿宋_GB2312" w:hAnsi="黑体" w:eastAsia="仿宋_GB2312"/>
          <w:sz w:val="32"/>
          <w:szCs w:val="32"/>
          <w:lang w:eastAsia="zh-CN"/>
        </w:rPr>
        <w:t>在本制度首次施行前，已执行排队轮候的，按原排队轮候顺序由</w:t>
      </w:r>
      <w:r>
        <w:rPr>
          <w:rFonts w:hint="eastAsia" w:ascii="仿宋_GB2312" w:hAnsi="仿宋_GB2312" w:eastAsia="仿宋_GB2312" w:cs="仿宋_GB2312"/>
          <w:kern w:val="28"/>
          <w:sz w:val="32"/>
          <w:szCs w:val="32"/>
          <w:lang w:eastAsia="zh-CN"/>
        </w:rPr>
        <w:t>发证机关录入排队轮候系统。</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楷体" w:hAnsi="楷体" w:eastAsia="楷体" w:cs="楷体"/>
          <w:sz w:val="32"/>
          <w:szCs w:val="32"/>
          <w:lang w:eastAsia="zh-CN"/>
        </w:rPr>
      </w:pPr>
      <w:r>
        <w:rPr>
          <w:rFonts w:hint="eastAsia" w:ascii="仿宋_GB2312" w:hAnsi="仿宋_GB2312" w:eastAsia="仿宋_GB2312" w:cs="仿宋_GB2312"/>
          <w:kern w:val="28"/>
          <w:sz w:val="32"/>
          <w:szCs w:val="32"/>
          <w:lang w:eastAsia="zh-CN"/>
        </w:rPr>
        <w:t>集中抽签按照“提前申请—集中公证抽签—公示抽签结果”的程序进行。自本制度实施之日起五个工作日内，对外发布参与集中抽签的报名地点、时间和方式；自本制度实施之日起十个工作日内，对外发布集中公证抽签的地点、时间和方案；自本制度实施之日起十五个工作日内，完成集中公证抽签。</w:t>
      </w:r>
    </w:p>
    <w:p>
      <w:pPr>
        <w:keepNext w:val="0"/>
        <w:keepLines w:val="0"/>
        <w:pageBreakBefore w:val="0"/>
        <w:wordWrap/>
        <w:overflowPunct/>
        <w:topLinePunct w:val="0"/>
        <w:bidi w:val="0"/>
        <w:adjustRightInd w:val="0"/>
        <w:snapToGrid w:val="0"/>
        <w:spacing w:line="560" w:lineRule="exact"/>
        <w:ind w:firstLine="640" w:firstLineChars="200"/>
        <w:jc w:val="left"/>
        <w:rPr>
          <w:rFonts w:ascii="楷体" w:hAnsi="楷体" w:eastAsia="楷体" w:cs="楷体"/>
          <w:sz w:val="32"/>
          <w:szCs w:val="32"/>
        </w:rPr>
      </w:pPr>
      <w:r>
        <w:rPr>
          <w:rFonts w:hint="eastAsia" w:ascii="仿宋_GB2312" w:hAnsi="仿宋_GB2312" w:eastAsia="仿宋_GB2312" w:cs="仿宋_GB2312"/>
          <w:kern w:val="28"/>
          <w:sz w:val="32"/>
          <w:szCs w:val="32"/>
          <w:lang w:eastAsia="zh-CN"/>
        </w:rPr>
        <w:t>集中公证抽签现场按照对外发布方案确定最小单元网格首次排队轮候顺序，并在完成集中公证抽签后二个工作日内公示。</w:t>
      </w:r>
      <w:r>
        <w:rPr>
          <w:rFonts w:hint="eastAsia" w:ascii="楷体" w:hAnsi="楷体" w:eastAsia="楷体" w:cs="楷体"/>
          <w:sz w:val="32"/>
          <w:szCs w:val="32"/>
          <w:lang w:eastAsia="zh-CN"/>
        </w:rPr>
        <w:t>（备注：第四条、第五条仅适用于本次合理布局规划发布前尚未开展排队轮候的县（市、区），已开展的地区</w:t>
      </w:r>
      <w:r>
        <w:rPr>
          <w:rFonts w:hint="eastAsia" w:eastAsia="楷体"/>
          <w:sz w:val="32"/>
          <w:szCs w:val="32"/>
          <w:lang w:eastAsia="zh-CN"/>
        </w:rPr>
        <w:t>可</w:t>
      </w:r>
      <w:r>
        <w:rPr>
          <w:rFonts w:eastAsia="楷体"/>
          <w:sz w:val="32"/>
          <w:szCs w:val="32"/>
          <w:lang w:eastAsia="zh-CN"/>
        </w:rPr>
        <w:t>结合实际决定是否保留此条</w:t>
      </w:r>
      <w:r>
        <w:rPr>
          <w:rFonts w:hint="eastAsia" w:eastAsia="楷体"/>
          <w:sz w:val="32"/>
          <w:szCs w:val="32"/>
          <w:lang w:eastAsia="zh-CN"/>
        </w:rPr>
        <w:t>。</w:t>
      </w:r>
      <w:r>
        <w:rPr>
          <w:rFonts w:hint="eastAsia" w:ascii="楷体" w:hAnsi="楷体" w:eastAsia="楷体" w:cs="楷体"/>
          <w:sz w:val="32"/>
          <w:szCs w:val="32"/>
        </w:rPr>
        <w:t>）</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楷体" w:hAnsi="楷体" w:eastAsia="楷体" w:cs="楷体"/>
          <w:sz w:val="32"/>
          <w:szCs w:val="32"/>
        </w:rPr>
      </w:pPr>
      <w:r>
        <w:rPr>
          <w:rFonts w:hint="eastAsia" w:ascii="仿宋_GB2312" w:hAnsi="仿宋_GB2312" w:eastAsia="仿宋_GB2312" w:cs="仿宋_GB2312"/>
          <w:sz w:val="32"/>
          <w:szCs w:val="32"/>
          <w:lang w:eastAsia="zh-CN"/>
        </w:rPr>
        <w:t>零售点排队轮候采取最小单元网格管理。自愿加入排队轮候的申请人，应线上填写并提交《云南省易门县烟草制品零售点排队轮候申请表》（详见附表）。</w:t>
      </w:r>
      <w:r>
        <w:rPr>
          <w:rFonts w:hint="eastAsia" w:ascii="仿宋_GB2312" w:hAnsi="仿宋_GB2312" w:eastAsia="仿宋_GB2312" w:cs="仿宋_GB2312"/>
          <w:sz w:val="32"/>
          <w:szCs w:val="32"/>
        </w:rPr>
        <w:t>申请人在填报信息时应准确、真实。</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系统根据申请人线上提交时间，自动生成排队轮候顺序，并由系统自动推送告知申请人单元网格内当前排队轮候顺序号。</w:t>
      </w:r>
      <w:r>
        <w:rPr>
          <w:rFonts w:hint="eastAsia" w:ascii="楷体" w:hAnsi="楷体" w:eastAsia="楷体" w:cs="楷体"/>
          <w:sz w:val="32"/>
          <w:szCs w:val="32"/>
          <w:lang w:eastAsia="zh-CN"/>
        </w:rPr>
        <w:t>（备注：线上排队轮候系统由省局统一开发，系统填写内容包括但不限于第五条中的登记信息、精确到秒的提交时间、顺序号、辖区内所属网格、约定事项等。</w:t>
      </w:r>
      <w:r>
        <w:rPr>
          <w:rFonts w:hint="eastAsia" w:ascii="楷体" w:hAnsi="楷体" w:eastAsia="楷体" w:cs="楷体"/>
          <w:sz w:val="32"/>
          <w:szCs w:val="32"/>
        </w:rPr>
        <w:t>）</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发证机关应公开排队轮候情况，并接受公众监督。申请人可通过线上、线下等方式查询排队轮候情况。</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当单元网格内可新增零售点时，由发证机关按照顺序号和申请表约定的联系方式在五个工作日内依次通知申请人提交新办申请。</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到号办理时，申请人提交的办证申请信息应与排队轮候登记信息一致。信息不一致的，申请人需重新登记排队轮候。</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易门县烟草专卖局每年年底向上一级烟草专卖局报告本年度烟草制品零售点排队轮候管理工作情况。</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sz w:val="32"/>
          <w:szCs w:val="32"/>
          <w:lang w:eastAsia="zh-CN"/>
        </w:rPr>
      </w:pPr>
      <w:r>
        <w:rPr>
          <w:rFonts w:hint="eastAsia" w:ascii="仿宋_GB2312" w:hAnsi="仿宋_GB2312" w:eastAsia="仿宋_GB2312" w:cs="仿宋_GB2312"/>
          <w:sz w:val="32"/>
          <w:szCs w:val="32"/>
          <w:lang w:eastAsia="zh-CN"/>
        </w:rPr>
        <w:t>发证机关接收和办理排队轮候业务，不得收取任何费用。</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本制度中按照年、月、日计算期间的，开始的当日不计入，自下一日开始计算。均以工作日计算，不含法定节假日。</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本制度由云南省易门县烟草专卖局负责解释。</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jc w:val="left"/>
        <w:textAlignment w:val="auto"/>
        <w:rPr>
          <w:rFonts w:ascii="楷体" w:hAnsi="楷体" w:eastAsia="楷体" w:cs="楷体"/>
          <w:sz w:val="32"/>
          <w:szCs w:val="32"/>
          <w:lang w:eastAsia="zh-CN"/>
        </w:rPr>
      </w:pPr>
      <w:r>
        <w:rPr>
          <w:rFonts w:hint="eastAsia" w:ascii="仿宋_GB2312" w:hAnsi="仿宋_GB2312" w:eastAsia="仿宋_GB2312" w:cs="仿宋_GB2312"/>
          <w:sz w:val="32"/>
          <w:szCs w:val="32"/>
          <w:lang w:eastAsia="zh-CN"/>
        </w:rPr>
        <w:t>本制度自《云南省易门县烟草制品零售点合理布局规划》实施之日起同时施行。</w:t>
      </w:r>
    </w:p>
    <w:p>
      <w:pPr>
        <w:keepNext w:val="0"/>
        <w:keepLines w:val="0"/>
        <w:pageBreakBefore w:val="0"/>
        <w:wordWrap/>
        <w:overflowPunct/>
        <w:topLinePunct w:val="0"/>
        <w:bidi w:val="0"/>
        <w:adjustRightInd w:val="0"/>
        <w:snapToGrid w:val="0"/>
        <w:spacing w:line="560" w:lineRule="exact"/>
        <w:ind w:left="402" w:firstLine="640" w:firstLineChars="200"/>
        <w:jc w:val="left"/>
        <w:rPr>
          <w:rFonts w:ascii="仿宋_GB2312" w:hAnsi="仿宋_GB2312" w:eastAsia="仿宋_GB2312" w:cs="仿宋_GB2312"/>
          <w:sz w:val="32"/>
          <w:szCs w:val="32"/>
          <w:lang w:eastAsia="zh-CN"/>
        </w:rPr>
      </w:pPr>
    </w:p>
    <w:p>
      <w:pPr>
        <w:keepNext w:val="0"/>
        <w:keepLines w:val="0"/>
        <w:pageBreakBefore w:val="0"/>
        <w:wordWrap/>
        <w:overflowPunct/>
        <w:topLinePunct w:val="0"/>
        <w:bidi w:val="0"/>
        <w:adjustRightInd w:val="0"/>
        <w:snapToGrid w:val="0"/>
        <w:spacing w:line="560" w:lineRule="exact"/>
        <w:ind w:left="402" w:firstLine="640" w:firstLineChars="200"/>
        <w:jc w:val="lef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附表：云南省易门县烟草制品零售点排队轮候申请表</w:t>
      </w:r>
    </w:p>
    <w:p>
      <w:pPr>
        <w:rPr>
          <w:rFonts w:ascii="黑体" w:hAnsi="黑体" w:eastAsia="黑体" w:cs="黑体"/>
          <w:sz w:val="32"/>
          <w:szCs w:val="32"/>
          <w:lang w:eastAsia="zh-CN"/>
        </w:rPr>
      </w:pPr>
      <w:r>
        <w:rPr>
          <w:rFonts w:ascii="黑体" w:hAnsi="黑体" w:eastAsia="黑体" w:cs="黑体"/>
          <w:sz w:val="32"/>
          <w:szCs w:val="32"/>
          <w:lang w:eastAsia="zh-CN"/>
        </w:rPr>
        <w:br w:type="page"/>
      </w:r>
    </w:p>
    <w:p>
      <w:pPr>
        <w:spacing w:line="360" w:lineRule="auto"/>
        <w:rPr>
          <w:rFonts w:ascii="黑体" w:hAnsi="黑体" w:eastAsia="黑体" w:cs="黑体"/>
          <w:sz w:val="44"/>
          <w:szCs w:val="44"/>
          <w:lang w:eastAsia="zh-CN"/>
        </w:rPr>
      </w:pPr>
      <w:r>
        <w:rPr>
          <w:rFonts w:hint="eastAsia" w:ascii="黑体" w:hAnsi="黑体" w:eastAsia="黑体" w:cs="黑体"/>
          <w:sz w:val="32"/>
          <w:szCs w:val="32"/>
          <w:lang w:eastAsia="zh-CN"/>
        </w:rPr>
        <w:t>附表</w:t>
      </w:r>
    </w:p>
    <w:p>
      <w:pPr>
        <w:spacing w:line="360" w:lineRule="auto"/>
        <w:ind w:left="402"/>
        <w:jc w:val="center"/>
        <w:rPr>
          <w:rFonts w:hint="eastAsia" w:ascii="方正小标宋_GBK" w:hAnsi="方正小标宋_GBK" w:eastAsia="方正小标宋_GBK" w:cs="方正小标宋_GBK"/>
          <w:spacing w:val="-11"/>
          <w:sz w:val="44"/>
          <w:szCs w:val="44"/>
          <w:lang w:eastAsia="zh-CN"/>
        </w:rPr>
      </w:pPr>
      <w:r>
        <w:rPr>
          <w:rFonts w:hint="eastAsia" w:ascii="方正小标宋_GBK" w:hAnsi="方正小标宋_GBK" w:eastAsia="方正小标宋_GBK" w:cs="方正小标宋_GBK"/>
          <w:spacing w:val="-11"/>
          <w:sz w:val="44"/>
          <w:szCs w:val="44"/>
          <w:lang w:eastAsia="zh-CN"/>
        </w:rPr>
        <w:t>云南省易门县烟草制品零售点排队轮候申请表</w:t>
      </w:r>
    </w:p>
    <w:tbl>
      <w:tblPr>
        <w:tblStyle w:val="5"/>
        <w:tblW w:w="0" w:type="auto"/>
        <w:tblInd w:w="96" w:type="dxa"/>
        <w:tblLayout w:type="fixed"/>
        <w:tblCellMar>
          <w:top w:w="0" w:type="dxa"/>
          <w:left w:w="108" w:type="dxa"/>
          <w:bottom w:w="0" w:type="dxa"/>
          <w:right w:w="108" w:type="dxa"/>
        </w:tblCellMar>
      </w:tblPr>
      <w:tblGrid>
        <w:gridCol w:w="2529"/>
        <w:gridCol w:w="2384"/>
        <w:gridCol w:w="1611"/>
        <w:gridCol w:w="2276"/>
      </w:tblGrid>
      <w:tr>
        <w:tblPrEx>
          <w:tblCellMar>
            <w:top w:w="0" w:type="dxa"/>
            <w:left w:w="108" w:type="dxa"/>
            <w:bottom w:w="0" w:type="dxa"/>
            <w:right w:w="108" w:type="dxa"/>
          </w:tblCellMar>
        </w:tblPrEx>
        <w:trPr>
          <w:trHeight w:val="494" w:hRule="atLeast"/>
        </w:trPr>
        <w:tc>
          <w:tcPr>
            <w:tcW w:w="8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b/>
                <w:bCs/>
                <w:sz w:val="24"/>
              </w:rPr>
            </w:pPr>
            <w:r>
              <w:rPr>
                <w:rFonts w:hint="eastAsia" w:ascii="宋体" w:hAnsi="宋体" w:cs="宋体"/>
                <w:b/>
                <w:bCs/>
                <w:sz w:val="24"/>
                <w:lang w:bidi="ar"/>
              </w:rPr>
              <w:t>申请人基本信息</w:t>
            </w:r>
          </w:p>
        </w:tc>
      </w:tr>
      <w:tr>
        <w:tblPrEx>
          <w:tblCellMar>
            <w:top w:w="0" w:type="dxa"/>
            <w:left w:w="108" w:type="dxa"/>
            <w:bottom w:w="0" w:type="dxa"/>
            <w:right w:w="108" w:type="dxa"/>
          </w:tblCellMar>
        </w:tblPrEx>
        <w:trPr>
          <w:trHeight w:val="593"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申请人姓名</w:t>
            </w: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申请日期</w:t>
            </w:r>
          </w:p>
        </w:tc>
        <w:tc>
          <w:tcPr>
            <w:tcW w:w="2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93"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身份证号码</w:t>
            </w: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联系电话</w:t>
            </w:r>
          </w:p>
        </w:tc>
        <w:tc>
          <w:tcPr>
            <w:tcW w:w="2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93"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归属街道</w:t>
            </w: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归属网格</w:t>
            </w:r>
          </w:p>
        </w:tc>
        <w:tc>
          <w:tcPr>
            <w:tcW w:w="2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26"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经营场所详细地址</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26" w:hRule="atLeast"/>
        </w:trPr>
        <w:tc>
          <w:tcPr>
            <w:tcW w:w="8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b/>
                <w:bCs/>
                <w:sz w:val="24"/>
              </w:rPr>
            </w:pPr>
            <w:r>
              <w:rPr>
                <w:rFonts w:hint="eastAsia" w:ascii="宋体" w:hAnsi="宋体" w:cs="宋体"/>
                <w:b/>
                <w:bCs/>
                <w:sz w:val="24"/>
                <w:lang w:bidi="ar"/>
              </w:rPr>
              <w:t>营业执照基本信息</w:t>
            </w:r>
          </w:p>
        </w:tc>
      </w:tr>
      <w:tr>
        <w:tblPrEx>
          <w:tblCellMar>
            <w:top w:w="0" w:type="dxa"/>
            <w:left w:w="108" w:type="dxa"/>
            <w:bottom w:w="0" w:type="dxa"/>
            <w:right w:w="108" w:type="dxa"/>
          </w:tblCellMar>
        </w:tblPrEx>
        <w:trPr>
          <w:trHeight w:val="526"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统一社会信用代码</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26"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企业名称</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26"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企业类型</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526"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sz w:val="24"/>
              </w:rPr>
            </w:pPr>
            <w:r>
              <w:rPr>
                <w:rFonts w:hint="eastAsia" w:ascii="宋体" w:hAnsi="宋体" w:cs="宋体"/>
                <w:sz w:val="24"/>
                <w:lang w:bidi="ar"/>
              </w:rPr>
              <w:t>经营地址</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sz w:val="24"/>
              </w:rPr>
            </w:pPr>
          </w:p>
        </w:tc>
      </w:tr>
      <w:tr>
        <w:tblPrEx>
          <w:tblCellMar>
            <w:top w:w="0" w:type="dxa"/>
            <w:left w:w="108" w:type="dxa"/>
            <w:bottom w:w="0" w:type="dxa"/>
            <w:right w:w="108" w:type="dxa"/>
          </w:tblCellMar>
        </w:tblPrEx>
        <w:trPr>
          <w:trHeight w:val="4360" w:hRule="atLeast"/>
        </w:trPr>
        <w:tc>
          <w:tcPr>
            <w:tcW w:w="88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Style w:val="7"/>
                <w:rFonts w:hint="default"/>
                <w:color w:val="auto"/>
                <w:lang w:eastAsia="zh-CN" w:bidi="ar"/>
              </w:rPr>
            </w:pPr>
            <w:r>
              <w:rPr>
                <w:rStyle w:val="7"/>
                <w:rFonts w:hint="default"/>
                <w:color w:val="auto"/>
                <w:lang w:eastAsia="zh-CN" w:bidi="ar"/>
              </w:rPr>
              <w:t>申请人承诺：</w:t>
            </w:r>
          </w:p>
          <w:p>
            <w:pPr>
              <w:ind w:firstLine="481" w:firstLineChars="200"/>
              <w:textAlignment w:val="center"/>
              <w:rPr>
                <w:rStyle w:val="7"/>
                <w:rFonts w:hint="default"/>
                <w:b w:val="0"/>
                <w:bCs w:val="0"/>
                <w:color w:val="auto"/>
                <w:lang w:eastAsia="zh-CN" w:bidi="ar"/>
              </w:rPr>
            </w:pPr>
            <w:r>
              <w:rPr>
                <w:rStyle w:val="7"/>
                <w:rFonts w:hint="default"/>
                <w:color w:val="auto"/>
                <w:lang w:eastAsia="zh-CN"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pPr>
              <w:ind w:firstLine="481" w:firstLineChars="200"/>
              <w:textAlignment w:val="center"/>
              <w:rPr>
                <w:rStyle w:val="7"/>
                <w:rFonts w:hint="default"/>
                <w:b w:val="0"/>
                <w:bCs w:val="0"/>
                <w:color w:val="auto"/>
                <w:lang w:eastAsia="zh-CN" w:bidi="ar"/>
              </w:rPr>
            </w:pPr>
            <w:r>
              <w:rPr>
                <w:rStyle w:val="7"/>
                <w:rFonts w:hint="default"/>
                <w:color w:val="auto"/>
                <w:lang w:eastAsia="zh-CN" w:bidi="ar"/>
              </w:rPr>
              <w:t>2.申请人所提交的预登记信息确保与到号办理时提交的办证信息一致，若不一致的，申请人应重新登记轮候；</w:t>
            </w:r>
          </w:p>
          <w:p>
            <w:pPr>
              <w:ind w:firstLine="481" w:firstLineChars="200"/>
              <w:textAlignment w:val="center"/>
              <w:rPr>
                <w:rStyle w:val="7"/>
                <w:rFonts w:hint="default"/>
                <w:b w:val="0"/>
                <w:bCs w:val="0"/>
                <w:color w:val="auto"/>
                <w:lang w:eastAsia="zh-CN" w:bidi="ar"/>
              </w:rPr>
            </w:pPr>
            <w:r>
              <w:rPr>
                <w:rStyle w:val="7"/>
                <w:rFonts w:hint="default"/>
                <w:color w:val="auto"/>
                <w:lang w:eastAsia="zh-CN" w:bidi="ar"/>
              </w:rPr>
              <w:t>3.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pPr>
              <w:ind w:firstLine="481" w:firstLineChars="200"/>
              <w:textAlignment w:val="center"/>
              <w:rPr>
                <w:rFonts w:ascii="宋体" w:hAnsi="宋体" w:cs="宋体"/>
                <w:b/>
                <w:bCs/>
                <w:sz w:val="24"/>
                <w:lang w:eastAsia="zh-CN"/>
              </w:rPr>
            </w:pPr>
            <w:r>
              <w:rPr>
                <w:rStyle w:val="7"/>
                <w:rFonts w:hint="default"/>
                <w:color w:val="auto"/>
                <w:lang w:eastAsia="zh-CN" w:bidi="ar"/>
              </w:rPr>
              <w:t>申请人或代理人（签名或印章）：</w:t>
            </w:r>
            <w:r>
              <w:rPr>
                <w:rStyle w:val="8"/>
                <w:rFonts w:hint="default"/>
                <w:color w:val="auto"/>
                <w:lang w:eastAsia="zh-CN" w:bidi="ar"/>
              </w:rPr>
              <w:t xml:space="preserve">        </w:t>
            </w:r>
            <w:r>
              <w:rPr>
                <w:rStyle w:val="7"/>
                <w:rFonts w:hint="default"/>
                <w:color w:val="auto"/>
                <w:lang w:eastAsia="zh-CN" w:bidi="ar"/>
              </w:rPr>
              <w:t xml:space="preserve">                                                                         </w:t>
            </w:r>
          </w:p>
        </w:tc>
      </w:tr>
      <w:tr>
        <w:tblPrEx>
          <w:tblCellMar>
            <w:top w:w="0" w:type="dxa"/>
            <w:left w:w="108" w:type="dxa"/>
            <w:bottom w:w="0" w:type="dxa"/>
            <w:right w:w="108" w:type="dxa"/>
          </w:tblCellMar>
        </w:tblPrEx>
        <w:trPr>
          <w:trHeight w:val="1236" w:hRule="atLeast"/>
        </w:trPr>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bCs/>
                <w:sz w:val="24"/>
              </w:rPr>
            </w:pPr>
            <w:r>
              <w:rPr>
                <w:rFonts w:hint="eastAsia" w:ascii="宋体" w:hAnsi="宋体" w:cs="宋体"/>
                <w:b/>
                <w:bCs/>
                <w:sz w:val="24"/>
                <w:lang w:bidi="ar"/>
              </w:rPr>
              <w:t>排队轮候顺序号</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sz w:val="24"/>
              </w:rPr>
            </w:pPr>
          </w:p>
        </w:tc>
      </w:tr>
    </w:tbl>
    <w:p>
      <w:pPr>
        <w:bidi w:val="0"/>
        <w:jc w:val="both"/>
        <w:rPr>
          <w:rFonts w:hint="eastAsia"/>
          <w:lang w:eastAsia="zh-CN"/>
        </w:rPr>
      </w:pPr>
    </w:p>
    <w:sectPr>
      <w:footerReference r:id="rId3" w:type="default"/>
      <w:footerReference r:id="rId4" w:type="even"/>
      <w:pgSz w:w="11906" w:h="16838"/>
      <w:pgMar w:top="2041" w:right="1474" w:bottom="1304" w:left="1587" w:header="136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-68580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kinsoku w:val="0"/>
                            <w:wordWrap/>
                            <w:overflowPunct/>
                            <w:topLinePunct w:val="0"/>
                            <w:bidi w:val="0"/>
                            <w:adjustRightInd w:val="0"/>
                            <w:snapToGrid w:val="0"/>
                            <w:ind w:left="420" w:leftChars="200" w:right="420" w:rightChars="200"/>
                            <w:textAlignment w:val="baseline"/>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5.4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11VIGdUAAAAIAQAADwAAAAAAAAABACAAAAA4AAAAZHJz&#10;L2Rvd25yZXYueG1sUEsBAhQAFAAAAAgAh07iQCbVWnMqAgAAVQQAAA4AAAAAAAAAAQAgAAAAOgEA&#10;AGRycy9lMm9Eb2MueG1sUEsFBgAAAAAGAAYAWQEAANYFAAAAAA==&#10;">
              <v:fill on="f" focussize="0,0"/>
              <v:stroke on="f" weight="0.5pt"/>
              <v:imagedata o:title=""/>
              <o:lock v:ext="edit" aspectratio="f"/>
              <v:textbox inset="0mm,0mm,0mm,0mm" style="mso-fit-shape-to-text:t;">
                <w:txbxContent>
                  <w:p>
                    <w:pPr>
                      <w:pStyle w:val="3"/>
                      <w:keepNext w:val="0"/>
                      <w:keepLines w:val="0"/>
                      <w:pageBreakBefore w:val="0"/>
                      <w:widowControl/>
                      <w:kinsoku w:val="0"/>
                      <w:wordWrap/>
                      <w:overflowPunct/>
                      <w:topLinePunct w:val="0"/>
                      <w:bidi w:val="0"/>
                      <w:adjustRightInd w:val="0"/>
                      <w:snapToGrid w:val="0"/>
                      <w:ind w:left="420" w:leftChars="200" w:right="420" w:rightChars="200"/>
                      <w:textAlignment w:val="baseline"/>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-83820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5pt;margin-top:-6.6pt;height:144pt;width:144pt;mso-position-horizontal-relative:margin;mso-wrap-style:none;z-index:251660288;mso-width-relative:page;mso-height-relative:page;" filled="f" stroked="f" coordsize="21600,21600" o:gfxdata="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wnN1c9YAAAAJAQAADwAAAAAAAAABACAAAAA4AAAA&#10;ZHJzL2Rvd25yZXYueG1sUEsBAhQAFAAAAAgAh07iQK9j2DAsAgAAVQQAAA4AAAAAAAAAAQAgAAAA&#10;OwEAAGRycy9lMm9Eb2MueG1sUEsFBgAAAAAGAAYAWQEAANkFA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5970"/>
    <w:multiLevelType w:val="multilevel"/>
    <w:tmpl w:val="1EC05970"/>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22A45"/>
    <w:rsid w:val="0FB22A45"/>
    <w:rsid w:val="4FFF1D88"/>
    <w:rsid w:val="6676336F"/>
    <w:rsid w:val="7B5BFB1C"/>
    <w:rsid w:val="7F777644"/>
    <w:rsid w:val="7FF4F074"/>
    <w:rsid w:val="F7BBCF5C"/>
    <w:rsid w:val="FFD2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eastAsia" w:ascii="宋体" w:hAnsi="宋体" w:eastAsia="宋体" w:cs="宋体"/>
      <w:b/>
      <w:bCs/>
      <w:color w:val="000000"/>
      <w:sz w:val="24"/>
      <w:szCs w:val="24"/>
      <w:u w:val="none"/>
    </w:rPr>
  </w:style>
  <w:style w:type="character" w:customStyle="1" w:styleId="8">
    <w:name w:val="font21"/>
    <w:basedOn w:val="6"/>
    <w:qFormat/>
    <w:uiPriority w:val="0"/>
    <w:rPr>
      <w:rFonts w:hint="eastAsia" w:ascii="宋体" w:hAnsi="宋体" w:eastAsia="宋体" w:cs="宋体"/>
      <w:b/>
      <w:bCs/>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2025-08-02T15:10:00Z</dcterms:created>
  <dc:creator>Sususuda</dc:creator>
  <cp:lastModifiedBy>user</cp:lastModifiedBy>
  <dcterms:modified xsi:type="dcterms:W3CDTF">2025-08-28T17:39:20Z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8C6AA4FBBF0340A1AB5DDC1C6F4AB737_11</vt:lpwstr>
  </property>
  <property fmtid="{D5CDD505-2E9C-101B-9397-08002B2CF9AE}" pid="4" name="KSOTemplateDocerSaveRecord">
    <vt:lpwstr>eyJoZGlkIjoiOTg5YmJmMGFkYThhMGQ0OTJmOTFkNWRmYTY1YmFjOTkiLCJ1c2VySWQiOiIyMzYyMzIwNzAifQ==</vt:lpwstr>
  </property>
</Properties>
</file>