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云南省易门县烟草制品零售点合理布局规划</w:t>
      </w:r>
    </w:p>
    <w:p>
      <w:pPr>
        <w:keepNext w:val="0"/>
        <w:keepLines w:val="0"/>
        <w:pageBreakBefore w:val="0"/>
        <w:widowControl/>
        <w:kinsoku/>
        <w:wordWrap w:val="0"/>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（草案）</w:t>
      </w:r>
    </w:p>
    <w:p>
      <w:pPr>
        <w:keepNext w:val="0"/>
        <w:keepLines w:val="0"/>
        <w:pageBreakBefore w:val="0"/>
        <w:widowControl/>
        <w:kinsoku/>
        <w:wordWrap w:val="0"/>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sz w:val="44"/>
          <w:szCs w:val="44"/>
        </w:rPr>
      </w:pPr>
    </w:p>
    <w:p>
      <w:pPr>
        <w:keepNext w:val="0"/>
        <w:keepLines w:val="0"/>
        <w:pageBreakBefore w:val="0"/>
        <w:widowControl/>
        <w:kinsoku/>
        <w:wordWrap w:val="0"/>
        <w:overflowPunct/>
        <w:topLinePunct w:val="0"/>
        <w:autoSpaceDE w:val="0"/>
        <w:autoSpaceDN w:val="0"/>
        <w:bidi w:val="0"/>
        <w:adjustRightInd w:val="0"/>
        <w:snapToGrid w:val="0"/>
        <w:spacing w:line="368" w:lineRule="auto"/>
        <w:ind w:firstLine="640" w:firstLineChars="200"/>
        <w:jc w:val="center"/>
        <w:textAlignment w:val="baseline"/>
        <w:rPr>
          <w:rFonts w:hint="eastAsia" w:ascii="黑体" w:hAnsi="黑体" w:eastAsia="黑体" w:cs="黑体"/>
          <w:sz w:val="32"/>
          <w:szCs w:val="32"/>
        </w:rPr>
      </w:pPr>
      <w:r>
        <w:rPr>
          <w:rFonts w:hint="eastAsia" w:ascii="黑体" w:hAnsi="黑体" w:eastAsia="黑体" w:cs="黑体"/>
          <w:sz w:val="32"/>
          <w:szCs w:val="32"/>
        </w:rPr>
        <w:t>第一章总则</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深入推进“放管服”改革，依法依规、科学合理制定烟草制品零售点合理布局规划，提升烟草专卖行政许可的公开性、公平性和公正性，依据《中华人民共和国行政许可法》《中华人民共和国未成年人保护法》《中华人民共和国烟草专卖法》《中华人民共和国烟草专卖法实施条例》《烟草专卖许可证管理办法》《烟草专卖许可证管理办法实施细则》等法律、法规、规章和国家烟草专卖局的有关规定，结合易门县实际，制定本规划。</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本规划适用于云南省易门县行政辖区范围内烟草制品零售点的布局管理。电子烟零售点布局按照《云南省电子烟零售点布局规划》执行。</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本规划所称烟草制品零售点（以下简称零售点）是指依法取得烟草专卖零售许可证（以下简称零售许可证）的公民、法人或其他组织从事烟草制品零售业务的经营场所。</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零售点应当设置于与住所相独立的固定经营场所，经营场所与住所应当在空间上相互独立，在物理特性上应有实体墙相隔离。经营场所应有指向明确并唯一的门牌、地址或者方位表述，且与营业执照登记注册的经营场所一致，并面向公众经营。</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本规划遵循依法行政、科学规划、服务社会、均衡发展原则，综合辖区内人口数量、交通状况、经济发展水平、消费能力等因素，对零售点进行科学合理的规划布局。</w:t>
      </w:r>
    </w:p>
    <w:p>
      <w:pPr>
        <w:keepNext w:val="0"/>
        <w:keepLines w:val="0"/>
        <w:pageBreakBefore w:val="0"/>
        <w:widowControl/>
        <w:kinsoku/>
        <w:wordWrap w:val="0"/>
        <w:overflowPunct/>
        <w:topLinePunct w:val="0"/>
        <w:autoSpaceDE w:val="0"/>
        <w:autoSpaceDN w:val="0"/>
        <w:bidi w:val="0"/>
        <w:adjustRightInd w:val="0"/>
        <w:snapToGrid w:val="0"/>
        <w:spacing w:line="368" w:lineRule="auto"/>
        <w:ind w:firstLine="640" w:firstLineChars="200"/>
        <w:jc w:val="center"/>
        <w:textAlignment w:val="baseline"/>
        <w:rPr>
          <w:rFonts w:hint="eastAsia" w:ascii="黑体" w:hAnsi="黑体" w:eastAsia="黑体" w:cs="黑体"/>
          <w:sz w:val="32"/>
          <w:szCs w:val="32"/>
        </w:rPr>
      </w:pPr>
      <w:r>
        <w:rPr>
          <w:rFonts w:hint="eastAsia" w:ascii="黑体" w:hAnsi="黑体" w:eastAsia="黑体" w:cs="黑体"/>
          <w:sz w:val="32"/>
          <w:szCs w:val="32"/>
        </w:rPr>
        <w:t>第二章 零售点布局标准</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本章适用于经营范围除“仅为雪茄烟零售”以外的卷烟、雪茄烟、消费类烟丝的零售点布局管理。</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零售点布局采用数量限制、距离限制、数量限制与距离限制相结合以及不予设置烟草制品零售点等布局标准。</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根据地域面积、人口数量、交通状况、经济发展水平、居民消费能力、消费购买习惯等因素，合理确定区域零售点规划数，并划定最小单元网格。单元网格零售点规划数是指最小单元网格内可设置零售点的数量。总量规划数是指易门县辖区范围内所有单元网格零售点规划数之和。</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除本规划规定的特殊区域外，单元网格内零售点数量达到规划数时，该单元网格不予新设零售点。</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根据零售市场状态、交通状况、人口热度、消费购买习惯等因素，合理确定零售点间距。零售点间距是指申请人拟从事烟草制品零售业务的经营场所与最近的烟草制品零售点之间的距离。测量的总体原则为两个零售点“门边到门边”可安全步行的最短距离。测量规则及标准详见《云南省易门县烟草制品零售点间距测量规则及标准》（附件1）。</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汽车站、旅游景区等相对封闭的内部等候区，可设置1个零售点，不受单元网格规划数及总量规划数限制。</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部队、监狱、看守所、戒毒所等封闭式特殊区域，可设置1个零售点，不受单元网格规划数及总量规划数限制。</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高速公路单侧加油站（含服务区）,可设置1个零售点，不受单元网格规划数及总量规划数限制。</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本县零售点合理布局规划数及规划区域、单元网格等情况详见《云南省易门县烟草制品零售点合理布局公示表》（附件</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）及《云南省易门县烟草制品零售点合理布局网格示意图》（附件</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w:t>
      </w:r>
    </w:p>
    <w:p>
      <w:pPr>
        <w:keepNext w:val="0"/>
        <w:keepLines w:val="0"/>
        <w:pageBreakBefore w:val="0"/>
        <w:widowControl/>
        <w:kinsoku/>
        <w:wordWrap w:val="0"/>
        <w:overflowPunct/>
        <w:topLinePunct w:val="0"/>
        <w:autoSpaceDE w:val="0"/>
        <w:autoSpaceDN w:val="0"/>
        <w:bidi w:val="0"/>
        <w:adjustRightInd w:val="0"/>
        <w:snapToGrid w:val="0"/>
        <w:spacing w:line="368" w:lineRule="auto"/>
        <w:ind w:firstLine="640" w:firstLineChars="200"/>
        <w:jc w:val="center"/>
        <w:textAlignment w:val="baseline"/>
        <w:rPr>
          <w:rFonts w:hint="eastAsia" w:ascii="黑体" w:hAnsi="黑体" w:eastAsia="黑体" w:cs="黑体"/>
          <w:sz w:val="32"/>
          <w:szCs w:val="32"/>
        </w:rPr>
      </w:pPr>
      <w:r>
        <w:rPr>
          <w:rFonts w:hint="eastAsia" w:ascii="黑体" w:hAnsi="黑体" w:eastAsia="黑体" w:cs="黑体"/>
          <w:sz w:val="32"/>
          <w:szCs w:val="32"/>
        </w:rPr>
        <w:t>第三章 雪茄烟专营店零售点布局标准</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本章适用于经营范围仅为雪茄烟本店零售的零售点布局管理。</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雪茄烟专营店零售点数量实行总量控制、动态调整模式，且不受其他烟草制品（含电子烟）零售点距离限制，规划数详见《云南省易门县雪茄烟专营店零售点合理布局公示表》（附件</w:t>
      </w: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取得雪茄烟本店零售许可的经营主体如需变更许可范围的，必须满足本规划及《云南省电子烟零售点布局规划》相关条件并按照有关规定办理。</w:t>
      </w:r>
    </w:p>
    <w:p>
      <w:pPr>
        <w:keepNext w:val="0"/>
        <w:keepLines w:val="0"/>
        <w:pageBreakBefore w:val="0"/>
        <w:widowControl/>
        <w:kinsoku/>
        <w:wordWrap w:val="0"/>
        <w:overflowPunct/>
        <w:topLinePunct w:val="0"/>
        <w:autoSpaceDE w:val="0"/>
        <w:autoSpaceDN w:val="0"/>
        <w:bidi w:val="0"/>
        <w:adjustRightInd w:val="0"/>
        <w:snapToGrid w:val="0"/>
        <w:spacing w:line="368" w:lineRule="auto"/>
        <w:ind w:firstLine="640" w:firstLineChars="200"/>
        <w:jc w:val="center"/>
        <w:textAlignment w:val="baseline"/>
        <w:rPr>
          <w:rFonts w:hint="eastAsia" w:ascii="黑体" w:hAnsi="黑体" w:eastAsia="黑体" w:cs="黑体"/>
          <w:sz w:val="32"/>
          <w:szCs w:val="32"/>
        </w:rPr>
      </w:pPr>
      <w:r>
        <w:rPr>
          <w:rFonts w:hint="eastAsia" w:ascii="黑体" w:hAnsi="黑体" w:eastAsia="黑体" w:cs="黑体"/>
          <w:sz w:val="32"/>
          <w:szCs w:val="32"/>
        </w:rPr>
        <w:t>第四章 放宽及限制情形</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具有下列情形之一的，不予发放烟草专卖零售许可证：</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rPr>
        <w:t>（一）</w:t>
      </w:r>
      <w:r>
        <w:rPr>
          <w:rFonts w:hint="eastAsia" w:ascii="仿宋_GB2312" w:hAnsi="仿宋_GB2312" w:eastAsia="仿宋_GB2312" w:cs="仿宋_GB2312"/>
          <w:sz w:val="32"/>
          <w:szCs w:val="32"/>
        </w:rPr>
        <w:t>申请人是限制民事行为能力人或无民事行为能力人的；</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rPr>
        <w:t>（二）</w:t>
      </w:r>
      <w:r>
        <w:rPr>
          <w:rFonts w:hint="eastAsia" w:ascii="仿宋_GB2312" w:hAnsi="仿宋_GB2312" w:eastAsia="仿宋_GB2312" w:cs="仿宋_GB2312"/>
          <w:sz w:val="32"/>
          <w:szCs w:val="32"/>
        </w:rPr>
        <w:t>申请人隐瞒有关情况或提供虚假材料的；因隐瞒有关情况或者提供虚假材料，烟草专卖局作出不予受理或者不予发证决定后，申请人一年内再次提出申请的;</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rPr>
        <w:t>（三）</w:t>
      </w:r>
      <w:r>
        <w:rPr>
          <w:rFonts w:hint="eastAsia" w:ascii="仿宋_GB2312" w:hAnsi="仿宋_GB2312" w:eastAsia="仿宋_GB2312" w:cs="仿宋_GB2312"/>
          <w:sz w:val="32"/>
          <w:szCs w:val="32"/>
        </w:rPr>
        <w:t>被取消从事烟草专卖业务资格不满三年的；未领取烟草专卖零售许可证经营烟草专卖品业务，并且一年内被执法机关处罚两次以上，在三年内申请领取烟草专卖零售许可证的；因未领取烟草专卖零售许可证经营烟草专卖品业务被追究刑事责任，在三年内申请领取烟草专卖零售许可证的;</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rPr>
        <w:t>（四）</w:t>
      </w:r>
      <w:r>
        <w:rPr>
          <w:rFonts w:hint="eastAsia" w:ascii="仿宋_GB2312" w:hAnsi="仿宋_GB2312" w:eastAsia="仿宋_GB2312" w:cs="仿宋_GB2312"/>
          <w:sz w:val="32"/>
          <w:szCs w:val="32"/>
        </w:rPr>
        <w:t>外商投资的商业企业或者个体工商户，但有外资成分以提供住宿、餐饮、休闲、娱乐为主要经营的宾馆、酒店等属于娱乐服务类的企业除外;</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rPr>
        <w:t>（五）</w:t>
      </w:r>
      <w:r>
        <w:rPr>
          <w:rFonts w:hint="eastAsia" w:ascii="仿宋_GB2312" w:hAnsi="仿宋_GB2312" w:eastAsia="仿宋_GB2312" w:cs="仿宋_GB2312"/>
          <w:sz w:val="32"/>
          <w:szCs w:val="32"/>
        </w:rPr>
        <w:t>无固定经营场所的：包括但不限于流动的摊、点、车、棚、简易板房、活动板房、临时占道的建筑等；</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rPr>
        <w:t>（六）</w:t>
      </w:r>
      <w:r>
        <w:rPr>
          <w:rFonts w:hint="eastAsia" w:ascii="仿宋_GB2312" w:hAnsi="仿宋_GB2312" w:eastAsia="仿宋_GB2312" w:cs="仿宋_GB2312"/>
          <w:sz w:val="32"/>
          <w:szCs w:val="32"/>
        </w:rPr>
        <w:t>经营场所与住所不相独立的：包括但不限于经营场所为住所的客厅、餐厅、卧室、阳台、地下室、车库、储藏室等或居民楼内公用道、楼梯间等；</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rPr>
        <w:t>（七）</w:t>
      </w:r>
      <w:r>
        <w:rPr>
          <w:rFonts w:hint="eastAsia" w:ascii="仿宋_GB2312" w:hAnsi="仿宋_GB2312" w:eastAsia="仿宋_GB2312" w:cs="仿宋_GB2312"/>
          <w:sz w:val="32"/>
          <w:szCs w:val="32"/>
        </w:rPr>
        <w:t>经营场所已经办理了仍在有效期内的烟草专卖零售许可证的；经营场所位于党政机关内部的；经营场所基于安全因素不适宜经营卷烟的；</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rPr>
        <w:t>（八）</w:t>
      </w:r>
      <w:r>
        <w:rPr>
          <w:rFonts w:hint="eastAsia" w:ascii="仿宋_GB2312" w:hAnsi="仿宋_GB2312" w:eastAsia="仿宋_GB2312" w:cs="仿宋_GB2312"/>
          <w:sz w:val="32"/>
          <w:szCs w:val="32"/>
        </w:rPr>
        <w:t>易门县辖区内中小学、幼儿园学生正常出入的校门口（含通道）</w:t>
      </w:r>
      <w:r>
        <w:rPr>
          <w:rFonts w:hint="default" w:ascii="Times New Roman" w:hAnsi="Times New Roman" w:eastAsia="仿宋_GB2312" w:cs="Times New Roman"/>
          <w:sz w:val="32"/>
          <w:szCs w:val="32"/>
        </w:rPr>
        <w:t>50</w:t>
      </w:r>
      <w:r>
        <w:rPr>
          <w:rFonts w:hint="eastAsia" w:ascii="仿宋_GB2312" w:hAnsi="仿宋_GB2312" w:eastAsia="仿宋_GB2312" w:cs="仿宋_GB2312"/>
          <w:sz w:val="32"/>
          <w:szCs w:val="32"/>
        </w:rPr>
        <w:t>米以内；</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rPr>
        <w:t>（九）</w:t>
      </w:r>
      <w:r>
        <w:rPr>
          <w:rFonts w:hint="eastAsia" w:ascii="仿宋_GB2312" w:hAnsi="仿宋_GB2312" w:eastAsia="仿宋_GB2312" w:cs="仿宋_GB2312"/>
          <w:sz w:val="32"/>
          <w:szCs w:val="32"/>
        </w:rPr>
        <w:t>利用自动售货机或者其他自动售货形式，销售或者变相销售烟草制品的，或者通过信息网络销售烟草专卖品的;</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rPr>
        <w:t>（十）</w:t>
      </w:r>
      <w:r>
        <w:rPr>
          <w:rFonts w:hint="eastAsia" w:ascii="仿宋_GB2312" w:hAnsi="仿宋_GB2312" w:eastAsia="仿宋_GB2312" w:cs="仿宋_GB2312"/>
          <w:sz w:val="32"/>
          <w:szCs w:val="32"/>
        </w:rPr>
        <w:t>经营业态存在容易诱导未成年人关注、购买、吸食卷烟或其他不利于未成年人保护的；经营业态专业性较强，且与烟草制品零售业务没有直接或间接互补营销关系的；</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rPr>
        <w:t>（十一）</w:t>
      </w:r>
      <w:r>
        <w:rPr>
          <w:rFonts w:hint="eastAsia" w:ascii="仿宋_GB2312" w:hAnsi="仿宋_GB2312" w:eastAsia="仿宋_GB2312" w:cs="仿宋_GB2312"/>
          <w:sz w:val="32"/>
          <w:szCs w:val="32"/>
        </w:rPr>
        <w:t>法律、法规、规章、规范性文件等规定的其他不予许可的情形。</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优抚对象、社会弱势群体等特殊群体申请零售许可证的，受所在单元网格规划数限制，零售点间距可放宽至本单元网格间距标准的80%执行。本规定政策，同一特殊群体申请人在云南省内仅适用一次。</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烈士家属、因公牺牲军人家属；见义勇为牺牲人员家属。（本条中的家属包括父母、子女、配偶。）</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符合以下条件之一，具有从事烟草专卖零售经营业务相应能力，且具有完全民事行为能力的残疾人：</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视力残疾：一级盲、二级盲；</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听力残疾：一级、二级；言语残疾：一级、二级；</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肢体残疾：重度（一级）、中度（二级）。</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国家明文给予政策扶持，确实具有需要扶持照顾的其他特殊情况的优抚对象，经属地烟草专卖局集体研究并向上级烟草专卖局报备，可以放宽办证条件。</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申请人应提交合法有效的证明文件。</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因道路规划、城市建设等客观原因，造成持证人无法在原核定地址经营之日起三十日内，持证人申请变更到本单元网格内新址经营的，不受所在单元网格规划数限制，零售点间距可放宽至本单元网格间距标准的</w:t>
      </w:r>
      <w:r>
        <w:rPr>
          <w:rFonts w:hint="default" w:ascii="Times New Roman" w:hAnsi="Times New Roman" w:eastAsia="仿宋_GB2312" w:cs="Times New Roman"/>
          <w:sz w:val="32"/>
          <w:szCs w:val="32"/>
        </w:rPr>
        <w:t>40%</w:t>
      </w:r>
      <w:r>
        <w:rPr>
          <w:rFonts w:hint="eastAsia" w:ascii="仿宋_GB2312" w:hAnsi="仿宋_GB2312" w:eastAsia="仿宋_GB2312" w:cs="仿宋_GB2312"/>
          <w:sz w:val="32"/>
          <w:szCs w:val="32"/>
        </w:rPr>
        <w:t>执行。</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申请变更到本县其他单元网格的，受所在单元网格规划数限制，零售点间距可放宽至本单元网格间距标准的</w:t>
      </w:r>
      <w:r>
        <w:rPr>
          <w:rFonts w:hint="default" w:ascii="Times New Roman" w:hAnsi="Times New Roman" w:eastAsia="仿宋_GB2312" w:cs="Times New Roman"/>
          <w:sz w:val="32"/>
          <w:szCs w:val="32"/>
        </w:rPr>
        <w:t>80%</w:t>
      </w:r>
      <w:r>
        <w:rPr>
          <w:rFonts w:hint="eastAsia" w:ascii="仿宋_GB2312" w:hAnsi="仿宋_GB2312" w:eastAsia="仿宋_GB2312" w:cs="仿宋_GB2312"/>
          <w:sz w:val="32"/>
          <w:szCs w:val="32"/>
        </w:rPr>
        <w:t>执行。</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因中小学及幼儿园新建、改扩建等客观原因，造成持证人无法在原核定地址经营之日起三十日内，持证人申请歇业并在原单元网格内新址申请新办的，不受所在单元网格规划数限制，零售点间距可放宽至本单元网格间距标准的</w:t>
      </w:r>
      <w:r>
        <w:rPr>
          <w:rFonts w:hint="default" w:ascii="Times New Roman" w:hAnsi="Times New Roman" w:eastAsia="仿宋_GB2312" w:cs="Times New Roman"/>
          <w:sz w:val="32"/>
          <w:szCs w:val="32"/>
        </w:rPr>
        <w:t>40%</w:t>
      </w:r>
      <w:r>
        <w:rPr>
          <w:rFonts w:hint="eastAsia" w:ascii="仿宋_GB2312" w:hAnsi="仿宋_GB2312" w:eastAsia="仿宋_GB2312" w:cs="仿宋_GB2312"/>
          <w:sz w:val="32"/>
          <w:szCs w:val="32"/>
        </w:rPr>
        <w:t>执行。</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在本县其他单元网格申请新办的，受所在单元网格规划数限制，间距标准可放宽至本单元网格间距标准的</w:t>
      </w:r>
      <w:r>
        <w:rPr>
          <w:rFonts w:hint="default" w:ascii="Times New Roman" w:hAnsi="Times New Roman" w:eastAsia="仿宋_GB2312" w:cs="Times New Roman"/>
          <w:sz w:val="32"/>
          <w:szCs w:val="32"/>
        </w:rPr>
        <w:t>80%</w:t>
      </w:r>
      <w:r>
        <w:rPr>
          <w:rFonts w:hint="eastAsia" w:ascii="仿宋_GB2312" w:hAnsi="仿宋_GB2312" w:eastAsia="仿宋_GB2312" w:cs="仿宋_GB2312"/>
          <w:sz w:val="32"/>
          <w:szCs w:val="32"/>
        </w:rPr>
        <w:t>执行。</w:t>
      </w:r>
    </w:p>
    <w:p>
      <w:pPr>
        <w:keepNext w:val="0"/>
        <w:keepLines w:val="0"/>
        <w:pageBreakBefore w:val="0"/>
        <w:widowControl/>
        <w:kinsoku/>
        <w:wordWrap w:val="0"/>
        <w:overflowPunct/>
        <w:topLinePunct w:val="0"/>
        <w:autoSpaceDE w:val="0"/>
        <w:autoSpaceDN w:val="0"/>
        <w:bidi w:val="0"/>
        <w:adjustRightInd w:val="0"/>
        <w:snapToGrid w:val="0"/>
        <w:spacing w:line="368" w:lineRule="auto"/>
        <w:ind w:firstLine="640" w:firstLineChars="200"/>
        <w:jc w:val="center"/>
        <w:textAlignment w:val="baseline"/>
        <w:rPr>
          <w:rFonts w:hint="eastAsia" w:ascii="黑体" w:hAnsi="黑体" w:eastAsia="黑体" w:cs="黑体"/>
          <w:sz w:val="32"/>
          <w:szCs w:val="32"/>
        </w:rPr>
      </w:pPr>
      <w:r>
        <w:rPr>
          <w:rFonts w:hint="eastAsia" w:ascii="黑体" w:hAnsi="黑体" w:eastAsia="黑体" w:cs="黑体"/>
          <w:sz w:val="32"/>
          <w:szCs w:val="32"/>
        </w:rPr>
        <w:t>第五章 附则</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本规划实施后，如遇相关法律、法规、规章及规范性文件调整的，根据最新规定进行调整，及时报相关部门备案后公布实施。</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本县零售点合理布局实行定期评价、动态管理。每季度根据本地经济发展、城乡建设、市场形势等变化情况进行调整并公示后实施。动态调整规则详见《云南省易门县烟草制品零售点合理布局规划数动态调整管理制度》（附件5）。</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xml:space="preserve"> 对暂不符合本布局规划条件的申请人，实行排队轮候制度。排队轮候制度详见《云南省易门县烟草制品零售点排队轮候制度》（附件</w:t>
      </w:r>
      <w:r>
        <w:rPr>
          <w:rFonts w:hint="default" w:ascii="Times New Roman" w:hAnsi="Times New Roman" w:eastAsia="仿宋_GB2312" w:cs="Times New Roman"/>
          <w:sz w:val="32"/>
          <w:szCs w:val="32"/>
        </w:rPr>
        <w:t>6</w:t>
      </w:r>
      <w:r>
        <w:rPr>
          <w:rFonts w:hint="eastAsia" w:ascii="仿宋_GB2312" w:hAnsi="仿宋_GB2312" w:eastAsia="仿宋_GB2312" w:cs="仿宋_GB2312"/>
          <w:sz w:val="32"/>
          <w:szCs w:val="32"/>
        </w:rPr>
        <w:t>）。</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符合第十七条、第十八条情形且不受单元网格规划数限制的，申请人不实行排队轮候制度。</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xml:space="preserve"> 本规划中所称“中小学校”是指普通中小学校、特殊教育学校、中等职业学校、专门学校等。“幼儿园”是指经教育行政主管部门依法批准的公办和民办全日制、寄宿制、半日制幼儿园及小学附设的学前班、幼儿班等。各类培训教育机构、托管班、早教班等除外。</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 xml:space="preserve"> 本规划中“以上”“不低于”“不超过”“以内”等，如无特殊说明均包括本数。</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sz w:val="32"/>
          <w:szCs w:val="32"/>
        </w:rPr>
        <w:t xml:space="preserve"> 本规划中按照年、月、日计算期间的，开始的当日不计入，自下一日开始计算。均以工作日计算，不含法定节假日。</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rPr>
        <w:t xml:space="preserve"> 本规划由云南省易门县烟草专卖局负责解释。</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sz w:val="32"/>
          <w:szCs w:val="32"/>
        </w:rPr>
        <w:t xml:space="preserve"> 本规划自</w:t>
      </w:r>
      <w:r>
        <w:rPr>
          <w:rFonts w:hint="default" w:ascii="Times New Roman" w:hAnsi="Times New Roman" w:eastAsia="仿宋_GB2312" w:cs="Times New Roman"/>
          <w:sz w:val="32"/>
          <w:szCs w:val="32"/>
        </w:rPr>
        <w:t>2025</w:t>
      </w:r>
      <w:r>
        <w:rPr>
          <w:rFonts w:hint="eastAsia" w:ascii="仿宋_GB2312" w:hAnsi="仿宋_GB2312" w:eastAsia="仿宋_GB2312" w:cs="仿宋_GB2312"/>
          <w:sz w:val="32"/>
          <w:szCs w:val="32"/>
        </w:rPr>
        <w:t>年</w:t>
      </w:r>
      <w:r>
        <w:rPr>
          <w:rFonts w:hint="default" w:ascii="Times New Roman" w:hAnsi="Times New Roman" w:eastAsia="仿宋_GB2312" w:cs="Times New Roman"/>
          <w:sz w:val="32"/>
          <w:szCs w:val="32"/>
        </w:rPr>
        <w:t>11</w:t>
      </w:r>
      <w:r>
        <w:rPr>
          <w:rFonts w:hint="eastAsia" w:ascii="仿宋_GB2312" w:hAnsi="仿宋_GB2312" w:eastAsia="仿宋_GB2312" w:cs="仿宋_GB2312"/>
          <w:sz w:val="32"/>
          <w:szCs w:val="32"/>
        </w:rPr>
        <w:t>月</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日施行。</w:t>
      </w: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年</w:t>
      </w:r>
      <w:r>
        <w:rPr>
          <w:rFonts w:hint="default" w:ascii="Times New Roman" w:hAnsi="Times New Roman" w:eastAsia="仿宋_GB2312" w:cs="Times New Roman"/>
          <w:sz w:val="32"/>
          <w:szCs w:val="32"/>
        </w:rPr>
        <w:t>12</w:t>
      </w:r>
      <w:r>
        <w:rPr>
          <w:rFonts w:hint="eastAsia" w:ascii="仿宋_GB2312" w:hAnsi="仿宋_GB2312" w:eastAsia="仿宋_GB2312" w:cs="仿宋_GB2312"/>
          <w:sz w:val="32"/>
          <w:szCs w:val="32"/>
        </w:rPr>
        <w:t>月</w:t>
      </w:r>
      <w:r>
        <w:rPr>
          <w:rFonts w:hint="default" w:ascii="Times New Roman" w:hAnsi="Times New Roman" w:eastAsia="仿宋_GB2312" w:cs="Times New Roman"/>
          <w:sz w:val="32"/>
          <w:szCs w:val="32"/>
        </w:rPr>
        <w:t>30</w:t>
      </w:r>
      <w:r>
        <w:rPr>
          <w:rFonts w:hint="eastAsia" w:ascii="仿宋_GB2312" w:hAnsi="仿宋_GB2312" w:eastAsia="仿宋_GB2312" w:cs="仿宋_GB2312"/>
          <w:sz w:val="32"/>
          <w:szCs w:val="32"/>
        </w:rPr>
        <w:t>日起实施的《云南省易门县烟草制品零售点合理布局规定》（易烟专〔</w:t>
      </w: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14</w:t>
      </w:r>
      <w:r>
        <w:rPr>
          <w:rFonts w:hint="eastAsia" w:ascii="仿宋_GB2312" w:hAnsi="仿宋_GB2312" w:eastAsia="仿宋_GB2312" w:cs="仿宋_GB2312"/>
          <w:sz w:val="32"/>
          <w:szCs w:val="32"/>
        </w:rPr>
        <w:t>号）同时废止。</w:t>
      </w:r>
    </w:p>
    <w:p>
      <w:pPr>
        <w:keepNext w:val="0"/>
        <w:keepLines w:val="0"/>
        <w:pageBreakBefore w:val="0"/>
        <w:widowControl/>
        <w:kinsoku/>
        <w:wordWrap w:val="0"/>
        <w:overflowPunct/>
        <w:topLinePunct w:val="0"/>
        <w:autoSpaceDE w:val="0"/>
        <w:autoSpaceDN w:val="0"/>
        <w:bidi w:val="0"/>
        <w:adjustRightInd w:val="0"/>
        <w:snapToGrid w:val="0"/>
        <w:spacing w:line="368" w:lineRule="auto"/>
        <w:ind w:firstLine="640" w:firstLineChars="200"/>
        <w:textAlignment w:val="baseline"/>
        <w:rPr>
          <w:rFonts w:hint="eastAsia" w:ascii="仿宋_GB2312" w:hAnsi="仿宋_GB2312" w:eastAsia="仿宋_GB2312" w:cs="仿宋_GB2312"/>
          <w:sz w:val="32"/>
          <w:szCs w:val="32"/>
        </w:rPr>
      </w:pP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eastAsia" w:ascii="仿宋_GB2312" w:hAnsi="仿宋_GB2312" w:eastAsia="仿宋_GB2312" w:cs="仿宋_GB2312"/>
          <w:sz w:val="32"/>
          <w:szCs w:val="32"/>
        </w:rPr>
        <w:t>云南省易门县烟草制品零售点间距测量规则及标</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1600" w:firstLineChars="5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准</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1552" w:firstLineChars="485"/>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w:t>
      </w:r>
      <w:r>
        <w:rPr>
          <w:rFonts w:hint="eastAsia" w:ascii="仿宋_GB2312" w:hAnsi="仿宋_GB2312" w:eastAsia="仿宋_GB2312" w:cs="仿宋_GB2312"/>
          <w:sz w:val="32"/>
          <w:szCs w:val="32"/>
        </w:rPr>
        <w:t>云南省易门县烟草制品零售点合理布局公示表</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1552" w:firstLineChars="485"/>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云南省易门县烟草制品零售点合理布局规划网格</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1552" w:firstLineChars="48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示意图</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1552" w:firstLineChars="485"/>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云南省易门县雪茄烟专营店零售点合理布局公示</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1552" w:firstLineChars="48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1552" w:firstLineChars="485"/>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云南省易门县烟草制品零售点合理布局规</w:t>
      </w:r>
      <w:bookmarkStart w:id="0" w:name="_GoBack"/>
      <w:bookmarkEnd w:id="0"/>
      <w:r>
        <w:rPr>
          <w:rFonts w:hint="eastAsia" w:ascii="仿宋_GB2312" w:hAnsi="仿宋_GB2312" w:eastAsia="仿宋_GB2312" w:cs="仿宋_GB2312"/>
          <w:sz w:val="32"/>
          <w:szCs w:val="32"/>
        </w:rPr>
        <w:t>划数动</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1552" w:firstLineChars="48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调整管理制度</w:t>
      </w:r>
    </w:p>
    <w:p>
      <w:pPr>
        <w:keepNext w:val="0"/>
        <w:keepLines w:val="0"/>
        <w:pageBreakBefore w:val="0"/>
        <w:widowControl/>
        <w:kinsoku/>
        <w:wordWrap w:val="0"/>
        <w:overflowPunct/>
        <w:topLinePunct w:val="0"/>
        <w:autoSpaceDE w:val="0"/>
        <w:autoSpaceDN w:val="0"/>
        <w:bidi w:val="0"/>
        <w:adjustRightInd w:val="0"/>
        <w:snapToGrid w:val="0"/>
        <w:spacing w:line="560" w:lineRule="exact"/>
        <w:ind w:firstLine="1552" w:firstLineChars="485"/>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6.</w:t>
      </w:r>
      <w:r>
        <w:rPr>
          <w:rFonts w:hint="eastAsia" w:ascii="仿宋_GB2312" w:hAnsi="仿宋_GB2312" w:eastAsia="仿宋_GB2312" w:cs="仿宋_GB2312"/>
          <w:sz w:val="32"/>
          <w:szCs w:val="32"/>
        </w:rPr>
        <w:t>云南省易门县烟草制品零售点排队轮候制度</w:t>
      </w:r>
    </w:p>
    <w:sectPr>
      <w:footerReference r:id="rId5" w:type="default"/>
      <w:pgSz w:w="11906" w:h="16838"/>
      <w:pgMar w:top="2041" w:right="1474" w:bottom="1304" w:left="1587" w:header="1361" w:footer="1191" w:gutter="0"/>
      <w:pgNumType w:fmt="decimal" w:start="1"/>
      <w:cols w:space="0" w:num="1"/>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5510A"/>
    <w:rsid w:val="06171A91"/>
    <w:rsid w:val="27F5199F"/>
    <w:rsid w:val="64E5510A"/>
    <w:rsid w:val="DBAA1DEB"/>
    <w:rsid w:val="E2FD4A83"/>
    <w:rsid w:val="FBFD9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3471</Words>
  <Characters>3504</Characters>
  <Lines>0</Lines>
  <Paragraphs>0</Paragraphs>
  <TotalTime>29</TotalTime>
  <ScaleCrop>false</ScaleCrop>
  <LinksUpToDate>false</LinksUpToDate>
  <CharactersWithSpaces>3534</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2025-08-27T01:38:00Z</dcterms:created>
  <dc:creator>Sususuda</dc:creator>
  <cp:lastModifiedBy>user</cp:lastModifiedBy>
  <dcterms:modified xsi:type="dcterms:W3CDTF">2025-08-28T17:37:12Z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5776ACECEA704267BB63A90F93645411_11</vt:lpwstr>
  </property>
  <property fmtid="{D5CDD505-2E9C-101B-9397-08002B2CF9AE}" pid="4" name="KSOTemplateDocerSaveRecord">
    <vt:lpwstr>eyJoZGlkIjoiOTg5YmJmMGFkYThhMGQ0OTJmOTFkNWRmYTY1YmFjOTkiLCJ1c2VySWQiOiIyMzYyMzIwNzAifQ==</vt:lpwstr>
  </property>
</Properties>
</file>