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17924">
      <w:pPr>
        <w:keepNext w:val="0"/>
        <w:keepLines w:val="0"/>
        <w:pageBreakBefore w:val="0"/>
        <w:widowControl/>
        <w:kinsoku/>
        <w:wordWrap w:val="0"/>
        <w:overflowPunct/>
        <w:topLinePunct w:val="0"/>
        <w:autoSpaceDE w:val="0"/>
        <w:autoSpaceDN w:val="0"/>
        <w:bidi w:val="0"/>
        <w:adjustRightInd w:val="0"/>
        <w:snapToGrid w:val="0"/>
        <w:spacing w:line="368" w:lineRule="auto"/>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云南省易门县烟草制品零售点合理布局规划</w:t>
      </w:r>
    </w:p>
    <w:p w14:paraId="281E8169">
      <w:pPr>
        <w:keepNext w:val="0"/>
        <w:keepLines w:val="0"/>
        <w:pageBreakBefore w:val="0"/>
        <w:widowControl/>
        <w:kinsoku/>
        <w:wordWrap w:val="0"/>
        <w:overflowPunct/>
        <w:topLinePunct w:val="0"/>
        <w:autoSpaceDE w:val="0"/>
        <w:autoSpaceDN w:val="0"/>
        <w:bidi w:val="0"/>
        <w:adjustRightInd w:val="0"/>
        <w:snapToGrid w:val="0"/>
        <w:spacing w:line="368" w:lineRule="auto"/>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（草案）</w:t>
      </w:r>
    </w:p>
    <w:p w14:paraId="404B2C6C">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jc w:val="center"/>
        <w:textAlignment w:val="baseline"/>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第一章总则</w:t>
      </w:r>
    </w:p>
    <w:p w14:paraId="3ECC3C79">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第一条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为深入推进“放管服”改革，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易门县实际，制定本规划。</w:t>
      </w:r>
    </w:p>
    <w:p w14:paraId="38FBFCEC">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本规划适用于云南省易门县行政辖区范围内烟草制品零售点的布局管理。电子烟零售点布局按照《云南省电子烟零售点布局规划》执行。</w:t>
      </w:r>
    </w:p>
    <w:p w14:paraId="1464B172">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第三条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本规划所称烟草制品零售点（以下简称零售点）是指依法取得烟草专卖零售许可证（以下简称零售许可证）的公民、法人或其他组织从事烟草制品零售业务的经营场所。</w:t>
      </w:r>
    </w:p>
    <w:p w14:paraId="01F9BE3F">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14:paraId="3BD1A839">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第四条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本规划遵循依法行政、科学规划、服务社会、均衡发展原则，综合辖区内人口数量、交通状况、经济发展水平、消费能力等因素，对零售点进行科学合理的规划布局。</w:t>
      </w:r>
    </w:p>
    <w:p w14:paraId="77EEAFA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jc w:val="center"/>
        <w:textAlignment w:val="baseline"/>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第二章 零售点布局标准</w:t>
      </w:r>
    </w:p>
    <w:p w14:paraId="328B88D6">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第五条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本章适用于经营范围除“仅为雪茄烟零售”以外的卷烟、雪茄烟、消费类烟丝的零售点布局管理。</w:t>
      </w:r>
    </w:p>
    <w:p w14:paraId="6D0576CD">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第六条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零售点布局采用数量限制、距离限制、数量限制与距离限制相结合以及不予设置烟草制品零售点等布局标准。</w:t>
      </w:r>
    </w:p>
    <w:p w14:paraId="70600DF2">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第七条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根据地域面积、人口数量、交通状况、经济发展水平、居民消费能力、消费购买习惯等因素，合理确定区域零售点规划数，并划定最小单元网格。单元网格零售点规划数是指最小单元网格内可设置零售点的数量。总量规划数是指易门县辖区范围内所有单元网格零售点规划数之和。</w:t>
      </w:r>
    </w:p>
    <w:p w14:paraId="214A998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除本规划规定的特殊区域外，单元网格内零售点数量达到规划数时，该单元网格不予新设零售点。</w:t>
      </w:r>
    </w:p>
    <w:p w14:paraId="063CC827">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第八条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易门县烟草制品零售点间距测量规则及标准》（附件</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w:t>
      </w:r>
    </w:p>
    <w:p w14:paraId="2F71C778">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第九条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汽车站、旅游景区等相对封闭的内部等候区，可设置1个零售点，不受单元网格规划数及总量规划数限制。</w:t>
      </w:r>
    </w:p>
    <w:p w14:paraId="4083F82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部队、监狱、看守所、戒毒所等封闭式特殊区域，可设置</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个零售点，不受单元网格规划数及总量规划数限制。</w:t>
      </w:r>
    </w:p>
    <w:p w14:paraId="279D9B7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高速公路单侧加油站（含服务区）,可设置</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个零售点，不受单元网格规划数及总量规划数限制。</w:t>
      </w:r>
    </w:p>
    <w:p w14:paraId="1CB8E3AB">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第十一条</w:t>
      </w:r>
      <w:r>
        <w:rPr>
          <w:rFonts w:hint="eastAsia" w:ascii="方正仿宋_GBK" w:hAnsi="方正仿宋_GBK" w:eastAsia="方正仿宋_GBK" w:cs="方正仿宋_GBK"/>
          <w:sz w:val="32"/>
          <w:szCs w:val="32"/>
        </w:rPr>
        <w:t xml:space="preserve"> 本县零售点合理布局规划数及规划区域、单元网格等情况详见《云南省易门县烟草制品零售点合理布局公示表》（附件</w:t>
      </w: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）及《云南省易门县烟草制品零售点合理布局网格示意图》（附件</w:t>
      </w: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w:t>
      </w:r>
    </w:p>
    <w:p w14:paraId="577A4874">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jc w:val="center"/>
        <w:textAlignment w:val="baseline"/>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第三章 雪茄烟专营店零售点布局标准</w:t>
      </w:r>
    </w:p>
    <w:p w14:paraId="00F09932">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第十二条</w:t>
      </w:r>
      <w:r>
        <w:rPr>
          <w:rFonts w:hint="eastAsia" w:ascii="方正仿宋_GBK" w:hAnsi="方正仿宋_GBK" w:eastAsia="方正仿宋_GBK" w:cs="方正仿宋_GBK"/>
          <w:sz w:val="32"/>
          <w:szCs w:val="32"/>
        </w:rPr>
        <w:t xml:space="preserve"> 本章适用于经营范围仅为雪茄烟本店零售的零售点布局管理。</w:t>
      </w:r>
    </w:p>
    <w:p w14:paraId="7EC60056">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第十三条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雪茄烟专营店零售点数量实行总量控制、动态调整模式，且不受其他烟草制品（含电子烟）零售点距离限制，规划数详见《云南省易门县雪茄烟专营店零售点合理布局公示表》（附件</w:t>
      </w: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w:t>
      </w:r>
    </w:p>
    <w:p w14:paraId="478B8B8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第十四条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取得雪茄烟本店零售许可的经营主体如需变更许可范围的，必须满足本规划及《云南省电子烟零售点布局规划》相关条件并按照有关规定办理。</w:t>
      </w:r>
    </w:p>
    <w:p w14:paraId="0AC54252">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jc w:val="center"/>
        <w:textAlignment w:val="baseline"/>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第四章 放宽及限制情形</w:t>
      </w:r>
    </w:p>
    <w:p w14:paraId="3FEE7EA1">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第十五条</w:t>
      </w:r>
      <w:r>
        <w:rPr>
          <w:rFonts w:hint="eastAsia" w:ascii="仿宋_GB2312" w:hAnsi="仿宋_GB2312" w:eastAsia="仿宋_GB2312" w:cs="仿宋_GB2312"/>
          <w:sz w:val="32"/>
          <w:szCs w:val="32"/>
        </w:rPr>
        <w:t xml:space="preserve"> 具有下列情形之一的，不予发放烟草专卖零售许可证：</w:t>
      </w:r>
    </w:p>
    <w:p w14:paraId="19183846">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（一）申请人是限制民事行为能力人或无民事行为能力人的；</w:t>
      </w:r>
    </w:p>
    <w:p w14:paraId="6B532D2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（二）申请人隐瞒有关情况或提供虚假材料的；因隐瞒有关情况或者提供虚假材料，烟草专卖局作出不予受理或者不予发证决定后，申请人一年内再次提出申请的;</w:t>
      </w:r>
    </w:p>
    <w:p w14:paraId="5B8FF902">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14:paraId="43CB150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（四）外商投资的商业企业或者个体工商户，但有外资成分以提供住宿、餐饮、休闲、娱乐为主要经营的宾馆、酒店等属于娱乐服务类的企业除外;</w:t>
      </w:r>
    </w:p>
    <w:p w14:paraId="7B3B3958">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（五）无固定经营场所的：包括但不限于流动的摊、点、车、棚、简易板房、活动板房、临时占道的建筑等；</w:t>
      </w:r>
    </w:p>
    <w:p w14:paraId="38DF8B8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（六）经营场所与住所不相独立的：包括但不限于经营场所为住所的客厅、餐厅、卧室、阳台、地下室、车库、储藏室等或居民楼内公用道、楼梯间等；</w:t>
      </w:r>
    </w:p>
    <w:p w14:paraId="25362441">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（七）经营场所已经办理了仍在有效期内的烟草专卖零售许可证的；经营场所位于党政机关内部的；经营场所基于安全因素不适宜经营卷烟的；</w:t>
      </w:r>
    </w:p>
    <w:p w14:paraId="346017F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（八）易门县辖区内中小学、幼儿园学生正常出入的校门口（含通道）</w:t>
      </w:r>
      <w:r>
        <w:rPr>
          <w:rFonts w:hint="default" w:ascii="Times New Roman" w:hAnsi="Times New Roman" w:eastAsia="仿宋_GB2312" w:cs="Times New Roman"/>
          <w:sz w:val="32"/>
          <w:szCs w:val="32"/>
        </w:rPr>
        <w:t>50</w:t>
      </w:r>
      <w:r>
        <w:rPr>
          <w:rFonts w:hint="eastAsia" w:ascii="仿宋_GB2312" w:hAnsi="仿宋_GB2312" w:eastAsia="仿宋_GB2312" w:cs="仿宋_GB2312"/>
          <w:sz w:val="32"/>
          <w:szCs w:val="32"/>
        </w:rPr>
        <w:t>米以内；</w:t>
      </w:r>
    </w:p>
    <w:p w14:paraId="2905332D">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（九）利用自动售货机或者其他自动售货形式，销售或者变相销售烟草制品的，或者通过信息网络销售烟草专卖品的;</w:t>
      </w:r>
    </w:p>
    <w:p w14:paraId="39887EAD">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（十）经营业态存在容易诱导未成年人关注、购买、吸食卷烟或其他不利于未成年人保护的；经营业态专业性较强，且与烟草制品零售业务没有直接或间接互补营销关系的；</w:t>
      </w:r>
    </w:p>
    <w:p w14:paraId="2A0E96E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（十一）法律、法规、规章、规范性文件等规定的其他不予许可的情形。</w:t>
      </w:r>
    </w:p>
    <w:p w14:paraId="18F94AA8">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第十六条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优抚对象、社会弱势群体等特殊群体申请零售许可证的，受所在单元网格规划数限制，零售点间距可放宽至本单元网格间距标准的</w:t>
      </w:r>
      <w:r>
        <w:rPr>
          <w:rFonts w:hint="default" w:ascii="Times New Roman" w:hAnsi="Times New Roman" w:eastAsia="方正仿宋_GBK" w:cs="Times New Roman"/>
          <w:sz w:val="32"/>
          <w:szCs w:val="32"/>
        </w:rPr>
        <w:t>80%</w:t>
      </w:r>
      <w:r>
        <w:rPr>
          <w:rFonts w:hint="eastAsia" w:ascii="方正仿宋_GBK" w:hAnsi="方正仿宋_GBK" w:eastAsia="方正仿宋_GBK" w:cs="方正仿宋_GBK"/>
          <w:sz w:val="32"/>
          <w:szCs w:val="32"/>
        </w:rPr>
        <w:t>执行。本规定政策，同一特殊群体申请人在云南省内仅适用一次。</w:t>
      </w:r>
    </w:p>
    <w:p w14:paraId="34004B91">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1.烈士家属、因公牺牲军人家属；见义勇为牺牲人员家属。（本条中的家属包括父母、子女、配偶。）</w:t>
      </w:r>
    </w:p>
    <w:p w14:paraId="3C6AD9C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2.符合以下条件之一，具有从事烟草专卖零售经营业务相应能力，且具有完全民事行为能力的残疾人：</w:t>
      </w:r>
    </w:p>
    <w:p w14:paraId="7233ACC7">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视力残疾：一级</w:t>
      </w:r>
      <w:r>
        <w:rPr>
          <w:rFonts w:hint="eastAsia" w:ascii="方正仿宋_GBK" w:hAnsi="方正仿宋_GBK" w:eastAsia="方正仿宋_GBK" w:cs="方正仿宋_GBK"/>
          <w:sz w:val="32"/>
          <w:szCs w:val="32"/>
          <w:lang w:val="en-US" w:eastAsia="zh-CN"/>
        </w:rPr>
        <w:t>盲</w:t>
      </w:r>
      <w:r>
        <w:rPr>
          <w:rFonts w:hint="eastAsia" w:ascii="方正仿宋_GBK" w:hAnsi="方正仿宋_GBK" w:eastAsia="方正仿宋_GBK" w:cs="方正仿宋_GBK"/>
          <w:sz w:val="32"/>
          <w:szCs w:val="32"/>
        </w:rPr>
        <w:t>、二级</w:t>
      </w:r>
      <w:r>
        <w:rPr>
          <w:rFonts w:hint="eastAsia" w:ascii="方正仿宋_GBK" w:hAnsi="方正仿宋_GBK" w:eastAsia="方正仿宋_GBK" w:cs="方正仿宋_GBK"/>
          <w:sz w:val="32"/>
          <w:szCs w:val="32"/>
          <w:lang w:val="en-US" w:eastAsia="zh-CN"/>
        </w:rPr>
        <w:t>盲</w:t>
      </w:r>
      <w:r>
        <w:rPr>
          <w:rFonts w:hint="eastAsia" w:ascii="方正仿宋_GBK" w:hAnsi="方正仿宋_GBK" w:eastAsia="方正仿宋_GBK" w:cs="方正仿宋_GBK"/>
          <w:sz w:val="32"/>
          <w:szCs w:val="32"/>
        </w:rPr>
        <w:t>；</w:t>
      </w:r>
    </w:p>
    <w:p w14:paraId="2EC75228">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听力残疾：一级、二级；</w:t>
      </w:r>
    </w:p>
    <w:p w14:paraId="7BCCBAC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言语残疾：一级、二级；</w:t>
      </w:r>
    </w:p>
    <w:p w14:paraId="5D4150F3">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肢体残疾：一级、二级。</w:t>
      </w:r>
    </w:p>
    <w:p w14:paraId="1BB2F75B">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3.国家明文给予政策扶持，确实具有需要扶持照顾的其他特殊情况的优抚对象，经属地烟草专卖局集体研究并向上级烟草专卖局报备，可以放宽办证条件。</w:t>
      </w:r>
    </w:p>
    <w:p w14:paraId="70B8F51C">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申请人应提交合法有效的证明文件。</w:t>
      </w:r>
    </w:p>
    <w:p w14:paraId="4DCA0EE5">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第十七条</w:t>
      </w:r>
      <w:r>
        <w:rPr>
          <w:rFonts w:hint="eastAsia" w:ascii="方正仿宋_GBK" w:hAnsi="方正仿宋_GBK" w:eastAsia="方正仿宋_GBK" w:cs="方正仿宋_GBK"/>
          <w:sz w:val="32"/>
          <w:szCs w:val="32"/>
        </w:rPr>
        <w:t xml:space="preserve"> 因道路规划、城市建设等客观原因，造成持证人无法在原核定地址经营之日起三十日内，持证人申请变更到本单元网格内新址经营的，不受所在单元网格规划数限制，零售点间距可放宽至本单元网格间距标准的</w:t>
      </w:r>
      <w:r>
        <w:rPr>
          <w:rFonts w:hint="default" w:ascii="Times New Roman" w:hAnsi="Times New Roman" w:eastAsia="方正仿宋_GBK" w:cs="Times New Roman"/>
          <w:sz w:val="32"/>
          <w:szCs w:val="32"/>
        </w:rPr>
        <w:t>40%</w:t>
      </w:r>
      <w:r>
        <w:rPr>
          <w:rFonts w:hint="eastAsia" w:ascii="方正仿宋_GBK" w:hAnsi="方正仿宋_GBK" w:eastAsia="方正仿宋_GBK" w:cs="方正仿宋_GBK"/>
          <w:sz w:val="32"/>
          <w:szCs w:val="32"/>
        </w:rPr>
        <w:t>执行。</w:t>
      </w:r>
    </w:p>
    <w:p w14:paraId="3E159CE6">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仿宋_GBK" w:hAnsi="方正仿宋_GBK" w:eastAsia="方正仿宋_GBK" w:cs="方正仿宋_GBK"/>
          <w:sz w:val="32"/>
          <w:szCs w:val="32"/>
        </w:rPr>
        <w:t>申请变更到本县其他单元网格的，受所在单元网格规划数限制，零售点间距可放宽至本单元网格间距标准的</w:t>
      </w:r>
      <w:r>
        <w:rPr>
          <w:rFonts w:hint="default" w:ascii="Times New Roman" w:hAnsi="Times New Roman" w:eastAsia="方正仿宋_GBK" w:cs="Times New Roman"/>
          <w:sz w:val="32"/>
          <w:szCs w:val="32"/>
        </w:rPr>
        <w:t>80%</w:t>
      </w:r>
      <w:r>
        <w:rPr>
          <w:rFonts w:hint="eastAsia" w:ascii="方正仿宋_GBK" w:hAnsi="方正仿宋_GBK" w:eastAsia="方正仿宋_GBK" w:cs="方正仿宋_GBK"/>
          <w:sz w:val="32"/>
          <w:szCs w:val="32"/>
        </w:rPr>
        <w:t>执行。</w:t>
      </w:r>
    </w:p>
    <w:p w14:paraId="60D7CE36">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第十八条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因中小学及幼儿园新建、改扩建等客观原因，造成持证人无法在原核定地址经营之日起三十日内，持证人申请歇业并在原单元网格内新址申请新办的，不受所在单元网格规划数限制，零售点间距可放宽至本单元网格间距标准的</w:t>
      </w:r>
      <w:r>
        <w:rPr>
          <w:rFonts w:hint="default" w:ascii="Times New Roman" w:hAnsi="Times New Roman" w:eastAsia="方正仿宋_GBK" w:cs="Times New Roman"/>
          <w:sz w:val="32"/>
          <w:szCs w:val="32"/>
        </w:rPr>
        <w:t>40%</w:t>
      </w:r>
      <w:r>
        <w:rPr>
          <w:rFonts w:hint="eastAsia" w:ascii="方正仿宋_GBK" w:hAnsi="方正仿宋_GBK" w:eastAsia="方正仿宋_GBK" w:cs="方正仿宋_GBK"/>
          <w:sz w:val="32"/>
          <w:szCs w:val="32"/>
        </w:rPr>
        <w:t>执行。</w:t>
      </w:r>
    </w:p>
    <w:p w14:paraId="327691D0">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在本县其他单元网格申请新办的，受所在单元网格规划数限制，间距标准可放宽至本单元网格间距标准的</w:t>
      </w:r>
      <w:r>
        <w:rPr>
          <w:rFonts w:hint="default" w:ascii="Times New Roman" w:hAnsi="Times New Roman" w:eastAsia="方正仿宋_GBK" w:cs="Times New Roman"/>
          <w:sz w:val="32"/>
          <w:szCs w:val="32"/>
        </w:rPr>
        <w:t>80%</w:t>
      </w:r>
      <w:r>
        <w:rPr>
          <w:rFonts w:hint="eastAsia" w:ascii="方正仿宋_GBK" w:hAnsi="方正仿宋_GBK" w:eastAsia="方正仿宋_GBK" w:cs="方正仿宋_GBK"/>
          <w:sz w:val="32"/>
          <w:szCs w:val="32"/>
        </w:rPr>
        <w:t>执行。</w:t>
      </w:r>
    </w:p>
    <w:p w14:paraId="0CC38D29">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jc w:val="center"/>
        <w:textAlignment w:val="baseline"/>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第五章 附则</w:t>
      </w:r>
    </w:p>
    <w:p w14:paraId="6C1E838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第十九条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本规划实施后，如遇相关法律、法规、规章及规范性文件调整的，根据最新规定进行调整，及时报相关部门备案后公布实施。</w:t>
      </w:r>
    </w:p>
    <w:p w14:paraId="2CF307CD">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第二十条</w:t>
      </w:r>
      <w:r>
        <w:rPr>
          <w:rFonts w:hint="eastAsia" w:ascii="仿宋_GB2312" w:hAnsi="仿宋_GB2312" w:eastAsia="仿宋_GB2312" w:cs="仿宋_GB2312"/>
          <w:sz w:val="32"/>
          <w:szCs w:val="32"/>
        </w:rPr>
        <w:t xml:space="preserve"> 本县零售点合理布局实行定期评价、动态管理。每季度根据本地经济发展、城乡建设、市场形势等变化情况进行调整并公示后实施。动态调整规则详见《云南省易门县烟草制品零售点合理布局规划数动态调整管理制度》（附件</w:t>
      </w:r>
      <w:r>
        <w:rPr>
          <w:rFonts w:hint="default" w:ascii="Times New Roman" w:hAnsi="Times New Roman" w:eastAsia="仿宋_GB2312" w:cs="Times New Roman"/>
          <w:sz w:val="32"/>
          <w:szCs w:val="32"/>
        </w:rPr>
        <w:t>5</w:t>
      </w:r>
      <w:r>
        <w:rPr>
          <w:rFonts w:hint="eastAsia" w:ascii="仿宋_GB2312" w:hAnsi="仿宋_GB2312" w:eastAsia="仿宋_GB2312" w:cs="仿宋_GB2312"/>
          <w:sz w:val="32"/>
          <w:szCs w:val="32"/>
        </w:rPr>
        <w:t>）。</w:t>
      </w:r>
    </w:p>
    <w:p w14:paraId="6F00068C">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第二十一条</w:t>
      </w:r>
      <w:r>
        <w:rPr>
          <w:rFonts w:hint="eastAsia" w:ascii="仿宋_GB2312" w:hAnsi="仿宋_GB2312" w:eastAsia="仿宋_GB2312" w:cs="仿宋_GB2312"/>
          <w:sz w:val="32"/>
          <w:szCs w:val="32"/>
        </w:rPr>
        <w:t xml:space="preserve"> 对暂不符合本布局规划条件的申请人，实行排队轮候制度。排队轮候制度详见《云南省易门县烟草制品零售点排队轮候制度》（附件</w:t>
      </w:r>
      <w:r>
        <w:rPr>
          <w:rFonts w:hint="default" w:ascii="Times New Roman" w:hAnsi="Times New Roman" w:eastAsia="仿宋_GB2312" w:cs="Times New Roman"/>
          <w:sz w:val="32"/>
          <w:szCs w:val="32"/>
        </w:rPr>
        <w:t>6</w:t>
      </w:r>
      <w:r>
        <w:rPr>
          <w:rFonts w:hint="eastAsia" w:ascii="仿宋_GB2312" w:hAnsi="仿宋_GB2312" w:eastAsia="仿宋_GB2312" w:cs="仿宋_GB2312"/>
          <w:sz w:val="32"/>
          <w:szCs w:val="32"/>
        </w:rPr>
        <w:t>）。</w:t>
      </w:r>
    </w:p>
    <w:p w14:paraId="03EFFE16">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符合第十七条、第十八条情形且不受单元网格规划数限制的，申请人不实行排队轮候制度。</w:t>
      </w:r>
    </w:p>
    <w:p w14:paraId="442F2D6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第二十二条</w:t>
      </w:r>
      <w:r>
        <w:rPr>
          <w:rFonts w:hint="eastAsia" w:ascii="仿宋_GB2312" w:hAnsi="仿宋_GB2312" w:eastAsia="仿宋_GB2312" w:cs="仿宋_GB2312"/>
          <w:sz w:val="32"/>
          <w:szCs w:val="32"/>
        </w:rPr>
        <w:t xml:space="preserve"> 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14:paraId="73C3BE23">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第二十三条</w:t>
      </w:r>
      <w:r>
        <w:rPr>
          <w:rFonts w:hint="eastAsia" w:ascii="仿宋_GB2312" w:hAnsi="仿宋_GB2312" w:eastAsia="仿宋_GB2312" w:cs="仿宋_GB2312"/>
          <w:sz w:val="32"/>
          <w:szCs w:val="32"/>
        </w:rPr>
        <w:t xml:space="preserve"> 本规划中“以上”“不低于”“不超过”“以内”等，如无特殊说明均包括本数。</w:t>
      </w:r>
    </w:p>
    <w:p w14:paraId="2C3B4A52">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第二十四条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本规划中按照年、月、日计算期间的，开始的当日不计入，自下一日开始计算。</w:t>
      </w:r>
    </w:p>
    <w:p w14:paraId="35471041">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val="0"/>
          <w:bCs w:val="0"/>
          <w:sz w:val="32"/>
          <w:szCs w:val="32"/>
        </w:rPr>
        <w:t>第二十五条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本规划由云南省易门县烟草专卖局负责解释。</w:t>
      </w:r>
    </w:p>
    <w:p w14:paraId="69783EE7">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r>
        <w:rPr>
          <w:rFonts w:hint="eastAsia" w:ascii="方正楷体_GBK" w:hAnsi="方正楷体_GBK" w:eastAsia="方正楷体_GBK" w:cs="方正楷体_GBK"/>
          <w:b w:val="0"/>
          <w:bCs w:val="0"/>
          <w:sz w:val="32"/>
          <w:szCs w:val="32"/>
        </w:rPr>
        <w:t>第二十六条</w:t>
      </w:r>
      <w:r>
        <w:rPr>
          <w:rFonts w:hint="eastAsia" w:ascii="仿宋_GB2312" w:hAnsi="仿宋_GB2312" w:eastAsia="仿宋_GB2312" w:cs="仿宋_GB2312"/>
          <w:sz w:val="32"/>
          <w:szCs w:val="32"/>
        </w:rPr>
        <w:t xml:space="preserve"> </w:t>
      </w:r>
      <w:r>
        <w:rPr>
          <w:rFonts w:hint="eastAsia" w:ascii="方正仿宋_GBK" w:hAnsi="方正仿宋_GBK" w:eastAsia="方正仿宋_GBK" w:cs="方正仿宋_GBK"/>
          <w:sz w:val="32"/>
          <w:szCs w:val="32"/>
        </w:rPr>
        <w:t>本规划自</w:t>
      </w:r>
      <w:r>
        <w:rPr>
          <w:rFonts w:hint="default" w:ascii="Times New Roman" w:hAnsi="Times New Roman" w:eastAsia="方正仿宋_GBK" w:cs="Times New Roman"/>
          <w:sz w:val="32"/>
          <w:szCs w:val="32"/>
        </w:rPr>
        <w:t>2025</w:t>
      </w:r>
      <w:r>
        <w:rPr>
          <w:rFonts w:hint="eastAsia" w:ascii="方正仿宋_GBK" w:hAnsi="方正仿宋_GBK" w:eastAsia="方正仿宋_GBK" w:cs="方正仿宋_GBK"/>
          <w:sz w:val="32"/>
          <w:szCs w:val="32"/>
        </w:rPr>
        <w:t>年</w:t>
      </w:r>
      <w:r>
        <w:rPr>
          <w:rFonts w:hint="default" w:ascii="Times New Roman" w:hAnsi="Times New Roman" w:eastAsia="方正仿宋_GBK" w:cs="Times New Roman"/>
          <w:sz w:val="32"/>
          <w:szCs w:val="32"/>
        </w:rPr>
        <w:t>11</w:t>
      </w:r>
      <w:r>
        <w:rPr>
          <w:rFonts w:hint="eastAsia" w:ascii="方正仿宋_GBK" w:hAnsi="方正仿宋_GBK" w:eastAsia="方正仿宋_GBK" w:cs="方正仿宋_GBK"/>
          <w:sz w:val="32"/>
          <w:szCs w:val="32"/>
        </w:rPr>
        <w:t>月</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日施行。</w:t>
      </w:r>
      <w:r>
        <w:rPr>
          <w:rFonts w:hint="default" w:ascii="Times New Roman" w:hAnsi="Times New Roman" w:eastAsia="方正仿宋_GBK" w:cs="Times New Roman"/>
          <w:sz w:val="32"/>
          <w:szCs w:val="32"/>
        </w:rPr>
        <w:t>2024</w:t>
      </w:r>
      <w:r>
        <w:rPr>
          <w:rFonts w:hint="eastAsia" w:ascii="方正仿宋_GBK" w:hAnsi="方正仿宋_GBK" w:eastAsia="方正仿宋_GBK" w:cs="方正仿宋_GBK"/>
          <w:sz w:val="32"/>
          <w:szCs w:val="32"/>
        </w:rPr>
        <w:t>年</w:t>
      </w:r>
      <w:r>
        <w:rPr>
          <w:rFonts w:hint="default" w:ascii="Times New Roman" w:hAnsi="Times New Roman" w:eastAsia="方正仿宋_GBK" w:cs="Times New Roman"/>
          <w:sz w:val="32"/>
          <w:szCs w:val="32"/>
        </w:rPr>
        <w:t>12</w:t>
      </w:r>
      <w:r>
        <w:rPr>
          <w:rFonts w:hint="eastAsia" w:ascii="方正仿宋_GBK" w:hAnsi="方正仿宋_GBK" w:eastAsia="方正仿宋_GBK" w:cs="方正仿宋_GBK"/>
          <w:sz w:val="32"/>
          <w:szCs w:val="32"/>
        </w:rPr>
        <w:t>月</w:t>
      </w:r>
      <w:r>
        <w:rPr>
          <w:rFonts w:hint="default" w:ascii="Times New Roman" w:hAnsi="Times New Roman" w:eastAsia="方正仿宋_GBK" w:cs="Times New Roman"/>
          <w:sz w:val="32"/>
          <w:szCs w:val="32"/>
        </w:rPr>
        <w:t>30</w:t>
      </w:r>
      <w:r>
        <w:rPr>
          <w:rFonts w:hint="eastAsia" w:ascii="方正仿宋_GBK" w:hAnsi="方正仿宋_GBK" w:eastAsia="方正仿宋_GBK" w:cs="方正仿宋_GBK"/>
          <w:sz w:val="32"/>
          <w:szCs w:val="32"/>
        </w:rPr>
        <w:t>日起实施的《云南省易门县烟草制品零售点合理布局规定》（易烟专</w:t>
      </w:r>
      <w:r>
        <w:rPr>
          <w:rFonts w:hint="default" w:ascii="Times New Roman" w:hAnsi="Times New Roman" w:eastAsia="方正仿宋_GBK" w:cs="Times New Roman"/>
          <w:sz w:val="32"/>
          <w:szCs w:val="32"/>
        </w:rPr>
        <w:t>〔2024〕14</w:t>
      </w:r>
      <w:r>
        <w:rPr>
          <w:rFonts w:hint="eastAsia" w:ascii="方正仿宋_GBK" w:hAnsi="方正仿宋_GBK" w:eastAsia="方正仿宋_GBK" w:cs="方正仿宋_GBK"/>
          <w:sz w:val="32"/>
          <w:szCs w:val="32"/>
        </w:rPr>
        <w:t>号）同时废止。</w:t>
      </w:r>
    </w:p>
    <w:p w14:paraId="79570CC9">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仿宋_GB2312" w:hAnsi="仿宋_GB2312" w:eastAsia="仿宋_GB2312" w:cs="仿宋_GB2312"/>
          <w:sz w:val="32"/>
          <w:szCs w:val="32"/>
        </w:rPr>
      </w:pPr>
    </w:p>
    <w:p w14:paraId="4F15325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w:t>
      </w:r>
    </w:p>
    <w:p w14:paraId="7FAE2CC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云南省易门县烟草制品零售点间距测量规则及标准</w:t>
      </w:r>
    </w:p>
    <w:p w14:paraId="55C1130B">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云南省易门县烟草制品零售点合理布局公示表</w:t>
      </w:r>
    </w:p>
    <w:p w14:paraId="5EF1E8F5">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hAnsi="方正仿宋_GBK" w:eastAsia="方正仿宋_GBK" w:cs="方正仿宋_GBK"/>
          <w:sz w:val="32"/>
          <w:szCs w:val="32"/>
        </w:rPr>
        <w:t>云南省易门县烟草制品零售点合理布局规划网格示意图</w:t>
      </w:r>
    </w:p>
    <w:p w14:paraId="7386B57A">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4.</w:t>
      </w:r>
      <w:r>
        <w:rPr>
          <w:rFonts w:hint="eastAsia" w:ascii="方正仿宋_GBK" w:hAnsi="方正仿宋_GBK" w:eastAsia="方正仿宋_GBK" w:cs="方正仿宋_GBK"/>
          <w:sz w:val="32"/>
          <w:szCs w:val="32"/>
        </w:rPr>
        <w:t>云南省易门县雪茄烟专营店零售点合理布局公示表</w:t>
      </w:r>
    </w:p>
    <w:p w14:paraId="27A10D74">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5.</w:t>
      </w:r>
      <w:r>
        <w:rPr>
          <w:rFonts w:hint="eastAsia" w:ascii="方正仿宋_GBK" w:hAnsi="方正仿宋_GBK" w:eastAsia="方正仿宋_GBK" w:cs="方正仿宋_GBK"/>
          <w:sz w:val="32"/>
          <w:szCs w:val="32"/>
        </w:rPr>
        <w:t>云南省易门县烟草制品零售点合理布局规划数动态调整管理制度</w:t>
      </w:r>
    </w:p>
    <w:p w14:paraId="741E589E">
      <w:pPr>
        <w:keepNext w:val="0"/>
        <w:keepLines w:val="0"/>
        <w:pageBreakBefore w:val="0"/>
        <w:widowControl/>
        <w:kinsoku/>
        <w:wordWrap w:val="0"/>
        <w:overflowPunct/>
        <w:topLinePunct w:val="0"/>
        <w:autoSpaceDE w:val="0"/>
        <w:autoSpaceDN w:val="0"/>
        <w:bidi w:val="0"/>
        <w:adjustRightInd w:val="0"/>
        <w:snapToGrid w:val="0"/>
        <w:spacing w:line="368" w:lineRule="auto"/>
        <w:ind w:firstLine="640" w:firstLineChars="200"/>
        <w:textAlignment w:val="baseline"/>
        <w:rPr>
          <w:rFonts w:hint="eastAsia" w:ascii="方正仿宋_GBK" w:hAnsi="方正仿宋_GBK" w:eastAsia="方正仿宋_GBK" w:cs="方正仿宋_GBK"/>
          <w:sz w:val="32"/>
          <w:szCs w:val="32"/>
        </w:rPr>
        <w:sectPr>
          <w:footerReference r:id="rId5" w:type="default"/>
          <w:pgSz w:w="11906" w:h="16838"/>
          <w:pgMar w:top="2098" w:right="1474" w:bottom="1984" w:left="1587" w:header="0" w:footer="1701" w:gutter="0"/>
          <w:pgNumType w:fmt="decimal" w:start="1"/>
          <w:cols w:space="0" w:num="1"/>
          <w:docGrid w:linePitch="0" w:charSpace="0"/>
        </w:sectPr>
      </w:pPr>
      <w:r>
        <w:rPr>
          <w:rFonts w:hint="default" w:ascii="Times New Roman" w:hAnsi="Times New Roman" w:eastAsia="方正仿宋_GBK" w:cs="Times New Roman"/>
          <w:sz w:val="32"/>
          <w:szCs w:val="32"/>
        </w:rPr>
        <w:t>6.</w:t>
      </w:r>
      <w:r>
        <w:rPr>
          <w:rFonts w:hint="eastAsia" w:ascii="方正仿宋_GBK" w:hAnsi="方正仿宋_GBK" w:eastAsia="方正仿宋_GBK" w:cs="方正仿宋_GBK"/>
          <w:sz w:val="32"/>
          <w:szCs w:val="32"/>
        </w:rPr>
        <w:t>云南省易门县烟草制品零售点排队轮候制度</w:t>
      </w:r>
    </w:p>
    <w:p w14:paraId="060BE362">
      <w:pPr>
        <w:kinsoku/>
        <w:spacing w:before="101" w:line="336" w:lineRule="auto"/>
        <w:ind w:firstLine="680" w:firstLineChars="200"/>
        <w:jc w:val="both"/>
        <w:rPr>
          <w:rFonts w:hint="default" w:ascii="Times New Roman" w:hAnsi="Times New Roman" w:eastAsia="方正黑体_GBK" w:cs="Times New Roman"/>
          <w:spacing w:val="10"/>
          <w:sz w:val="32"/>
          <w:szCs w:val="32"/>
          <w:lang w:eastAsia="zh-CN"/>
        </w:rPr>
      </w:pPr>
      <w:r>
        <w:rPr>
          <w:rFonts w:hint="eastAsia" w:ascii="方正黑体_GBK" w:hAnsi="方正黑体_GBK" w:eastAsia="方正黑体_GBK" w:cs="方正黑体_GBK"/>
          <w:spacing w:val="10"/>
          <w:sz w:val="32"/>
          <w:szCs w:val="32"/>
          <w:lang w:eastAsia="zh-CN"/>
        </w:rPr>
        <w:t>附件</w:t>
      </w:r>
      <w:r>
        <w:rPr>
          <w:rFonts w:hint="default" w:ascii="Times New Roman" w:hAnsi="Times New Roman" w:eastAsia="方正黑体_GBK" w:cs="Times New Roman"/>
          <w:spacing w:val="10"/>
          <w:sz w:val="32"/>
          <w:szCs w:val="32"/>
          <w:lang w:eastAsia="zh-CN"/>
        </w:rPr>
        <w:t>1</w:t>
      </w:r>
    </w:p>
    <w:p w14:paraId="111ECB9F">
      <w:pPr>
        <w:spacing w:line="317" w:lineRule="auto"/>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云南省易门县烟草制品零售点</w:t>
      </w:r>
    </w:p>
    <w:p w14:paraId="65763BE5">
      <w:pPr>
        <w:spacing w:line="317" w:lineRule="auto"/>
        <w:jc w:val="center"/>
        <w:rPr>
          <w:rFonts w:ascii="方正小标宋简体" w:eastAsia="方正小标宋简体"/>
          <w:sz w:val="44"/>
          <w:szCs w:val="44"/>
          <w:lang w:eastAsia="zh-CN"/>
        </w:rPr>
      </w:pPr>
      <w:r>
        <w:rPr>
          <w:rFonts w:hint="eastAsia" w:ascii="方正小标宋_GBK" w:hAnsi="方正小标宋_GBK" w:eastAsia="方正小标宋_GBK" w:cs="方正小标宋_GBK"/>
          <w:sz w:val="44"/>
          <w:szCs w:val="44"/>
          <w:lang w:eastAsia="zh-CN"/>
        </w:rPr>
        <w:t>间距测量规则及标准</w:t>
      </w:r>
    </w:p>
    <w:p w14:paraId="03E4B5AF">
      <w:pPr>
        <w:rPr>
          <w:lang w:eastAsia="zh-CN"/>
        </w:rPr>
      </w:pPr>
    </w:p>
    <w:p w14:paraId="781AA6DB">
      <w:pPr>
        <w:tabs>
          <w:tab w:val="left" w:pos="2723"/>
        </w:tabs>
        <w:spacing w:before="86" w:line="336" w:lineRule="auto"/>
        <w:ind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根据云南省易门县辖区实际情况，现明确《云南省易门县烟草制品零售点合理布局规划》第七条中有关的“零售点间距”测量规则及标准如下：</w:t>
      </w:r>
    </w:p>
    <w:p w14:paraId="318006D0">
      <w:pPr>
        <w:spacing w:before="86" w:line="336" w:lineRule="auto"/>
        <w:ind w:firstLine="640" w:firstLineChars="200"/>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一、测量规则</w:t>
      </w:r>
    </w:p>
    <w:p w14:paraId="179218BB">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（一）现场核查零售点间距的测量以“可安全步行最短距离”为总体原则，其他未穷尽列举的情形均参照本原则测量。</w:t>
      </w:r>
    </w:p>
    <w:p w14:paraId="5ACB7621">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（二）应当使用符合国家距离测量标准的测量工具。</w:t>
      </w:r>
    </w:p>
    <w:p w14:paraId="4A7FB2AB">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（三）“零售点间距”是指申请点与参照零售点（周边已设最近的零售点）之间按“门边到门边”原则进行测量。测量数据精确到小数点后一位，如“</w:t>
      </w:r>
      <w:r>
        <w:rPr>
          <w:rFonts w:hint="default" w:ascii="Times New Roman" w:hAnsi="Times New Roman" w:eastAsia="方正仿宋_GBK" w:cs="Times New Roman"/>
          <w:sz w:val="32"/>
          <w:szCs w:val="32"/>
          <w:lang w:eastAsia="zh-CN"/>
        </w:rPr>
        <w:t>30.0</w:t>
      </w:r>
      <w:r>
        <w:rPr>
          <w:rFonts w:hint="eastAsia" w:ascii="方正仿宋_GBK" w:hAnsi="方正仿宋_GBK" w:eastAsia="方正仿宋_GBK" w:cs="方正仿宋_GBK"/>
          <w:sz w:val="32"/>
          <w:szCs w:val="32"/>
          <w:lang w:eastAsia="zh-CN"/>
        </w:rPr>
        <w:t>米”或“</w:t>
      </w:r>
      <w:r>
        <w:rPr>
          <w:rFonts w:hint="default" w:ascii="Times New Roman" w:hAnsi="Times New Roman" w:eastAsia="方正仿宋_GBK" w:cs="Times New Roman"/>
          <w:sz w:val="32"/>
          <w:szCs w:val="32"/>
          <w:lang w:eastAsia="zh-CN"/>
        </w:rPr>
        <w:t>100.0</w:t>
      </w:r>
      <w:r>
        <w:rPr>
          <w:rFonts w:hint="eastAsia" w:ascii="方正仿宋_GBK" w:hAnsi="方正仿宋_GBK" w:eastAsia="方正仿宋_GBK" w:cs="方正仿宋_GBK"/>
          <w:sz w:val="32"/>
          <w:szCs w:val="32"/>
          <w:lang w:eastAsia="zh-CN"/>
        </w:rPr>
        <w:t>米”。</w:t>
      </w:r>
    </w:p>
    <w:p w14:paraId="1FF62C6E">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4213376D">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764224AA">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（六）政府有关部门在街道或道路中设置的行人隔离带（栏）、绿化带等视为障碍物，测量时应当按道路交通规则绕行。</w:t>
      </w:r>
    </w:p>
    <w:p w14:paraId="62858651">
      <w:pPr>
        <w:spacing w:line="336" w:lineRule="auto"/>
        <w:ind w:firstLine="640" w:firstLineChars="200"/>
        <w:rPr>
          <w:rFonts w:ascii="仿宋_GB2312" w:eastAsia="仿宋_GB2312"/>
          <w:sz w:val="32"/>
          <w:szCs w:val="32"/>
          <w:lang w:eastAsia="zh-CN"/>
        </w:rPr>
      </w:pPr>
      <w:r>
        <w:rPr>
          <w:rFonts w:hint="eastAsia" w:ascii="方正仿宋_GBK" w:hAnsi="方正仿宋_GBK" w:eastAsia="方正仿宋_GBK" w:cs="方正仿宋_GBK"/>
          <w:sz w:val="32"/>
          <w:szCs w:val="32"/>
          <w:lang w:eastAsia="zh-CN"/>
        </w:rPr>
        <w:t>（七）不视为障碍物的情形：在通行道路上临时设置的安全设施；临时放置的建筑材料、物品、车辆等；擅自设立、建造的建筑物、构筑物或其他物体等；以及因施工影响通行的围挡设施。</w:t>
      </w:r>
    </w:p>
    <w:p w14:paraId="377EB54E">
      <w:pPr>
        <w:spacing w:before="86" w:line="336" w:lineRule="auto"/>
        <w:ind w:firstLine="640" w:firstLineChars="200"/>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二、测量标准</w:t>
      </w:r>
    </w:p>
    <w:p w14:paraId="12FE500C">
      <w:pPr>
        <w:pStyle w:val="2"/>
        <w:spacing w:line="336" w:lineRule="auto"/>
        <w:ind w:right="2"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（一）店面同一侧无障碍物距离测量示意图，</w:t>
      </w:r>
      <w:r>
        <w:rPr>
          <w:rFonts w:hint="eastAsia" w:ascii="方正仿宋_GBK" w:hAnsi="方正仿宋_GBK" w:eastAsia="方正仿宋_GBK" w:cs="方正仿宋_GBK"/>
          <w:sz w:val="32"/>
          <w:szCs w:val="32"/>
          <w:lang w:eastAsia="zh-CN"/>
        </w:rPr>
        <w:t>申请点与参照零售点</w:t>
      </w:r>
      <w:r>
        <w:rPr>
          <w:rFonts w:hint="eastAsia" w:ascii="方正仿宋_GBK" w:hAnsi="方正仿宋_GBK" w:eastAsia="方正仿宋_GBK" w:cs="方正仿宋_GBK"/>
          <w:spacing w:val="10"/>
          <w:sz w:val="32"/>
          <w:szCs w:val="32"/>
          <w:lang w:eastAsia="zh-CN"/>
        </w:rPr>
        <w:t>间距。</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1</w:t>
      </w:r>
      <w:r>
        <w:rPr>
          <w:rFonts w:hint="eastAsia" w:ascii="方正仿宋_GBK" w:hAnsi="方正仿宋_GBK" w:eastAsia="方正仿宋_GBK" w:cs="方正仿宋_GBK"/>
          <w:spacing w:val="10"/>
          <w:sz w:val="32"/>
          <w:szCs w:val="32"/>
        </w:rPr>
        <w:t>）</w:t>
      </w:r>
    </w:p>
    <w:p w14:paraId="4151A69D">
      <w:pPr>
        <w:pStyle w:val="2"/>
        <w:spacing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905"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7471AF19">
      <w:pPr>
        <w:pStyle w:val="2"/>
        <w:spacing w:line="360" w:lineRule="auto"/>
        <w:ind w:left="420" w:leftChars="200" w:right="2" w:firstLine="680" w:firstLineChars="200"/>
        <w:jc w:val="center"/>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1</w:t>
      </w:r>
    </w:p>
    <w:p w14:paraId="485738A9">
      <w:pPr>
        <w:pStyle w:val="2"/>
        <w:spacing w:line="336" w:lineRule="auto"/>
        <w:ind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（二）店面同一侧有障碍物距离测量示意图，</w:t>
      </w:r>
      <w:r>
        <w:rPr>
          <w:rFonts w:hint="eastAsia" w:ascii="方正仿宋_GBK" w:hAnsi="方正仿宋_GBK" w:eastAsia="方正仿宋_GBK" w:cs="方正仿宋_GBK"/>
          <w:sz w:val="32"/>
          <w:szCs w:val="32"/>
          <w:lang w:eastAsia="zh-CN"/>
        </w:rPr>
        <w:t>申请点与参照零售点</w:t>
      </w:r>
      <w:r>
        <w:rPr>
          <w:rFonts w:hint="eastAsia" w:ascii="方正仿宋_GBK" w:hAnsi="方正仿宋_GBK" w:eastAsia="方正仿宋_GBK" w:cs="方正仿宋_GBK"/>
          <w:spacing w:val="10"/>
          <w:sz w:val="32"/>
          <w:szCs w:val="32"/>
          <w:lang w:eastAsia="zh-CN"/>
        </w:rPr>
        <w:t>间距</w:t>
      </w:r>
      <w:r>
        <w:rPr>
          <w:rFonts w:hint="default" w:ascii="Times New Roman" w:hAnsi="Times New Roman" w:eastAsia="方正仿宋_GBK" w:cs="Times New Roman"/>
          <w:spacing w:val="10"/>
          <w:sz w:val="32"/>
          <w:szCs w:val="32"/>
          <w:lang w:eastAsia="zh-CN"/>
        </w:rPr>
        <w:t>=a+b+c+d+e</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2</w:t>
      </w:r>
      <w:r>
        <w:rPr>
          <w:rFonts w:hint="eastAsia" w:ascii="方正仿宋_GBK" w:hAnsi="方正仿宋_GBK" w:eastAsia="方正仿宋_GBK" w:cs="方正仿宋_GBK"/>
          <w:spacing w:val="10"/>
          <w:sz w:val="32"/>
          <w:szCs w:val="32"/>
        </w:rPr>
        <w:t>）</w:t>
      </w:r>
    </w:p>
    <w:p w14:paraId="5525787F">
      <w:pPr>
        <w:pStyle w:val="2"/>
        <w:spacing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635"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198C7675">
      <w:pPr>
        <w:pStyle w:val="2"/>
        <w:spacing w:line="360" w:lineRule="auto"/>
        <w:ind w:right="2" w:firstLine="680" w:firstLineChars="200"/>
        <w:jc w:val="center"/>
        <w:rPr>
          <w:rFonts w:hint="default" w:ascii="Times New Roman" w:hAnsi="Times New Roman" w:eastAsia="方正仿宋_GBK" w:cs="Times New Roman"/>
          <w:sz w:val="32"/>
          <w:szCs w:val="32"/>
          <w:lang w:eastAsia="zh-CN" w:bidi="ug-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2</w:t>
      </w:r>
    </w:p>
    <w:p w14:paraId="3CA92392">
      <w:pPr>
        <w:pStyle w:val="2"/>
        <w:spacing w:line="360" w:lineRule="auto"/>
        <w:ind w:right="2" w:firstLine="64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z w:val="32"/>
          <w:szCs w:val="32"/>
          <w:lang w:eastAsia="zh-CN"/>
        </w:rPr>
        <w:t>（三）申请点与参照零售点</w:t>
      </w:r>
      <w:r>
        <w:rPr>
          <w:rFonts w:hint="eastAsia" w:ascii="方正仿宋_GBK" w:hAnsi="方正仿宋_GBK" w:eastAsia="方正仿宋_GBK" w:cs="方正仿宋_GBK"/>
          <w:spacing w:val="10"/>
          <w:sz w:val="32"/>
          <w:szCs w:val="32"/>
          <w:lang w:eastAsia="zh-CN"/>
        </w:rPr>
        <w:t>异侧无障碍物，且道路无隔离带（包括无任何禁止通行交通标志的路段或有可通行的单虚线）和斑马线情形，可安全步行的。</w:t>
      </w:r>
    </w:p>
    <w:p w14:paraId="3FC6734D">
      <w:pPr>
        <w:pStyle w:val="2"/>
        <w:spacing w:line="360" w:lineRule="auto"/>
        <w:ind w:right="2" w:firstLine="68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pacing w:val="10"/>
          <w:sz w:val="32"/>
          <w:szCs w:val="32"/>
          <w:lang w:eastAsia="zh-CN"/>
        </w:rPr>
        <w:t>1.申请点与参照零售点对称的，间距</w:t>
      </w:r>
      <w:r>
        <w:rPr>
          <w:rFonts w:hint="default" w:ascii="Times New Roman" w:hAnsi="Times New Roman" w:eastAsia="方正仿宋_GBK" w:cs="Times New Roman"/>
          <w:spacing w:val="10"/>
          <w:sz w:val="32"/>
          <w:szCs w:val="32"/>
          <w:lang w:eastAsia="zh-CN"/>
        </w:rPr>
        <w:t>=a</w:t>
      </w:r>
      <w:r>
        <w:rPr>
          <w:rFonts w:hint="eastAsia" w:ascii="方正仿宋_GBK" w:hAnsi="方正仿宋_GBK" w:eastAsia="方正仿宋_GBK" w:cs="方正仿宋_GBK"/>
          <w:spacing w:val="10"/>
          <w:sz w:val="32"/>
          <w:szCs w:val="32"/>
          <w:lang w:eastAsia="zh-CN"/>
        </w:rPr>
        <w:t>（如图</w:t>
      </w:r>
      <w:r>
        <w:rPr>
          <w:rFonts w:hint="default" w:ascii="Times New Roman" w:hAnsi="Times New Roman" w:eastAsia="方正仿宋_GBK" w:cs="Times New Roman"/>
          <w:spacing w:val="10"/>
          <w:sz w:val="32"/>
          <w:szCs w:val="32"/>
          <w:lang w:eastAsia="zh-CN"/>
        </w:rPr>
        <w:t>3.1</w:t>
      </w:r>
      <w:r>
        <w:rPr>
          <w:rFonts w:hint="eastAsia" w:ascii="方正仿宋_GBK" w:hAnsi="方正仿宋_GBK" w:eastAsia="方正仿宋_GBK" w:cs="方正仿宋_GBK"/>
          <w:spacing w:val="10"/>
          <w:sz w:val="32"/>
          <w:szCs w:val="32"/>
          <w:lang w:eastAsia="zh-CN"/>
        </w:rPr>
        <w:t>）</w:t>
      </w:r>
    </w:p>
    <w:p w14:paraId="3B4233F4">
      <w:pPr>
        <w:pStyle w:val="2"/>
        <w:spacing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8890" b="1905"/>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75CFEF74">
      <w:pPr>
        <w:pStyle w:val="2"/>
        <w:spacing w:line="360" w:lineRule="auto"/>
        <w:ind w:right="3"/>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3.1</w:t>
      </w:r>
    </w:p>
    <w:p w14:paraId="452230D9">
      <w:pPr>
        <w:pStyle w:val="2"/>
        <w:spacing w:line="360" w:lineRule="auto"/>
        <w:ind w:right="2" w:firstLine="64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z w:val="32"/>
          <w:szCs w:val="32"/>
          <w:lang w:eastAsia="zh-CN"/>
        </w:rPr>
        <w:t>2.</w:t>
      </w:r>
      <w:r>
        <w:rPr>
          <w:rFonts w:hint="eastAsia" w:ascii="方正仿宋_GBK" w:hAnsi="方正仿宋_GBK" w:eastAsia="方正仿宋_GBK" w:cs="方正仿宋_GBK"/>
          <w:spacing w:val="10"/>
          <w:sz w:val="32"/>
          <w:szCs w:val="32"/>
          <w:lang w:eastAsia="zh-CN"/>
        </w:rPr>
        <w:t>申请点与参照零售点不对称的，间距</w:t>
      </w:r>
      <w:r>
        <w:rPr>
          <w:rFonts w:hint="default" w:ascii="Times New Roman" w:hAnsi="Times New Roman" w:eastAsia="方正仿宋_GBK" w:cs="Times New Roman"/>
          <w:spacing w:val="10"/>
          <w:sz w:val="32"/>
          <w:szCs w:val="32"/>
          <w:lang w:eastAsia="zh-CN"/>
        </w:rPr>
        <w:t>=b</w:t>
      </w:r>
      <w:r>
        <w:rPr>
          <w:rFonts w:hint="eastAsia" w:ascii="方正仿宋_GBK" w:hAnsi="方正仿宋_GBK" w:eastAsia="方正仿宋_GBK" w:cs="方正仿宋_GBK"/>
          <w:spacing w:val="10"/>
          <w:sz w:val="32"/>
          <w:szCs w:val="32"/>
          <w:lang w:eastAsia="zh-CN"/>
        </w:rPr>
        <w:t>（如图</w:t>
      </w:r>
      <w:r>
        <w:rPr>
          <w:rFonts w:hint="default" w:ascii="Times New Roman" w:hAnsi="Times New Roman" w:eastAsia="方正仿宋_GBK" w:cs="Times New Roman"/>
          <w:spacing w:val="10"/>
          <w:sz w:val="32"/>
          <w:szCs w:val="32"/>
          <w:lang w:eastAsia="zh-CN"/>
        </w:rPr>
        <w:t>3.2</w:t>
      </w:r>
      <w:r>
        <w:rPr>
          <w:rFonts w:hint="eastAsia" w:ascii="方正仿宋_GBK" w:hAnsi="方正仿宋_GBK" w:eastAsia="方正仿宋_GBK" w:cs="方正仿宋_GBK"/>
          <w:spacing w:val="10"/>
          <w:sz w:val="32"/>
          <w:szCs w:val="32"/>
          <w:lang w:eastAsia="zh-CN"/>
        </w:rPr>
        <w:t>）</w:t>
      </w:r>
    </w:p>
    <w:p w14:paraId="4BB8CA7A">
      <w:pPr>
        <w:pStyle w:val="2"/>
        <w:spacing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3810" b="0"/>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0B3C7567">
      <w:pPr>
        <w:pStyle w:val="2"/>
        <w:spacing w:line="360" w:lineRule="auto"/>
        <w:ind w:left="420" w:leftChars="200" w:right="2" w:firstLine="680" w:firstLineChars="200"/>
        <w:jc w:val="center"/>
        <w:rPr>
          <w:rFonts w:hint="eastAsia" w:ascii="方正仿宋_GBK" w:hAnsi="方正仿宋_GBK" w:eastAsia="方正仿宋_GBK" w:cs="方正仿宋_GBK"/>
          <w:sz w:val="32"/>
          <w:szCs w:val="32"/>
          <w:lang w:eastAsia="zh-CN" w:bidi="ug-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3.2</w:t>
      </w:r>
      <w:r>
        <w:rPr>
          <w:rFonts w:hint="eastAsia" w:ascii="方正仿宋_GBK" w:hAnsi="方正仿宋_GBK" w:eastAsia="方正仿宋_GBK" w:cs="方正仿宋_GBK"/>
          <w:sz w:val="32"/>
          <w:szCs w:val="32"/>
          <w:lang w:eastAsia="zh-CN" w:bidi="ug-CN"/>
        </w:rPr>
        <w:tab/>
      </w:r>
    </w:p>
    <w:p w14:paraId="2970A40C">
      <w:pPr>
        <w:pStyle w:val="2"/>
        <w:spacing w:line="360" w:lineRule="auto"/>
        <w:ind w:right="2" w:firstLine="640" w:firstLineChars="200"/>
        <w:rPr>
          <w:rFonts w:ascii="仿宋_GB2312" w:hAnsi="仿宋_GB2312" w:eastAsia="仿宋_GB2312" w:cs="仿宋_GB2312"/>
          <w:spacing w:val="10"/>
          <w:sz w:val="32"/>
          <w:szCs w:val="32"/>
        </w:rPr>
      </w:pPr>
      <w:r>
        <w:rPr>
          <w:rFonts w:hint="eastAsia" w:ascii="方正仿宋_GBK" w:hAnsi="方正仿宋_GBK" w:eastAsia="方正仿宋_GBK" w:cs="方正仿宋_GBK"/>
          <w:sz w:val="32"/>
          <w:szCs w:val="32"/>
          <w:lang w:eastAsia="zh-CN"/>
        </w:rPr>
        <w:t>（四）申请点与参照零售点</w:t>
      </w:r>
      <w:r>
        <w:rPr>
          <w:rFonts w:hint="eastAsia" w:ascii="方正仿宋_GBK" w:hAnsi="方正仿宋_GBK" w:eastAsia="方正仿宋_GBK" w:cs="方正仿宋_GBK"/>
          <w:spacing w:val="10"/>
          <w:sz w:val="32"/>
          <w:szCs w:val="32"/>
          <w:lang w:eastAsia="zh-CN"/>
        </w:rPr>
        <w:t>异侧存在障碍物的，测量按直角分段绕过障碍物测量，分段距离之和即为申请人的经营场所与最近零售点的经营场所间的距离。</w:t>
      </w:r>
      <w:r>
        <w:rPr>
          <w:rFonts w:hint="eastAsia" w:ascii="方正仿宋_GBK" w:hAnsi="方正仿宋_GBK" w:eastAsia="方正仿宋_GBK" w:cs="方正仿宋_GBK"/>
          <w:spacing w:val="10"/>
          <w:sz w:val="32"/>
          <w:szCs w:val="32"/>
        </w:rPr>
        <w:t>间距</w:t>
      </w:r>
      <w:r>
        <w:rPr>
          <w:rFonts w:hint="default" w:ascii="Times New Roman" w:hAnsi="Times New Roman" w:eastAsia="方正仿宋_GBK" w:cs="Times New Roman"/>
          <w:spacing w:val="10"/>
          <w:sz w:val="32"/>
          <w:szCs w:val="32"/>
        </w:rPr>
        <w:t>=a+b+c</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4</w:t>
      </w:r>
      <w:r>
        <w:rPr>
          <w:rFonts w:hint="eastAsia" w:ascii="方正仿宋_GBK" w:hAnsi="方正仿宋_GBK" w:eastAsia="方正仿宋_GBK" w:cs="方正仿宋_GBK"/>
          <w:spacing w:val="10"/>
          <w:sz w:val="32"/>
          <w:szCs w:val="32"/>
        </w:rPr>
        <w:t>）</w:t>
      </w:r>
    </w:p>
    <w:p w14:paraId="6152199A">
      <w:pPr>
        <w:pStyle w:val="2"/>
        <w:tabs>
          <w:tab w:val="left" w:pos="8197"/>
        </w:tabs>
        <w:spacing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25AD2075">
      <w:pPr>
        <w:pStyle w:val="2"/>
        <w:tabs>
          <w:tab w:val="left" w:pos="8197"/>
        </w:tabs>
        <w:spacing w:line="360" w:lineRule="auto"/>
        <w:ind w:right="3" w:firstLine="640" w:firstLineChars="200"/>
        <w:jc w:val="center"/>
        <w:rPr>
          <w:rFonts w:hint="default" w:ascii="Times New Roman" w:hAnsi="Times New Roman" w:eastAsia="方正仿宋_GBK" w:cs="Times New Roman"/>
          <w:sz w:val="32"/>
          <w:szCs w:val="32"/>
          <w:lang w:eastAsia="zh-CN" w:bidi="ug-CN"/>
        </w:rPr>
      </w:pPr>
      <w:r>
        <w:rPr>
          <w:rFonts w:hint="eastAsia" w:ascii="方正仿宋_GBK" w:hAnsi="方正仿宋_GBK" w:eastAsia="方正仿宋_GBK" w:cs="方正仿宋_GBK"/>
          <w:sz w:val="32"/>
          <w:szCs w:val="32"/>
          <w:lang w:eastAsia="zh-CN" w:bidi="ug-CN"/>
        </w:rPr>
        <w:t>图</w:t>
      </w:r>
      <w:r>
        <w:rPr>
          <w:rFonts w:hint="default" w:ascii="Times New Roman" w:hAnsi="Times New Roman" w:eastAsia="方正仿宋_GBK" w:cs="Times New Roman"/>
          <w:sz w:val="32"/>
          <w:szCs w:val="32"/>
          <w:lang w:eastAsia="zh-CN" w:bidi="ug-CN"/>
        </w:rPr>
        <w:t>4</w:t>
      </w:r>
    </w:p>
    <w:p w14:paraId="7DC2F77A">
      <w:pPr>
        <w:pStyle w:val="2"/>
        <w:spacing w:line="360" w:lineRule="auto"/>
        <w:ind w:right="2"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（五）店面背靠背距离测量示意图，</w:t>
      </w:r>
      <w:r>
        <w:rPr>
          <w:rFonts w:hint="eastAsia" w:ascii="方正仿宋_GBK" w:hAnsi="方正仿宋_GBK" w:eastAsia="方正仿宋_GBK" w:cs="方正仿宋_GBK"/>
          <w:sz w:val="32"/>
          <w:szCs w:val="32"/>
          <w:lang w:eastAsia="zh-CN"/>
        </w:rPr>
        <w:t>申请点与参照零售点</w:t>
      </w:r>
      <w:r>
        <w:rPr>
          <w:rFonts w:hint="eastAsia" w:ascii="方正仿宋_GBK" w:hAnsi="方正仿宋_GBK" w:eastAsia="方正仿宋_GBK" w:cs="方正仿宋_GBK"/>
          <w:spacing w:val="10"/>
          <w:sz w:val="32"/>
          <w:szCs w:val="32"/>
          <w:lang w:eastAsia="zh-CN"/>
        </w:rPr>
        <w:t>间距</w:t>
      </w:r>
      <w:r>
        <w:rPr>
          <w:rFonts w:hint="default" w:ascii="Times New Roman" w:hAnsi="Times New Roman" w:eastAsia="方正仿宋_GBK" w:cs="Times New Roman"/>
          <w:spacing w:val="10"/>
          <w:sz w:val="32"/>
          <w:szCs w:val="32"/>
          <w:lang w:eastAsia="zh-CN"/>
        </w:rPr>
        <w:t>=a+b+c</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5</w:t>
      </w:r>
      <w:r>
        <w:rPr>
          <w:rFonts w:hint="eastAsia" w:ascii="方正仿宋_GBK" w:hAnsi="方正仿宋_GBK" w:eastAsia="方正仿宋_GBK" w:cs="方正仿宋_GBK"/>
          <w:spacing w:val="10"/>
          <w:sz w:val="32"/>
          <w:szCs w:val="32"/>
        </w:rPr>
        <w:t>）</w:t>
      </w:r>
    </w:p>
    <w:p w14:paraId="3B9CEE65">
      <w:pPr>
        <w:pStyle w:val="2"/>
        <w:spacing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889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0E7261E6">
      <w:pPr>
        <w:pStyle w:val="2"/>
        <w:spacing w:line="360" w:lineRule="auto"/>
        <w:ind w:right="3" w:firstLine="680" w:firstLineChars="200"/>
        <w:jc w:val="center"/>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5</w:t>
      </w:r>
    </w:p>
    <w:p w14:paraId="552279CA">
      <w:pPr>
        <w:pStyle w:val="2"/>
        <w:spacing w:line="360" w:lineRule="auto"/>
        <w:ind w:right="2"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（六）店面隔着街道转角的，分别计算沿街店面的两边距离再相加，</w:t>
      </w:r>
      <w:r>
        <w:rPr>
          <w:rFonts w:hint="eastAsia" w:ascii="方正仿宋_GBK" w:hAnsi="方正仿宋_GBK" w:eastAsia="方正仿宋_GBK" w:cs="方正仿宋_GBK"/>
          <w:sz w:val="32"/>
          <w:szCs w:val="32"/>
          <w:lang w:eastAsia="zh-CN"/>
        </w:rPr>
        <w:t>申请点与参照零售点</w:t>
      </w:r>
      <w:r>
        <w:rPr>
          <w:rFonts w:hint="eastAsia" w:ascii="方正仿宋_GBK" w:hAnsi="方正仿宋_GBK" w:eastAsia="方正仿宋_GBK" w:cs="方正仿宋_GBK"/>
          <w:spacing w:val="10"/>
          <w:sz w:val="32"/>
          <w:szCs w:val="32"/>
          <w:lang w:eastAsia="zh-CN"/>
        </w:rPr>
        <w:t>间距</w:t>
      </w:r>
      <w:r>
        <w:rPr>
          <w:rFonts w:hint="default" w:ascii="Times New Roman" w:hAnsi="Times New Roman" w:eastAsia="方正仿宋_GBK" w:cs="Times New Roman"/>
          <w:spacing w:val="10"/>
          <w:sz w:val="32"/>
          <w:szCs w:val="32"/>
          <w:lang w:eastAsia="zh-CN"/>
        </w:rPr>
        <w:t>=a+b</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6</w:t>
      </w:r>
      <w:r>
        <w:rPr>
          <w:rFonts w:hint="eastAsia" w:ascii="方正仿宋_GBK" w:hAnsi="方正仿宋_GBK" w:eastAsia="方正仿宋_GBK" w:cs="方正仿宋_GBK"/>
          <w:spacing w:val="10"/>
          <w:sz w:val="32"/>
          <w:szCs w:val="32"/>
        </w:rPr>
        <w:t>）</w:t>
      </w:r>
    </w:p>
    <w:p w14:paraId="26A70DEE">
      <w:pPr>
        <w:pStyle w:val="2"/>
        <w:spacing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3175" b="5080"/>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71CE2B3D">
      <w:pPr>
        <w:pStyle w:val="2"/>
        <w:spacing w:line="360" w:lineRule="auto"/>
        <w:ind w:right="64" w:firstLine="680" w:firstLineChars="200"/>
        <w:jc w:val="center"/>
        <w:rPr>
          <w:rFonts w:hint="default" w:ascii="Times New Roman" w:hAnsi="Times New Roman" w:eastAsia="方正仿宋_GBK" w:cs="Times New Roman"/>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6</w:t>
      </w:r>
    </w:p>
    <w:p w14:paraId="0D5DC3D1">
      <w:pPr>
        <w:pStyle w:val="2"/>
        <w:spacing w:line="360" w:lineRule="auto"/>
        <w:ind w:right="2"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（七）十字路口</w:t>
      </w:r>
    </w:p>
    <w:p w14:paraId="612DD7C1">
      <w:pPr>
        <w:pStyle w:val="2"/>
        <w:spacing w:line="360" w:lineRule="auto"/>
        <w:ind w:right="64" w:firstLine="640" w:firstLineChars="200"/>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lang w:eastAsia="zh-CN"/>
        </w:rPr>
        <w:t>1.</w:t>
      </w:r>
      <w:r>
        <w:rPr>
          <w:rFonts w:hint="eastAsia" w:ascii="方正仿宋_GBK" w:hAnsi="方正仿宋_GBK" w:eastAsia="方正仿宋_GBK" w:cs="方正仿宋_GBK"/>
          <w:sz w:val="32"/>
          <w:szCs w:val="32"/>
          <w:lang w:eastAsia="zh-CN"/>
        </w:rPr>
        <w:t>申请点与参照零售点在十字路口中轴线同一半侧的道路对侧的，可参照道路对侧情况进行测量，按申请点门边至零售点门边</w:t>
      </w:r>
      <w:r>
        <w:rPr>
          <w:rFonts w:hint="eastAsia" w:ascii="方正仿宋_GBK" w:hAnsi="方正仿宋_GBK" w:eastAsia="方正仿宋_GBK" w:cs="方正仿宋_GBK"/>
          <w:spacing w:val="10"/>
          <w:sz w:val="32"/>
          <w:szCs w:val="32"/>
          <w:lang w:eastAsia="zh-CN"/>
        </w:rPr>
        <w:t>可安全步行最短距离</w:t>
      </w:r>
      <w:r>
        <w:rPr>
          <w:rFonts w:hint="eastAsia" w:ascii="方正仿宋_GBK" w:hAnsi="方正仿宋_GBK" w:eastAsia="方正仿宋_GBK" w:cs="方正仿宋_GBK"/>
          <w:sz w:val="32"/>
          <w:szCs w:val="32"/>
          <w:lang w:eastAsia="zh-CN"/>
        </w:rPr>
        <w:t>测量。具体测量办法视有无交通信号灯、人行横道或过街设施的路段以及障碍物情况而定。</w:t>
      </w:r>
      <w:r>
        <w:rPr>
          <w:rFonts w:hint="eastAsia" w:ascii="方正仿宋_GBK" w:hAnsi="方正仿宋_GBK" w:eastAsia="方正仿宋_GBK" w:cs="方正仿宋_GBK"/>
          <w:sz w:val="32"/>
          <w:szCs w:val="32"/>
        </w:rPr>
        <w:t>（如图</w:t>
      </w:r>
      <w:r>
        <w:rPr>
          <w:rFonts w:hint="default" w:ascii="Times New Roman" w:hAnsi="Times New Roman" w:eastAsia="方正仿宋_GBK" w:cs="Times New Roman"/>
          <w:sz w:val="32"/>
          <w:szCs w:val="32"/>
        </w:rPr>
        <w:t>7.1</w:t>
      </w:r>
      <w:r>
        <w:rPr>
          <w:rFonts w:hint="eastAsia" w:ascii="方正仿宋_GBK" w:hAnsi="方正仿宋_GBK" w:eastAsia="方正仿宋_GBK" w:cs="方正仿宋_GBK"/>
          <w:sz w:val="32"/>
          <w:szCs w:val="32"/>
        </w:rPr>
        <w:t>）</w:t>
      </w:r>
    </w:p>
    <w:p w14:paraId="36BAF51C">
      <w:pPr>
        <w:pStyle w:val="2"/>
        <w:spacing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3D59FF86">
      <w:pPr>
        <w:pStyle w:val="2"/>
        <w:spacing w:line="360" w:lineRule="auto"/>
        <w:ind w:right="64"/>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w:t>
      </w:r>
      <w:r>
        <w:rPr>
          <w:rFonts w:hint="default" w:ascii="Times New Roman" w:hAnsi="Times New Roman" w:eastAsia="仿宋_GB2312" w:cs="Times New Roman"/>
          <w:sz w:val="32"/>
          <w:szCs w:val="32"/>
          <w:lang w:eastAsia="zh-CN"/>
        </w:rPr>
        <w:t>7.1</w:t>
      </w:r>
    </w:p>
    <w:p w14:paraId="40AC950A">
      <w:pPr>
        <w:pStyle w:val="2"/>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2.十字路口对角（有交通信号灯、人行横道或过街设施）</w:t>
      </w:r>
    </w:p>
    <w:p w14:paraId="37DE86E9">
      <w:pPr>
        <w:pStyle w:val="2"/>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申请点与参照零售点位于十字路口对角位置的，且路口中间设有交通信号灯、人行横道或过街设施的，应按照交通规则，通过人行横道或过街设施，按申请点门边至零售点门边</w:t>
      </w:r>
      <w:r>
        <w:rPr>
          <w:rFonts w:hint="eastAsia" w:ascii="方正仿宋_GBK" w:hAnsi="方正仿宋_GBK" w:eastAsia="方正仿宋_GBK" w:cs="方正仿宋_GBK"/>
          <w:spacing w:val="10"/>
          <w:sz w:val="32"/>
          <w:szCs w:val="32"/>
          <w:lang w:eastAsia="zh-CN"/>
        </w:rPr>
        <w:t>可安全步行最短距离</w:t>
      </w:r>
      <w:r>
        <w:rPr>
          <w:rFonts w:hint="eastAsia" w:ascii="方正仿宋_GBK" w:hAnsi="方正仿宋_GBK" w:eastAsia="方正仿宋_GBK" w:cs="方正仿宋_GBK"/>
          <w:sz w:val="32"/>
          <w:szCs w:val="32"/>
          <w:lang w:eastAsia="zh-CN"/>
        </w:rPr>
        <w:t>测量。（如图</w:t>
      </w:r>
      <w:r>
        <w:rPr>
          <w:rFonts w:hint="default" w:ascii="Times New Roman" w:hAnsi="Times New Roman" w:eastAsia="方正仿宋_GBK" w:cs="Times New Roman"/>
          <w:sz w:val="32"/>
          <w:szCs w:val="32"/>
          <w:lang w:eastAsia="zh-CN"/>
        </w:rPr>
        <w:t>7.2</w:t>
      </w:r>
      <w:r>
        <w:rPr>
          <w:rFonts w:hint="eastAsia" w:ascii="方正仿宋_GBK" w:hAnsi="方正仿宋_GBK" w:eastAsia="方正仿宋_GBK" w:cs="方正仿宋_GBK"/>
          <w:sz w:val="32"/>
          <w:szCs w:val="32"/>
          <w:lang w:eastAsia="zh-CN"/>
        </w:rPr>
        <w:t>中存在</w:t>
      </w:r>
      <w:r>
        <w:rPr>
          <w:rFonts w:hint="default" w:ascii="Times New Roman" w:hAnsi="Times New Roman" w:eastAsia="方正仿宋_GBK" w:cs="Times New Roman"/>
          <w:sz w:val="32"/>
          <w:szCs w:val="32"/>
          <w:lang w:eastAsia="zh-CN"/>
        </w:rPr>
        <w:t>a、b</w:t>
      </w:r>
      <w:r>
        <w:rPr>
          <w:rFonts w:hint="eastAsia" w:ascii="方正仿宋_GBK" w:hAnsi="方正仿宋_GBK" w:eastAsia="方正仿宋_GBK" w:cs="方正仿宋_GBK"/>
          <w:sz w:val="32"/>
          <w:szCs w:val="32"/>
          <w:lang w:eastAsia="zh-CN"/>
        </w:rPr>
        <w:t>两条线路，取其中一条</w:t>
      </w:r>
      <w:r>
        <w:rPr>
          <w:rFonts w:hint="eastAsia" w:ascii="方正仿宋_GBK" w:hAnsi="方正仿宋_GBK" w:eastAsia="方正仿宋_GBK" w:cs="方正仿宋_GBK"/>
          <w:spacing w:val="10"/>
          <w:sz w:val="32"/>
          <w:szCs w:val="32"/>
          <w:lang w:eastAsia="zh-CN"/>
        </w:rPr>
        <w:t>可安全步行最短距离线路测量</w:t>
      </w:r>
      <w:r>
        <w:rPr>
          <w:rFonts w:hint="eastAsia" w:ascii="方正仿宋_GBK" w:hAnsi="方正仿宋_GBK" w:eastAsia="方正仿宋_GBK" w:cs="方正仿宋_GBK"/>
          <w:sz w:val="32"/>
          <w:szCs w:val="32"/>
          <w:lang w:eastAsia="zh-CN"/>
        </w:rPr>
        <w:t>）</w:t>
      </w:r>
    </w:p>
    <w:p w14:paraId="6EEA7029">
      <w:pPr>
        <w:pStyle w:val="2"/>
        <w:spacing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254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32DDB4BB">
      <w:pPr>
        <w:pStyle w:val="2"/>
        <w:spacing w:line="360" w:lineRule="auto"/>
        <w:ind w:left="420" w:leftChars="200" w:right="64" w:firstLine="3200" w:firstLineChars="10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w:t>
      </w:r>
      <w:r>
        <w:rPr>
          <w:rFonts w:hint="default" w:ascii="Times New Roman" w:hAnsi="Times New Roman" w:eastAsia="仿宋_GB2312" w:cs="Times New Roman"/>
          <w:sz w:val="32"/>
          <w:szCs w:val="32"/>
          <w:lang w:eastAsia="zh-CN"/>
        </w:rPr>
        <w:t>7.2</w:t>
      </w:r>
    </w:p>
    <w:p w14:paraId="7E6B29B2">
      <w:pPr>
        <w:pStyle w:val="2"/>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3.十字路口对角（无交通信号灯、人行横道或过街设施）</w:t>
      </w:r>
    </w:p>
    <w:p w14:paraId="702B819B">
      <w:pPr>
        <w:pStyle w:val="2"/>
        <w:spacing w:line="336" w:lineRule="auto"/>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申请点与参照零售点位于十字路口对角位置的，且路口中间未设有交通信号灯、人行横道或过街设施的，按申请点门边至零售点门边</w:t>
      </w:r>
      <w:r>
        <w:rPr>
          <w:rFonts w:hint="eastAsia" w:ascii="方正仿宋_GBK" w:hAnsi="方正仿宋_GBK" w:eastAsia="方正仿宋_GBK" w:cs="方正仿宋_GBK"/>
          <w:spacing w:val="10"/>
          <w:sz w:val="32"/>
          <w:szCs w:val="32"/>
          <w:lang w:eastAsia="zh-CN"/>
        </w:rPr>
        <w:t>可安全步行最短距离</w:t>
      </w:r>
      <w:r>
        <w:rPr>
          <w:rFonts w:hint="eastAsia" w:ascii="方正仿宋_GBK" w:hAnsi="方正仿宋_GBK" w:eastAsia="方正仿宋_GBK" w:cs="方正仿宋_GBK"/>
          <w:sz w:val="32"/>
          <w:szCs w:val="32"/>
          <w:lang w:eastAsia="zh-CN"/>
        </w:rPr>
        <w:t>测量。</w:t>
      </w:r>
      <w:r>
        <w:rPr>
          <w:rFonts w:hint="eastAsia" w:ascii="方正仿宋_GBK" w:hAnsi="方正仿宋_GBK" w:eastAsia="方正仿宋_GBK" w:cs="方正仿宋_GBK"/>
          <w:sz w:val="32"/>
          <w:szCs w:val="32"/>
        </w:rPr>
        <w:t>（图</w:t>
      </w:r>
      <w:r>
        <w:rPr>
          <w:rFonts w:hint="default" w:ascii="Times New Roman" w:hAnsi="Times New Roman" w:eastAsia="方正仿宋_GBK" w:cs="Times New Roman"/>
          <w:sz w:val="32"/>
          <w:szCs w:val="32"/>
        </w:rPr>
        <w:t>7.3</w:t>
      </w:r>
      <w:r>
        <w:rPr>
          <w:rFonts w:hint="eastAsia" w:ascii="方正仿宋_GBK" w:hAnsi="方正仿宋_GBK" w:eastAsia="方正仿宋_GBK" w:cs="方正仿宋_GBK"/>
          <w:sz w:val="32"/>
          <w:szCs w:val="32"/>
        </w:rPr>
        <w:t>）</w:t>
      </w:r>
    </w:p>
    <w:p w14:paraId="5017FF88">
      <w:pPr>
        <w:pStyle w:val="2"/>
        <w:spacing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43B2F7B9">
      <w:pPr>
        <w:pStyle w:val="2"/>
        <w:spacing w:line="360" w:lineRule="auto"/>
        <w:ind w:right="64"/>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图</w:t>
      </w:r>
      <w:r>
        <w:rPr>
          <w:rFonts w:hint="default" w:ascii="Times New Roman" w:hAnsi="Times New Roman" w:eastAsia="仿宋_GB2312" w:cs="Times New Roman"/>
          <w:sz w:val="32"/>
          <w:szCs w:val="32"/>
          <w:lang w:eastAsia="zh-CN"/>
        </w:rPr>
        <w:t>7.3</w:t>
      </w:r>
    </w:p>
    <w:p w14:paraId="43D63C96">
      <w:pPr>
        <w:pStyle w:val="2"/>
        <w:spacing w:line="336" w:lineRule="auto"/>
        <w:ind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（八）中小学校、幼儿园的测量起始点为学校正常出入的校门口。有多个进出通道口的，选择距离零售点最短的进出通道口的门边，作为测量起始点。</w:t>
      </w:r>
    </w:p>
    <w:p w14:paraId="0CDF322B">
      <w:pPr>
        <w:pStyle w:val="2"/>
        <w:spacing w:line="336" w:lineRule="auto"/>
        <w:ind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申请点与中小学校、幼儿园通道口之间距离测量示意图。</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8</w:t>
      </w:r>
      <w:r>
        <w:rPr>
          <w:rFonts w:hint="eastAsia" w:ascii="方正仿宋_GBK" w:hAnsi="方正仿宋_GBK" w:eastAsia="方正仿宋_GBK" w:cs="方正仿宋_GBK"/>
          <w:spacing w:val="10"/>
          <w:sz w:val="32"/>
          <w:szCs w:val="32"/>
        </w:rPr>
        <w:t>）</w:t>
      </w:r>
    </w:p>
    <w:p w14:paraId="69944FC5">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635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79C52296">
      <w:pPr>
        <w:spacing w:line="360" w:lineRule="auto"/>
        <w:jc w:val="center"/>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8</w:t>
      </w:r>
    </w:p>
    <w:p w14:paraId="1ACCD585">
      <w:pPr>
        <w:pStyle w:val="2"/>
        <w:spacing w:line="300" w:lineRule="auto"/>
        <w:ind w:right="2" w:firstLine="64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z w:val="32"/>
          <w:szCs w:val="32"/>
          <w:lang w:eastAsia="zh-CN"/>
        </w:rPr>
        <w:t>（九）申请点与参照零售点</w:t>
      </w:r>
      <w:r>
        <w:rPr>
          <w:rFonts w:hint="eastAsia" w:ascii="方正仿宋_GBK" w:hAnsi="方正仿宋_GBK" w:eastAsia="方正仿宋_GBK" w:cs="方正仿宋_GBK"/>
          <w:spacing w:val="10"/>
          <w:sz w:val="32"/>
          <w:szCs w:val="32"/>
          <w:lang w:eastAsia="zh-CN"/>
        </w:rPr>
        <w:t>之间有道路隔离情形的：</w:t>
      </w:r>
    </w:p>
    <w:p w14:paraId="3F282110">
      <w:pPr>
        <w:pStyle w:val="2"/>
        <w:spacing w:line="300" w:lineRule="auto"/>
        <w:ind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1.主干道上有禁止行人行走隔离带的（包括禁止通行的双实线、单实线等交通标志），测量从隔离带最近开口处过斑马线、天桥等行人可安全步行通道，以直线距离为测量标准，申请点与参照零售点间距</w:t>
      </w:r>
      <w:r>
        <w:rPr>
          <w:rFonts w:hint="default" w:ascii="Times New Roman" w:hAnsi="Times New Roman" w:eastAsia="方正仿宋_GBK" w:cs="Times New Roman"/>
          <w:spacing w:val="10"/>
          <w:sz w:val="32"/>
          <w:szCs w:val="32"/>
          <w:lang w:eastAsia="zh-CN"/>
        </w:rPr>
        <w:t>=a+b+c</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9.1</w:t>
      </w:r>
      <w:r>
        <w:rPr>
          <w:rFonts w:hint="eastAsia" w:ascii="方正仿宋_GBK" w:hAnsi="方正仿宋_GBK" w:eastAsia="方正仿宋_GBK" w:cs="方正仿宋_GBK"/>
          <w:spacing w:val="10"/>
          <w:sz w:val="32"/>
          <w:szCs w:val="32"/>
        </w:rPr>
        <w:t>）</w:t>
      </w:r>
    </w:p>
    <w:p w14:paraId="0189432D">
      <w:pPr>
        <w:pStyle w:val="2"/>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09E2B918">
      <w:pPr>
        <w:spacing w:line="360" w:lineRule="auto"/>
        <w:jc w:val="center"/>
        <w:rPr>
          <w:rFonts w:hint="default" w:ascii="Times New Roman" w:hAnsi="Times New Roman" w:eastAsia="方正仿宋_GBK" w:cs="Times New Roman"/>
          <w:spacing w:val="10"/>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9.1</w:t>
      </w:r>
    </w:p>
    <w:p w14:paraId="59E3737C">
      <w:pPr>
        <w:pStyle w:val="2"/>
        <w:spacing w:line="300" w:lineRule="auto"/>
        <w:ind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lang w:eastAsia="zh-CN"/>
        </w:rPr>
        <w:t>2.无隔离带（包括无任何禁止通行交通标志的路段或有可通行的单虚线），但两个零售点之间有斑马线的，按照“边对边”过斑马线垂直距离为测量标准。</w:t>
      </w:r>
      <w:r>
        <w:rPr>
          <w:rFonts w:hint="eastAsia" w:ascii="方正仿宋_GBK" w:hAnsi="方正仿宋_GBK" w:eastAsia="方正仿宋_GBK" w:cs="方正仿宋_GBK"/>
          <w:sz w:val="32"/>
          <w:szCs w:val="32"/>
        </w:rPr>
        <w:t>申请点与参照零售点</w:t>
      </w:r>
      <w:r>
        <w:rPr>
          <w:rFonts w:hint="eastAsia" w:ascii="方正仿宋_GBK" w:hAnsi="方正仿宋_GBK" w:eastAsia="方正仿宋_GBK" w:cs="方正仿宋_GBK"/>
          <w:spacing w:val="10"/>
          <w:sz w:val="32"/>
          <w:szCs w:val="32"/>
        </w:rPr>
        <w:t>间距</w:t>
      </w:r>
      <w:r>
        <w:rPr>
          <w:rFonts w:hint="default" w:ascii="Times New Roman" w:hAnsi="Times New Roman" w:eastAsia="方正仿宋_GBK" w:cs="Times New Roman"/>
          <w:spacing w:val="10"/>
          <w:sz w:val="32"/>
          <w:szCs w:val="32"/>
        </w:rPr>
        <w:t>=a+b+c</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9.2</w:t>
      </w:r>
      <w:r>
        <w:rPr>
          <w:rFonts w:hint="eastAsia" w:ascii="方正仿宋_GBK" w:hAnsi="方正仿宋_GBK" w:eastAsia="方正仿宋_GBK" w:cs="方正仿宋_GBK"/>
          <w:spacing w:val="10"/>
          <w:sz w:val="32"/>
          <w:szCs w:val="32"/>
        </w:rPr>
        <w:t>）</w:t>
      </w:r>
    </w:p>
    <w:p w14:paraId="05D23002">
      <w:pPr>
        <w:pStyle w:val="2"/>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5080" b="508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6B887153">
      <w:pPr>
        <w:spacing w:line="360" w:lineRule="auto"/>
        <w:ind w:right="-512" w:rightChars="-244"/>
        <w:jc w:val="center"/>
        <w:rPr>
          <w:rFonts w:hint="default" w:ascii="Times New Roman" w:hAnsi="Times New Roman" w:eastAsia="方正仿宋_GBK" w:cs="Times New Roman"/>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9.2</w:t>
      </w:r>
    </w:p>
    <w:p w14:paraId="6C706A9F">
      <w:pPr>
        <w:pStyle w:val="2"/>
        <w:spacing w:line="360" w:lineRule="auto"/>
        <w:ind w:right="2" w:firstLine="68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0"/>
          <w:sz w:val="32"/>
          <w:szCs w:val="32"/>
          <w:lang w:eastAsia="zh-CN"/>
        </w:rPr>
        <w:t>（十）各类综合性商品批发市场、专业市场、集贸市场内部距离测量示意图，</w:t>
      </w:r>
      <w:r>
        <w:rPr>
          <w:rFonts w:hint="eastAsia" w:ascii="方正仿宋_GBK" w:hAnsi="方正仿宋_GBK" w:eastAsia="方正仿宋_GBK" w:cs="方正仿宋_GBK"/>
          <w:sz w:val="32"/>
          <w:szCs w:val="32"/>
          <w:lang w:eastAsia="zh-CN"/>
        </w:rPr>
        <w:t>申请点与参照零售点间距</w:t>
      </w:r>
      <w:r>
        <w:rPr>
          <w:rFonts w:hint="default" w:ascii="Times New Roman" w:hAnsi="Times New Roman" w:eastAsia="方正仿宋_GBK" w:cs="Times New Roman"/>
          <w:spacing w:val="10"/>
          <w:sz w:val="32"/>
          <w:szCs w:val="32"/>
          <w:lang w:eastAsia="zh-CN"/>
        </w:rPr>
        <w:t>=a+b+c</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10</w:t>
      </w:r>
      <w:r>
        <w:rPr>
          <w:rFonts w:hint="eastAsia" w:ascii="方正仿宋_GBK" w:hAnsi="方正仿宋_GBK" w:eastAsia="方正仿宋_GBK" w:cs="方正仿宋_GBK"/>
          <w:spacing w:val="10"/>
          <w:sz w:val="32"/>
          <w:szCs w:val="32"/>
        </w:rPr>
        <w:t>）</w:t>
      </w:r>
    </w:p>
    <w:p w14:paraId="2FB73E2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6350"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23D79F9B">
      <w:pPr>
        <w:spacing w:line="360" w:lineRule="auto"/>
        <w:jc w:val="center"/>
        <w:rPr>
          <w:rFonts w:hint="default" w:ascii="Times New Roman" w:hAnsi="Times New Roman" w:eastAsia="方正仿宋_GBK" w:cs="Times New Roman"/>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10</w:t>
      </w:r>
    </w:p>
    <w:p w14:paraId="2212BD73">
      <w:pPr>
        <w:pStyle w:val="2"/>
        <w:spacing w:line="360" w:lineRule="auto"/>
        <w:ind w:right="2"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（十一）申请点与参照零售点</w:t>
      </w:r>
      <w:r>
        <w:rPr>
          <w:rFonts w:hint="eastAsia" w:ascii="方正仿宋_GBK" w:hAnsi="方正仿宋_GBK" w:eastAsia="方正仿宋_GBK" w:cs="方正仿宋_GBK"/>
          <w:spacing w:val="10"/>
          <w:sz w:val="32"/>
          <w:szCs w:val="32"/>
          <w:lang w:eastAsia="zh-CN"/>
        </w:rPr>
        <w:t>的经营场所之间有台阶、楼梯的，以其平面坡长进行测量；有电梯的，以层高进行测量；楼梯与电梯并存的，以最短距离的为准。</w:t>
      </w:r>
      <w:r>
        <w:rPr>
          <w:rFonts w:hint="eastAsia" w:ascii="方正仿宋_GBK" w:hAnsi="方正仿宋_GBK" w:eastAsia="方正仿宋_GBK" w:cs="方正仿宋_GBK"/>
          <w:spacing w:val="10"/>
          <w:sz w:val="32"/>
          <w:szCs w:val="32"/>
        </w:rPr>
        <w:t>（如图</w:t>
      </w:r>
      <w:r>
        <w:rPr>
          <w:rFonts w:hint="default" w:ascii="Times New Roman" w:hAnsi="Times New Roman" w:eastAsia="方正仿宋_GBK" w:cs="Times New Roman"/>
          <w:spacing w:val="10"/>
          <w:sz w:val="32"/>
          <w:szCs w:val="32"/>
        </w:rPr>
        <w:t>11</w:t>
      </w:r>
      <w:r>
        <w:rPr>
          <w:rFonts w:hint="eastAsia" w:ascii="方正仿宋_GBK" w:hAnsi="方正仿宋_GBK" w:eastAsia="方正仿宋_GBK" w:cs="方正仿宋_GBK"/>
          <w:spacing w:val="10"/>
          <w:sz w:val="32"/>
          <w:szCs w:val="32"/>
        </w:rPr>
        <w:t>）</w:t>
      </w:r>
    </w:p>
    <w:p w14:paraId="43FAAAD6">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8890" b="5715"/>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0278A737">
      <w:pPr>
        <w:tabs>
          <w:tab w:val="left" w:pos="1331"/>
        </w:tabs>
        <w:spacing w:line="360" w:lineRule="auto"/>
        <w:ind w:firstLine="680" w:firstLineChars="200"/>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pacing w:val="10"/>
          <w:sz w:val="32"/>
          <w:szCs w:val="32"/>
          <w:lang w:eastAsia="zh-CN"/>
        </w:rPr>
        <w:t>图</w:t>
      </w:r>
      <w:r>
        <w:rPr>
          <w:rFonts w:hint="default" w:ascii="Times New Roman" w:hAnsi="Times New Roman" w:eastAsia="方正仿宋_GBK" w:cs="Times New Roman"/>
          <w:spacing w:val="10"/>
          <w:sz w:val="32"/>
          <w:szCs w:val="32"/>
          <w:lang w:eastAsia="zh-CN"/>
        </w:rPr>
        <w:t>11</w:t>
      </w:r>
    </w:p>
    <w:p w14:paraId="69B3A9CB">
      <w:pPr>
        <w:pStyle w:val="2"/>
        <w:spacing w:line="360" w:lineRule="auto"/>
        <w:ind w:right="2"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（十二）申请点或零售点多门情况</w:t>
      </w:r>
    </w:p>
    <w:p w14:paraId="2C85AF29">
      <w:pPr>
        <w:pStyle w:val="2"/>
        <w:spacing w:line="360" w:lineRule="auto"/>
        <w:ind w:right="2"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申请人经营场所门面多面（多间）贯通且多面经营的，测量起始点的选取规则是：申请人与参照零售点之间距离最近的门面为起始点测量。</w:t>
      </w:r>
    </w:p>
    <w:p w14:paraId="1F9D7D48">
      <w:pPr>
        <w:spacing w:line="360"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1.道路同侧情况</w:t>
      </w:r>
    </w:p>
    <w:p w14:paraId="77DBEE46">
      <w:pPr>
        <w:spacing w:line="360" w:lineRule="auto"/>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申请点出入口较多，取与最近零售点经营场所最短的出入口进行测量。</w:t>
      </w:r>
      <w:r>
        <w:rPr>
          <w:rFonts w:hint="eastAsia" w:ascii="方正仿宋_GBK" w:hAnsi="方正仿宋_GBK" w:eastAsia="方正仿宋_GBK" w:cs="方正仿宋_GBK"/>
          <w:sz w:val="32"/>
          <w:szCs w:val="32"/>
        </w:rPr>
        <w:t>（如图</w:t>
      </w:r>
      <w:r>
        <w:rPr>
          <w:rFonts w:hint="default" w:ascii="Times New Roman" w:hAnsi="Times New Roman" w:eastAsia="方正仿宋_GBK" w:cs="Times New Roman"/>
          <w:sz w:val="32"/>
          <w:szCs w:val="32"/>
        </w:rPr>
        <w:t>12.1</w:t>
      </w:r>
      <w:r>
        <w:rPr>
          <w:rFonts w:hint="eastAsia" w:ascii="方正仿宋_GBK" w:hAnsi="方正仿宋_GBK" w:eastAsia="方正仿宋_GBK" w:cs="方正仿宋_GBK"/>
          <w:sz w:val="32"/>
          <w:szCs w:val="32"/>
        </w:rPr>
        <w:t>）</w:t>
      </w:r>
    </w:p>
    <w:p w14:paraId="4B50D95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0" b="5715"/>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77AE6CEA">
      <w:pPr>
        <w:spacing w:line="360" w:lineRule="auto"/>
        <w:ind w:firstLine="640" w:firstLineChars="200"/>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图</w:t>
      </w:r>
      <w:r>
        <w:rPr>
          <w:rFonts w:hint="default" w:ascii="Times New Roman" w:hAnsi="Times New Roman" w:eastAsia="方正仿宋_GBK" w:cs="Times New Roman"/>
          <w:sz w:val="32"/>
          <w:szCs w:val="32"/>
          <w:lang w:eastAsia="zh-CN"/>
        </w:rPr>
        <w:t>12.1</w:t>
      </w:r>
    </w:p>
    <w:p w14:paraId="79954171">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2.十字路口情况</w:t>
      </w:r>
    </w:p>
    <w:p w14:paraId="6DFC96BE">
      <w:pPr>
        <w:spacing w:line="336" w:lineRule="auto"/>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（1）申请点与参照零售点在十字路口中轴线同一半侧的道路对侧的，取申请点至零售点最近一侧的门边，测量</w:t>
      </w:r>
      <w:r>
        <w:rPr>
          <w:rFonts w:hint="eastAsia" w:ascii="方正仿宋_GBK" w:hAnsi="方正仿宋_GBK" w:eastAsia="方正仿宋_GBK" w:cs="方正仿宋_GBK"/>
          <w:spacing w:val="10"/>
          <w:sz w:val="32"/>
          <w:szCs w:val="32"/>
          <w:lang w:eastAsia="zh-CN"/>
        </w:rPr>
        <w:t>可安全步行的最短距离</w:t>
      </w:r>
      <w:r>
        <w:rPr>
          <w:rFonts w:hint="eastAsia" w:ascii="方正仿宋_GBK" w:hAnsi="方正仿宋_GBK" w:eastAsia="方正仿宋_GBK" w:cs="方正仿宋_GBK"/>
          <w:sz w:val="32"/>
          <w:szCs w:val="32"/>
          <w:lang w:eastAsia="zh-CN"/>
        </w:rPr>
        <w:t>。具体测量办法视有无交通信号灯、人行横道或过街设施的路段以及障碍物情况而定。</w:t>
      </w:r>
      <w:r>
        <w:rPr>
          <w:rFonts w:hint="eastAsia" w:ascii="方正仿宋_GBK" w:hAnsi="方正仿宋_GBK" w:eastAsia="方正仿宋_GBK" w:cs="方正仿宋_GBK"/>
          <w:sz w:val="32"/>
          <w:szCs w:val="32"/>
        </w:rPr>
        <w:t>（如图</w:t>
      </w:r>
      <w:r>
        <w:rPr>
          <w:rFonts w:hint="default" w:ascii="Times New Roman" w:hAnsi="Times New Roman" w:eastAsia="方正仿宋_GBK" w:cs="Times New Roman"/>
          <w:sz w:val="32"/>
          <w:szCs w:val="32"/>
        </w:rPr>
        <w:t>12.2</w:t>
      </w:r>
      <w:r>
        <w:rPr>
          <w:rFonts w:hint="eastAsia" w:ascii="方正仿宋_GBK" w:hAnsi="方正仿宋_GBK" w:eastAsia="方正仿宋_GBK" w:cs="方正仿宋_GBK"/>
          <w:sz w:val="32"/>
          <w:szCs w:val="32"/>
        </w:rPr>
        <w:t>）</w:t>
      </w:r>
    </w:p>
    <w:p w14:paraId="0E2FD942">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905"/>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5CAE718C">
      <w:pPr>
        <w:spacing w:line="336" w:lineRule="auto"/>
        <w:ind w:firstLine="640" w:firstLineChars="200"/>
        <w:jc w:val="center"/>
        <w:rPr>
          <w:rFonts w:hint="default" w:ascii="Times New Roman" w:hAnsi="Times New Roman" w:eastAsia="方正仿宋_GBK" w:cs="Times New Roman"/>
          <w:sz w:val="32"/>
          <w:szCs w:val="32"/>
          <w:lang w:eastAsia="zh-CN"/>
        </w:rPr>
      </w:pPr>
      <w:r>
        <w:rPr>
          <w:rFonts w:hint="eastAsia" w:ascii="方正仿宋_GBK" w:hAnsi="方正仿宋_GBK" w:eastAsia="方正仿宋_GBK" w:cs="方正仿宋_GBK"/>
          <w:sz w:val="32"/>
          <w:szCs w:val="32"/>
          <w:lang w:eastAsia="zh-CN"/>
        </w:rPr>
        <w:t>图</w:t>
      </w:r>
      <w:r>
        <w:rPr>
          <w:rFonts w:hint="default" w:ascii="Times New Roman" w:hAnsi="Times New Roman" w:eastAsia="方正仿宋_GBK" w:cs="Times New Roman"/>
          <w:sz w:val="32"/>
          <w:szCs w:val="32"/>
          <w:lang w:eastAsia="zh-CN"/>
        </w:rPr>
        <w:t>12.2</w:t>
      </w:r>
    </w:p>
    <w:p w14:paraId="2B46E705">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方正仿宋_GBK" w:hAnsi="方正仿宋_GBK" w:eastAsia="方正仿宋_GBK" w:cs="方正仿宋_GBK"/>
          <w:spacing w:val="10"/>
          <w:sz w:val="32"/>
          <w:szCs w:val="32"/>
          <w:lang w:eastAsia="zh-CN"/>
        </w:rPr>
        <w:t>可安全步行最短距离</w:t>
      </w:r>
      <w:r>
        <w:rPr>
          <w:rFonts w:hint="eastAsia" w:ascii="方正仿宋_GBK" w:hAnsi="方正仿宋_GBK" w:eastAsia="方正仿宋_GBK" w:cs="方正仿宋_GBK"/>
          <w:sz w:val="32"/>
          <w:szCs w:val="32"/>
          <w:lang w:eastAsia="zh-CN"/>
        </w:rPr>
        <w:t>。（如图</w:t>
      </w:r>
      <w:r>
        <w:rPr>
          <w:rFonts w:hint="default" w:ascii="Times New Roman" w:hAnsi="Times New Roman" w:eastAsia="方正仿宋_GBK" w:cs="Times New Roman"/>
          <w:sz w:val="32"/>
          <w:szCs w:val="32"/>
          <w:lang w:eastAsia="zh-CN"/>
        </w:rPr>
        <w:t>12.3</w:t>
      </w:r>
      <w:r>
        <w:rPr>
          <w:rFonts w:hint="eastAsia" w:ascii="方正仿宋_GBK" w:hAnsi="方正仿宋_GBK" w:eastAsia="方正仿宋_GBK" w:cs="方正仿宋_GBK"/>
          <w:sz w:val="32"/>
          <w:szCs w:val="32"/>
          <w:lang w:eastAsia="zh-CN"/>
        </w:rPr>
        <w:t>存在多条线路取其中</w:t>
      </w:r>
      <w:r>
        <w:rPr>
          <w:rFonts w:hint="eastAsia" w:ascii="方正仿宋_GBK" w:hAnsi="方正仿宋_GBK" w:eastAsia="方正仿宋_GBK" w:cs="方正仿宋_GBK"/>
          <w:spacing w:val="10"/>
          <w:sz w:val="32"/>
          <w:szCs w:val="32"/>
          <w:lang w:eastAsia="zh-CN"/>
        </w:rPr>
        <w:t>可安全步行最短距离线路测量</w:t>
      </w:r>
      <w:r>
        <w:rPr>
          <w:rFonts w:hint="eastAsia" w:ascii="方正仿宋_GBK" w:hAnsi="方正仿宋_GBK" w:eastAsia="方正仿宋_GBK" w:cs="方正仿宋_GBK"/>
          <w:sz w:val="32"/>
          <w:szCs w:val="32"/>
          <w:lang w:eastAsia="zh-CN"/>
        </w:rPr>
        <w:t>）</w:t>
      </w:r>
    </w:p>
    <w:p w14:paraId="5A19788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2540" b="1270"/>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1E3147A8">
      <w:pPr>
        <w:spacing w:line="360" w:lineRule="auto"/>
        <w:ind w:firstLine="640" w:firstLineChars="20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图</w:t>
      </w:r>
      <w:r>
        <w:rPr>
          <w:rFonts w:hint="default" w:ascii="Times New Roman" w:hAnsi="Times New Roman" w:eastAsia="方正仿宋_GBK" w:cs="Times New Roman"/>
          <w:sz w:val="32"/>
          <w:szCs w:val="32"/>
        </w:rPr>
        <w:t>12.3</w:t>
      </w:r>
    </w:p>
    <w:p w14:paraId="6396BA7E">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（3）申请点与参照零售点位于十字路口对角位置，且路口中间未设有交通信号灯、人行横道或过街设施的，按申请点至零售点最近一侧的门边，测量</w:t>
      </w:r>
      <w:r>
        <w:rPr>
          <w:rFonts w:hint="eastAsia" w:ascii="方正仿宋_GBK" w:hAnsi="方正仿宋_GBK" w:eastAsia="方正仿宋_GBK" w:cs="方正仿宋_GBK"/>
          <w:spacing w:val="10"/>
          <w:sz w:val="32"/>
          <w:szCs w:val="32"/>
          <w:lang w:eastAsia="zh-CN"/>
        </w:rPr>
        <w:t>可安全步行最短距离</w:t>
      </w:r>
      <w:r>
        <w:rPr>
          <w:rFonts w:hint="eastAsia" w:ascii="方正仿宋_GBK" w:hAnsi="方正仿宋_GBK" w:eastAsia="方正仿宋_GBK" w:cs="方正仿宋_GBK"/>
          <w:sz w:val="32"/>
          <w:szCs w:val="32"/>
          <w:lang w:eastAsia="zh-CN"/>
        </w:rPr>
        <w:t>。（如图</w:t>
      </w:r>
      <w:r>
        <w:rPr>
          <w:rFonts w:hint="default" w:ascii="Times New Roman" w:hAnsi="Times New Roman" w:eastAsia="方正仿宋_GBK" w:cs="Times New Roman"/>
          <w:sz w:val="32"/>
          <w:szCs w:val="32"/>
          <w:lang w:eastAsia="zh-CN"/>
        </w:rPr>
        <w:t>12.4</w:t>
      </w:r>
      <w:r>
        <w:rPr>
          <w:rFonts w:hint="eastAsia" w:ascii="方正仿宋_GBK" w:hAnsi="方正仿宋_GBK" w:eastAsia="方正仿宋_GBK" w:cs="方正仿宋_GBK"/>
          <w:sz w:val="32"/>
          <w:szCs w:val="32"/>
          <w:lang w:eastAsia="zh-CN"/>
        </w:rPr>
        <w:t>存在多条线路，取其中一条</w:t>
      </w:r>
      <w:r>
        <w:rPr>
          <w:rFonts w:hint="eastAsia" w:ascii="方正仿宋_GBK" w:hAnsi="方正仿宋_GBK" w:eastAsia="方正仿宋_GBK" w:cs="方正仿宋_GBK"/>
          <w:spacing w:val="10"/>
          <w:sz w:val="32"/>
          <w:szCs w:val="32"/>
          <w:lang w:eastAsia="zh-CN"/>
        </w:rPr>
        <w:t>可安全步行最短距离线路测量</w:t>
      </w:r>
      <w:r>
        <w:rPr>
          <w:rFonts w:hint="eastAsia" w:ascii="方正仿宋_GBK" w:hAnsi="方正仿宋_GBK" w:eastAsia="方正仿宋_GBK" w:cs="方正仿宋_GBK"/>
          <w:sz w:val="32"/>
          <w:szCs w:val="32"/>
          <w:lang w:eastAsia="zh-CN"/>
        </w:rPr>
        <w:t>）</w:t>
      </w:r>
    </w:p>
    <w:p w14:paraId="287D5209">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6AC0EA13">
      <w:pPr>
        <w:spacing w:line="360" w:lineRule="auto"/>
        <w:ind w:firstLine="640" w:firstLineChars="200"/>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图</w:t>
      </w:r>
      <w:r>
        <w:rPr>
          <w:rFonts w:hint="default" w:ascii="Times New Roman" w:hAnsi="Times New Roman" w:eastAsia="方正仿宋_GBK" w:cs="Times New Roman"/>
          <w:sz w:val="32"/>
          <w:szCs w:val="32"/>
          <w:lang w:eastAsia="zh-CN"/>
        </w:rPr>
        <w:t>12.4</w:t>
      </w:r>
    </w:p>
    <w:p w14:paraId="05E0CDB2">
      <w:pPr>
        <w:pStyle w:val="2"/>
        <w:spacing w:line="336" w:lineRule="auto"/>
        <w:ind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（十三）封闭式小区内部、广场等区域零售点的间距测量方法均以原设计道路、人行通道正常安全步行的最短距离进行测量。</w:t>
      </w:r>
    </w:p>
    <w:p w14:paraId="44D9F702">
      <w:pPr>
        <w:pStyle w:val="2"/>
        <w:spacing w:line="336" w:lineRule="auto"/>
        <w:ind w:firstLine="680" w:firstLineChars="200"/>
        <w:rPr>
          <w:rFonts w:hint="eastAsia" w:ascii="方正仿宋_GBK" w:hAnsi="方正仿宋_GBK" w:eastAsia="方正仿宋_GBK" w:cs="方正仿宋_GBK"/>
          <w:spacing w:val="10"/>
          <w:sz w:val="32"/>
          <w:szCs w:val="32"/>
          <w:lang w:eastAsia="zh-CN"/>
        </w:rPr>
      </w:pPr>
      <w:r>
        <w:rPr>
          <w:rFonts w:hint="eastAsia" w:ascii="方正仿宋_GBK" w:hAnsi="方正仿宋_GBK" w:eastAsia="方正仿宋_GBK" w:cs="方正仿宋_GBK"/>
          <w:spacing w:val="10"/>
          <w:sz w:val="32"/>
          <w:szCs w:val="32"/>
          <w:lang w:eastAsia="zh-CN"/>
        </w:rPr>
        <w:t>（十四）特殊地形测量：因地形、地貌或设计等原因导致道路、通道成不规则形态，通过前述方法无法测量的，以可安全步行最短距离进行测量。</w:t>
      </w:r>
    </w:p>
    <w:p w14:paraId="39F08054">
      <w:pPr>
        <w:keepNext w:val="0"/>
        <w:keepLines w:val="0"/>
        <w:pageBreakBefore w:val="0"/>
        <w:widowControl/>
        <w:kinsoku/>
        <w:wordWrap w:val="0"/>
        <w:overflowPunct/>
        <w:topLinePunct w:val="0"/>
        <w:autoSpaceDE w:val="0"/>
        <w:autoSpaceDN w:val="0"/>
        <w:bidi w:val="0"/>
        <w:adjustRightInd w:val="0"/>
        <w:snapToGrid w:val="0"/>
        <w:spacing w:line="368" w:lineRule="auto"/>
        <w:textAlignment w:val="baseline"/>
        <w:rPr>
          <w:rFonts w:hint="eastAsia" w:ascii="方正仿宋_GBK" w:hAnsi="方正仿宋_GBK" w:eastAsia="方正仿宋_GBK" w:cs="方正仿宋_GBK"/>
          <w:sz w:val="32"/>
          <w:szCs w:val="32"/>
          <w:lang w:eastAsia="zh-CN"/>
        </w:rPr>
        <w:sectPr>
          <w:pgSz w:w="11906" w:h="16838"/>
          <w:pgMar w:top="2098" w:right="1474" w:bottom="1984" w:left="1587" w:header="0" w:footer="1701" w:gutter="0"/>
          <w:pgNumType w:fmt="decimal"/>
          <w:cols w:space="0" w:num="1"/>
          <w:docGrid w:linePitch="0" w:charSpace="0"/>
        </w:sectPr>
      </w:pPr>
    </w:p>
    <w:p w14:paraId="401D1383">
      <w:pPr>
        <w:widowControl w:val="0"/>
        <w:kinsoku/>
        <w:autoSpaceDE/>
        <w:autoSpaceDN/>
        <w:adjustRightInd/>
        <w:snapToGrid/>
        <w:spacing w:before="104" w:line="224" w:lineRule="auto"/>
        <w:ind w:left="619"/>
        <w:jc w:val="both"/>
        <w:textAlignment w:val="auto"/>
        <w:rPr>
          <w:rFonts w:hint="default" w:ascii="Times New Roman" w:hAnsi="Times New Roman" w:eastAsia="方正黑体_GBK" w:cs="Times New Roman"/>
          <w:snapToGrid/>
          <w:spacing w:val="8"/>
          <w:kern w:val="2"/>
          <w:sz w:val="32"/>
          <w:szCs w:val="32"/>
          <w:lang w:val="en-US" w:eastAsia="zh-CN"/>
        </w:rPr>
      </w:pPr>
      <w:r>
        <w:rPr>
          <w:rFonts w:hint="eastAsia" w:ascii="方正黑体_GBK" w:hAnsi="方正黑体_GBK" w:eastAsia="方正黑体_GBK" w:cs="方正黑体_GBK"/>
          <w:snapToGrid/>
          <w:spacing w:val="8"/>
          <w:kern w:val="2"/>
          <w:sz w:val="32"/>
          <w:szCs w:val="32"/>
          <w:lang w:eastAsia="zh-CN"/>
        </w:rPr>
        <w:t>附件</w:t>
      </w:r>
      <w:r>
        <w:rPr>
          <w:rFonts w:hint="default" w:ascii="Times New Roman" w:hAnsi="Times New Roman" w:eastAsia="方正黑体_GBK" w:cs="Times New Roman"/>
          <w:snapToGrid/>
          <w:spacing w:val="8"/>
          <w:kern w:val="2"/>
          <w:sz w:val="32"/>
          <w:szCs w:val="32"/>
          <w:lang w:val="en-US" w:eastAsia="zh-CN"/>
        </w:rPr>
        <w:t>2</w:t>
      </w:r>
    </w:p>
    <w:p w14:paraId="71D07656">
      <w:pPr>
        <w:widowControl w:val="0"/>
        <w:kinsoku/>
        <w:autoSpaceDE/>
        <w:autoSpaceDN/>
        <w:adjustRightInd/>
        <w:snapToGrid/>
        <w:spacing w:line="240" w:lineRule="auto"/>
        <w:jc w:val="center"/>
        <w:textAlignment w:val="auto"/>
        <w:rPr>
          <w:rFonts w:ascii="方正小标宋简体" w:eastAsia="方正小标宋简体" w:hAnsiTheme="minorHAnsi" w:cstheme="minorBidi"/>
          <w:snapToGrid/>
          <w:kern w:val="2"/>
          <w:sz w:val="44"/>
          <w:szCs w:val="24"/>
          <w:lang w:eastAsia="zh-CN"/>
        </w:rPr>
      </w:pPr>
      <w:r>
        <w:rPr>
          <w:rFonts w:hint="eastAsia" w:ascii="方正小标宋简体" w:eastAsia="方正小标宋简体" w:hAnsiTheme="minorHAnsi" w:cstheme="minorBidi"/>
          <w:snapToGrid/>
          <w:kern w:val="2"/>
          <w:sz w:val="44"/>
          <w:szCs w:val="24"/>
          <w:lang w:eastAsia="zh-CN"/>
        </w:rPr>
        <w:t>云南省易门县烟草制品零售点合理布局公示表</w:t>
      </w:r>
    </w:p>
    <w:p w14:paraId="35088883">
      <w:pPr>
        <w:widowControl w:val="0"/>
        <w:kinsoku/>
        <w:autoSpaceDE/>
        <w:autoSpaceDN/>
        <w:adjustRightInd/>
        <w:snapToGrid/>
        <w:spacing w:line="240" w:lineRule="auto"/>
        <w:jc w:val="both"/>
        <w:textAlignment w:val="auto"/>
        <w:rPr>
          <w:rFonts w:asciiTheme="minorHAnsi" w:hAnsiTheme="minorHAnsi" w:eastAsiaTheme="minorEastAsia" w:cstheme="minorBidi"/>
          <w:snapToGrid/>
          <w:kern w:val="2"/>
          <w:szCs w:val="24"/>
          <w:lang w:eastAsia="zh-CN"/>
        </w:rPr>
      </w:pPr>
      <w:r>
        <w:rPr>
          <w:rFonts w:hint="eastAsia" w:asciiTheme="minorEastAsia" w:hAnsiTheme="minorEastAsia" w:eastAsiaTheme="minorEastAsia" w:cstheme="minorBidi"/>
          <w:snapToGrid/>
          <w:kern w:val="2"/>
          <w:sz w:val="24"/>
          <w:szCs w:val="24"/>
          <w:lang w:eastAsia="zh-CN"/>
        </w:rPr>
        <w:t xml:space="preserve">单位：云南省易门县烟草专卖局                                        </w:t>
      </w:r>
      <w:r>
        <w:rPr>
          <w:rFonts w:asciiTheme="minorEastAsia" w:hAnsiTheme="minorEastAsia" w:eastAsiaTheme="minorEastAsia" w:cstheme="minorBidi"/>
          <w:snapToGrid/>
          <w:kern w:val="2"/>
          <w:sz w:val="24"/>
          <w:szCs w:val="24"/>
          <w:lang w:eastAsia="zh-CN"/>
        </w:rPr>
        <w:t xml:space="preserve">   </w:t>
      </w:r>
      <w:r>
        <w:rPr>
          <w:rFonts w:hint="eastAsia" w:asciiTheme="minorEastAsia" w:hAnsiTheme="minorEastAsia" w:eastAsiaTheme="minorEastAsia" w:cstheme="minorBidi"/>
          <w:snapToGrid/>
          <w:kern w:val="2"/>
          <w:sz w:val="24"/>
          <w:szCs w:val="24"/>
          <w:lang w:eastAsia="zh-CN"/>
        </w:rPr>
        <w:t>公示时间：2</w:t>
      </w:r>
      <w:r>
        <w:rPr>
          <w:rFonts w:asciiTheme="minorEastAsia" w:hAnsiTheme="minorEastAsia" w:eastAsiaTheme="minorEastAsia" w:cstheme="minorBidi"/>
          <w:snapToGrid/>
          <w:kern w:val="2"/>
          <w:sz w:val="24"/>
          <w:szCs w:val="24"/>
          <w:lang w:eastAsia="zh-CN"/>
        </w:rPr>
        <w:t>02</w:t>
      </w:r>
      <w:r>
        <w:rPr>
          <w:rFonts w:hint="eastAsia" w:asciiTheme="minorEastAsia" w:hAnsiTheme="minorEastAsia" w:eastAsiaTheme="minorEastAsia" w:cstheme="minorBidi"/>
          <w:snapToGrid/>
          <w:kern w:val="2"/>
          <w:sz w:val="24"/>
          <w:szCs w:val="24"/>
          <w:lang w:eastAsia="zh-CN"/>
        </w:rPr>
        <w:t>5年</w:t>
      </w:r>
      <w:r>
        <w:rPr>
          <w:rFonts w:hint="eastAsia" w:asciiTheme="minorEastAsia" w:hAnsiTheme="minorEastAsia" w:eastAsiaTheme="minorEastAsia" w:cstheme="minorBidi"/>
          <w:snapToGrid/>
          <w:kern w:val="2"/>
          <w:sz w:val="24"/>
          <w:szCs w:val="24"/>
          <w:lang w:val="en-US" w:eastAsia="zh-CN"/>
        </w:rPr>
        <w:t>7</w:t>
      </w:r>
      <w:r>
        <w:rPr>
          <w:rFonts w:hint="eastAsia" w:asciiTheme="minorEastAsia" w:hAnsiTheme="minorEastAsia" w:eastAsiaTheme="minorEastAsia" w:cstheme="minorBidi"/>
          <w:snapToGrid/>
          <w:kern w:val="2"/>
          <w:sz w:val="24"/>
          <w:szCs w:val="24"/>
          <w:lang w:eastAsia="zh-CN"/>
        </w:rPr>
        <w:t>月</w:t>
      </w:r>
      <w:r>
        <w:rPr>
          <w:rFonts w:hint="eastAsia" w:asciiTheme="minorEastAsia" w:hAnsiTheme="minorEastAsia" w:eastAsiaTheme="minorEastAsia" w:cstheme="minorBidi"/>
          <w:snapToGrid/>
          <w:kern w:val="2"/>
          <w:sz w:val="24"/>
          <w:szCs w:val="24"/>
          <w:lang w:val="en-US" w:eastAsia="zh-CN"/>
        </w:rPr>
        <w:t>3</w:t>
      </w:r>
      <w:r>
        <w:rPr>
          <w:rFonts w:hint="eastAsia" w:asciiTheme="minorEastAsia" w:hAnsiTheme="minorEastAsia" w:eastAsiaTheme="minorEastAsia" w:cstheme="minorBidi"/>
          <w:snapToGrid/>
          <w:kern w:val="2"/>
          <w:sz w:val="24"/>
          <w:szCs w:val="24"/>
          <w:lang w:eastAsia="zh-CN"/>
        </w:rPr>
        <w:t>日-</w:t>
      </w:r>
      <w:r>
        <w:rPr>
          <w:rFonts w:asciiTheme="minorEastAsia" w:hAnsiTheme="minorEastAsia" w:eastAsiaTheme="minorEastAsia" w:cstheme="minorBidi"/>
          <w:snapToGrid/>
          <w:kern w:val="2"/>
          <w:sz w:val="24"/>
          <w:szCs w:val="24"/>
          <w:lang w:eastAsia="zh-CN"/>
        </w:rPr>
        <w:t>202</w:t>
      </w:r>
      <w:r>
        <w:rPr>
          <w:rFonts w:hint="eastAsia" w:asciiTheme="minorEastAsia" w:hAnsiTheme="minorEastAsia" w:eastAsiaTheme="minorEastAsia" w:cstheme="minorBidi"/>
          <w:snapToGrid/>
          <w:kern w:val="2"/>
          <w:sz w:val="24"/>
          <w:szCs w:val="24"/>
          <w:lang w:eastAsia="zh-CN"/>
        </w:rPr>
        <w:t>5年</w:t>
      </w:r>
      <w:r>
        <w:rPr>
          <w:rFonts w:hint="eastAsia" w:asciiTheme="minorEastAsia" w:hAnsiTheme="minorEastAsia" w:eastAsiaTheme="minorEastAsia" w:cstheme="minorBidi"/>
          <w:snapToGrid/>
          <w:kern w:val="2"/>
          <w:sz w:val="24"/>
          <w:szCs w:val="24"/>
          <w:lang w:val="en-US" w:eastAsia="zh-CN"/>
        </w:rPr>
        <w:t>7</w:t>
      </w:r>
      <w:r>
        <w:rPr>
          <w:rFonts w:hint="eastAsia" w:asciiTheme="minorEastAsia" w:hAnsiTheme="minorEastAsia" w:eastAsiaTheme="minorEastAsia" w:cstheme="minorBidi"/>
          <w:snapToGrid/>
          <w:kern w:val="2"/>
          <w:sz w:val="24"/>
          <w:szCs w:val="24"/>
          <w:lang w:eastAsia="zh-CN"/>
        </w:rPr>
        <w:t>月</w:t>
      </w:r>
      <w:r>
        <w:rPr>
          <w:rFonts w:hint="eastAsia" w:asciiTheme="minorEastAsia" w:hAnsiTheme="minorEastAsia" w:eastAsiaTheme="minorEastAsia" w:cstheme="minorBidi"/>
          <w:snapToGrid/>
          <w:kern w:val="2"/>
          <w:sz w:val="24"/>
          <w:szCs w:val="24"/>
          <w:lang w:val="en-US" w:eastAsia="zh-CN"/>
        </w:rPr>
        <w:t>7</w:t>
      </w:r>
      <w:r>
        <w:rPr>
          <w:rFonts w:hint="eastAsia" w:asciiTheme="minorEastAsia" w:hAnsiTheme="minorEastAsia" w:eastAsiaTheme="minorEastAsia" w:cstheme="minorBidi"/>
          <w:snapToGrid/>
          <w:kern w:val="2"/>
          <w:sz w:val="24"/>
          <w:szCs w:val="24"/>
          <w:lang w:eastAsia="zh-CN"/>
        </w:rPr>
        <w:t>日</w:t>
      </w:r>
    </w:p>
    <w:tbl>
      <w:tblPr>
        <w:tblStyle w:val="6"/>
        <w:tblpPr w:leftFromText="180" w:rightFromText="180" w:vertAnchor="text" w:tblpXSpec="center" w:tblpY="1"/>
        <w:tblOverlap w:val="never"/>
        <w:tblW w:w="54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83"/>
        <w:gridCol w:w="4455"/>
        <w:gridCol w:w="1002"/>
        <w:gridCol w:w="1132"/>
        <w:gridCol w:w="775"/>
        <w:gridCol w:w="1167"/>
        <w:gridCol w:w="3858"/>
        <w:gridCol w:w="1011"/>
        <w:gridCol w:w="414"/>
      </w:tblGrid>
      <w:tr w14:paraId="2469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76" w:type="pct"/>
            <w:vAlign w:val="center"/>
          </w:tcPr>
          <w:p w14:paraId="65A68D68">
            <w:pPr>
              <w:widowControl w:val="0"/>
              <w:kinsoku/>
              <w:autoSpaceDE/>
              <w:autoSpaceDN/>
              <w:adjustRightInd/>
              <w:snapToGrid/>
              <w:spacing w:line="240" w:lineRule="auto"/>
              <w:ind w:firstLine="180" w:firstLineChars="100"/>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名称</w:t>
            </w:r>
          </w:p>
        </w:tc>
        <w:tc>
          <w:tcPr>
            <w:tcW w:w="1716" w:type="pct"/>
            <w:gridSpan w:val="2"/>
            <w:vAlign w:val="center"/>
          </w:tcPr>
          <w:p w14:paraId="466AF254">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单元网格划分情况</w:t>
            </w:r>
          </w:p>
        </w:tc>
        <w:tc>
          <w:tcPr>
            <w:tcW w:w="935" w:type="pct"/>
            <w:gridSpan w:val="3"/>
            <w:vAlign w:val="center"/>
          </w:tcPr>
          <w:p w14:paraId="17D41BED">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单元网格数量情况</w:t>
            </w:r>
          </w:p>
        </w:tc>
        <w:tc>
          <w:tcPr>
            <w:tcW w:w="1615" w:type="pct"/>
            <w:gridSpan w:val="2"/>
            <w:vAlign w:val="center"/>
          </w:tcPr>
          <w:p w14:paraId="0ED1CF24">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单元网格数量情况</w:t>
            </w:r>
          </w:p>
        </w:tc>
        <w:tc>
          <w:tcPr>
            <w:tcW w:w="325" w:type="pct"/>
            <w:vAlign w:val="center"/>
          </w:tcPr>
          <w:p w14:paraId="4CBFFEEA">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总量情况(个</w:t>
            </w:r>
            <w:r>
              <w:rPr>
                <w:rFonts w:asciiTheme="minorEastAsia" w:hAnsiTheme="minorEastAsia" w:eastAsiaTheme="minorEastAsia" w:cstheme="minorBidi"/>
                <w:snapToGrid/>
                <w:kern w:val="2"/>
                <w:sz w:val="18"/>
                <w:szCs w:val="18"/>
                <w:lang w:eastAsia="zh-CN" w:bidi="ar"/>
              </w:rPr>
              <w:t>)</w:t>
            </w:r>
          </w:p>
        </w:tc>
        <w:tc>
          <w:tcPr>
            <w:tcW w:w="133" w:type="pct"/>
            <w:vAlign w:val="center"/>
          </w:tcPr>
          <w:p w14:paraId="4575189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备注</w:t>
            </w:r>
          </w:p>
        </w:tc>
      </w:tr>
      <w:tr w14:paraId="301C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76" w:type="pct"/>
            <w:vMerge w:val="restart"/>
            <w:vAlign w:val="center"/>
          </w:tcPr>
          <w:p w14:paraId="79BA5B2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易门县</w:t>
            </w:r>
          </w:p>
        </w:tc>
        <w:tc>
          <w:tcPr>
            <w:tcW w:w="284" w:type="pct"/>
            <w:vAlign w:val="center"/>
          </w:tcPr>
          <w:p w14:paraId="18FD3916">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名称</w:t>
            </w:r>
          </w:p>
        </w:tc>
        <w:tc>
          <w:tcPr>
            <w:tcW w:w="1432" w:type="pct"/>
            <w:vAlign w:val="center"/>
          </w:tcPr>
          <w:p w14:paraId="74937640">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asciiTheme="minorEastAsia" w:hAnsiTheme="minorEastAsia" w:eastAsiaTheme="minorEastAsia" w:cstheme="minorBidi"/>
                <w:snapToGrid/>
                <w:kern w:val="2"/>
                <w:sz w:val="18"/>
                <w:szCs w:val="18"/>
                <w:lang w:eastAsia="zh-CN"/>
              </w:rPr>
              <w:t>区域描述</w:t>
            </w:r>
          </w:p>
        </w:tc>
        <w:tc>
          <w:tcPr>
            <w:tcW w:w="322" w:type="pct"/>
            <w:vAlign w:val="center"/>
          </w:tcPr>
          <w:p w14:paraId="59C0C8E9">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规划数(个</w:t>
            </w:r>
            <w:r>
              <w:rPr>
                <w:rFonts w:asciiTheme="minorEastAsia" w:hAnsiTheme="minorEastAsia" w:eastAsiaTheme="minorEastAsia" w:cstheme="minorBidi"/>
                <w:snapToGrid/>
                <w:kern w:val="2"/>
                <w:sz w:val="18"/>
                <w:szCs w:val="18"/>
                <w:lang w:eastAsia="zh-CN" w:bidi="ar"/>
              </w:rPr>
              <w:t>)</w:t>
            </w:r>
          </w:p>
        </w:tc>
        <w:tc>
          <w:tcPr>
            <w:tcW w:w="364" w:type="pct"/>
            <w:vAlign w:val="center"/>
          </w:tcPr>
          <w:p w14:paraId="5335FBAC">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当前实际数(个</w:t>
            </w:r>
            <w:r>
              <w:rPr>
                <w:rFonts w:asciiTheme="minorEastAsia" w:hAnsiTheme="minorEastAsia" w:eastAsiaTheme="minorEastAsia" w:cstheme="minorBidi"/>
                <w:snapToGrid/>
                <w:kern w:val="2"/>
                <w:sz w:val="18"/>
                <w:szCs w:val="18"/>
                <w:lang w:eastAsia="zh-CN" w:bidi="ar"/>
              </w:rPr>
              <w:t>)</w:t>
            </w:r>
          </w:p>
        </w:tc>
        <w:tc>
          <w:tcPr>
            <w:tcW w:w="249" w:type="pct"/>
            <w:vAlign w:val="center"/>
          </w:tcPr>
          <w:p w14:paraId="6B2F377F">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余量(个</w:t>
            </w:r>
            <w:r>
              <w:rPr>
                <w:rFonts w:asciiTheme="minorEastAsia" w:hAnsiTheme="minorEastAsia" w:eastAsiaTheme="minorEastAsia" w:cstheme="minorBidi"/>
                <w:snapToGrid/>
                <w:kern w:val="2"/>
                <w:sz w:val="18"/>
                <w:szCs w:val="18"/>
                <w:lang w:eastAsia="zh-CN" w:bidi="ar"/>
              </w:rPr>
              <w:t>)</w:t>
            </w:r>
          </w:p>
        </w:tc>
        <w:tc>
          <w:tcPr>
            <w:tcW w:w="375" w:type="pct"/>
            <w:vAlign w:val="center"/>
          </w:tcPr>
          <w:p w14:paraId="0796008B">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零售点间距</w:t>
            </w:r>
            <w:r>
              <w:rPr>
                <w:rFonts w:hint="eastAsia" w:asciiTheme="minorEastAsia" w:hAnsiTheme="minorEastAsia" w:eastAsiaTheme="minorEastAsia" w:cstheme="minorBidi"/>
                <w:snapToGrid/>
                <w:kern w:val="2"/>
                <w:sz w:val="18"/>
                <w:szCs w:val="18"/>
                <w:lang w:eastAsia="zh-CN" w:bidi="ar"/>
              </w:rPr>
              <w:t>(米</w:t>
            </w:r>
            <w:r>
              <w:rPr>
                <w:rFonts w:asciiTheme="minorEastAsia" w:hAnsiTheme="minorEastAsia" w:eastAsiaTheme="minorEastAsia" w:cstheme="minorBidi"/>
                <w:snapToGrid/>
                <w:kern w:val="2"/>
                <w:sz w:val="18"/>
                <w:szCs w:val="18"/>
                <w:lang w:eastAsia="zh-CN" w:bidi="ar"/>
              </w:rPr>
              <w:t>)</w:t>
            </w:r>
          </w:p>
        </w:tc>
        <w:tc>
          <w:tcPr>
            <w:tcW w:w="1240" w:type="pct"/>
            <w:vAlign w:val="center"/>
          </w:tcPr>
          <w:p w14:paraId="30D13F86">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其他条件描述</w:t>
            </w:r>
          </w:p>
        </w:tc>
        <w:tc>
          <w:tcPr>
            <w:tcW w:w="325" w:type="pct"/>
            <w:vMerge w:val="restart"/>
            <w:vAlign w:val="center"/>
          </w:tcPr>
          <w:p w14:paraId="730784D3">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1</w:t>
            </w:r>
            <w:r>
              <w:rPr>
                <w:rFonts w:asciiTheme="minorEastAsia" w:hAnsiTheme="minorEastAsia" w:eastAsiaTheme="minorEastAsia" w:cstheme="minorBidi"/>
                <w:snapToGrid/>
                <w:kern w:val="2"/>
                <w:sz w:val="18"/>
                <w:szCs w:val="18"/>
                <w:lang w:eastAsia="zh-CN"/>
              </w:rPr>
              <w:t>000</w:t>
            </w:r>
          </w:p>
        </w:tc>
        <w:tc>
          <w:tcPr>
            <w:tcW w:w="133" w:type="pct"/>
            <w:vAlign w:val="center"/>
          </w:tcPr>
          <w:p w14:paraId="35E45AF8">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r>
      <w:tr w14:paraId="70D7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276" w:type="pct"/>
            <w:vMerge w:val="continue"/>
            <w:vAlign w:val="center"/>
          </w:tcPr>
          <w:p w14:paraId="68B876B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7F329C0B">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龙泉北片区</w:t>
            </w:r>
          </w:p>
        </w:tc>
        <w:tc>
          <w:tcPr>
            <w:tcW w:w="1432" w:type="pct"/>
            <w:vAlign w:val="center"/>
          </w:tcPr>
          <w:p w14:paraId="4E51CA0F">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bidi="ar"/>
              </w:rPr>
            </w:pPr>
            <w:r>
              <w:rPr>
                <w:rFonts w:asciiTheme="minorEastAsia" w:hAnsiTheme="minorEastAsia" w:eastAsiaTheme="minorEastAsia" w:cstheme="minorBidi"/>
                <w:snapToGrid/>
                <w:kern w:val="2"/>
                <w:sz w:val="18"/>
                <w:szCs w:val="18"/>
                <w:lang w:eastAsia="zh-CN" w:bidi="ar"/>
              </w:rPr>
              <w:t>龙泉街道龙泉路</w:t>
            </w:r>
            <w:r>
              <w:rPr>
                <w:rFonts w:hint="eastAsia" w:asciiTheme="minorEastAsia" w:hAnsiTheme="minorEastAsia" w:eastAsiaTheme="minorEastAsia" w:cstheme="minorBidi"/>
                <w:snapToGrid/>
                <w:kern w:val="2"/>
                <w:sz w:val="18"/>
                <w:szCs w:val="18"/>
                <w:lang w:eastAsia="zh-CN" w:bidi="ar"/>
              </w:rPr>
              <w:t>—方屯路—菌乡大道以北—易兴路以北含易门县梨园湖公园—西环路以北—文昌路—南屯湖东路含御景龙园—南屯湖北路含易门野生菌博物馆—南屯湖西路含易门县园林绿化管理所—龙泉路</w:t>
            </w:r>
          </w:p>
        </w:tc>
        <w:tc>
          <w:tcPr>
            <w:tcW w:w="322" w:type="pct"/>
            <w:vAlign w:val="center"/>
          </w:tcPr>
          <w:p w14:paraId="7ADAE56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230</w:t>
            </w:r>
          </w:p>
        </w:tc>
        <w:tc>
          <w:tcPr>
            <w:tcW w:w="364" w:type="pct"/>
            <w:vAlign w:val="center"/>
          </w:tcPr>
          <w:p w14:paraId="2A3E5ABE">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val="en-US" w:eastAsia="zh-CN"/>
              </w:rPr>
              <w:t>226</w:t>
            </w:r>
          </w:p>
        </w:tc>
        <w:tc>
          <w:tcPr>
            <w:tcW w:w="249" w:type="pct"/>
            <w:vAlign w:val="center"/>
          </w:tcPr>
          <w:p w14:paraId="65D44BB3">
            <w:pPr>
              <w:widowControl w:val="0"/>
              <w:kinsoku/>
              <w:autoSpaceDE/>
              <w:autoSpaceDN/>
              <w:adjustRightInd/>
              <w:snapToGrid/>
              <w:spacing w:line="240" w:lineRule="auto"/>
              <w:jc w:val="center"/>
              <w:textAlignment w:val="auto"/>
              <w:rPr>
                <w:rFonts w:hint="eastAsia"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val="en-US" w:eastAsia="zh-CN"/>
              </w:rPr>
              <w:t>4</w:t>
            </w:r>
          </w:p>
        </w:tc>
        <w:tc>
          <w:tcPr>
            <w:tcW w:w="375" w:type="pct"/>
            <w:vMerge w:val="restart"/>
            <w:vAlign w:val="center"/>
          </w:tcPr>
          <w:p w14:paraId="1FB0657C">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5</w:t>
            </w:r>
            <w:r>
              <w:rPr>
                <w:rFonts w:asciiTheme="minorEastAsia" w:hAnsiTheme="minorEastAsia" w:eastAsiaTheme="minorEastAsia" w:cstheme="minorBidi"/>
                <w:snapToGrid/>
                <w:kern w:val="2"/>
                <w:sz w:val="18"/>
                <w:szCs w:val="18"/>
                <w:lang w:eastAsia="zh-CN"/>
              </w:rPr>
              <w:t>0</w:t>
            </w:r>
          </w:p>
        </w:tc>
        <w:tc>
          <w:tcPr>
            <w:tcW w:w="1240" w:type="pct"/>
            <w:vMerge w:val="restart"/>
            <w:vAlign w:val="center"/>
          </w:tcPr>
          <w:p w14:paraId="5D0732A5">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1.相对封闭式居民住宅小区内部商铺，按住户数进行布局，居住户数100户以内可以设置1个零售点，超过100户的，每100户可增设1个零售点，零售点间距不少于50米，且经营场所必须为平层开放式门店；居民住宅小区的临街门面，面朝小区外部经营，按照所在路段街道（路）设置零售点。</w:t>
            </w:r>
          </w:p>
          <w:p w14:paraId="16EC08DC">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2.人口较为集中、相对独立的综合性商（农）贸市场或区域，根据该区域内固定商铺数量设置零售点，20间商铺以内可设置1个零售点，且间距不少于30米；超过20间的，每20间增设1个零售点，且满足间距不少于30米。因道路规划、城市建设等客观原因，造成综合性商（农）贸市场或区域整体搬迁的，持证人申请变更到新建综合性商（农）贸市场或区域内经营的，不受固定商铺数量限制，受零售点间距限制。</w:t>
            </w:r>
          </w:p>
          <w:p w14:paraId="56086C1E">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店面内外相通的商铺，既要符合所在街道、路段的间距要求又要符合所在区域的固定商铺数量和30米间距要求。</w:t>
            </w:r>
          </w:p>
          <w:p w14:paraId="2202974D">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3.单层经营场所面积在200平方米以上，且服务时间在12小时/天以上的商场、超市、休闲娱乐等场所，不受间距限制（中小学、幼儿园周边除外）。</w:t>
            </w:r>
          </w:p>
          <w:p w14:paraId="314F231B">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4.自然村及搬迁点，按实际居住人口数进行布局，人口数200人以内可以设置1个零售点，每增加200人可增设1个零售点，且零售点间距不少于30米（实际居住人口以政府部门提供的人口数据为准）。</w:t>
            </w:r>
          </w:p>
          <w:p w14:paraId="5CD8E170">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5.厂矿、园区等相对封闭区域为满足员工消费需求，需从事烟草制品零售业务的超市、便利店等经营场所，根据该区域内部员工人数为依据设置零售点，每500人以内可设置1个零售点，超过500人的，每500人设1个零售点，且间距不少于50米，最多可设置3个零售点。</w:t>
            </w:r>
          </w:p>
          <w:p w14:paraId="2EB41DC8">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6.工业园区主干道公路沿线零售点间距不少于50米。</w:t>
            </w:r>
          </w:p>
        </w:tc>
        <w:tc>
          <w:tcPr>
            <w:tcW w:w="325" w:type="pct"/>
            <w:vMerge w:val="continue"/>
            <w:vAlign w:val="center"/>
          </w:tcPr>
          <w:p w14:paraId="3867CE4E">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39F5D19D">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0099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76" w:type="pct"/>
            <w:vMerge w:val="continue"/>
            <w:vAlign w:val="center"/>
          </w:tcPr>
          <w:p w14:paraId="069A3D45">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66AB0470">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龙泉南片区</w:t>
            </w:r>
          </w:p>
        </w:tc>
        <w:tc>
          <w:tcPr>
            <w:tcW w:w="1432" w:type="pct"/>
            <w:vAlign w:val="center"/>
          </w:tcPr>
          <w:p w14:paraId="00E97CDF">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龙泉街道龙泉路以南含易门县委党校—泉西路含东君酒业、易门县森林公安局及水源地休闲园—G357（易象段）含半山农家院—济川路含象山华庭—桥头街含云南铜业高级技工学校及云铜技校实习基地—水城大街含同心小区—易门县第一幼儿园—G357以南含中国石油罗所加油站、梅营南庄畜牧交易市场—X179含朝阳东苑小区—X095以北—方屯路（206县道）—龙泉路</w:t>
            </w:r>
          </w:p>
        </w:tc>
        <w:tc>
          <w:tcPr>
            <w:tcW w:w="322" w:type="pct"/>
            <w:vAlign w:val="center"/>
          </w:tcPr>
          <w:p w14:paraId="7C1D1E6B">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eastAsia="zh-CN"/>
              </w:rPr>
              <w:t>2</w:t>
            </w:r>
            <w:r>
              <w:rPr>
                <w:rFonts w:hint="eastAsia" w:asciiTheme="minorEastAsia" w:hAnsiTheme="minorEastAsia" w:eastAsiaTheme="minorEastAsia" w:cstheme="minorBidi"/>
                <w:snapToGrid/>
                <w:kern w:val="2"/>
                <w:sz w:val="18"/>
                <w:szCs w:val="18"/>
                <w:lang w:val="en-US" w:eastAsia="zh-CN"/>
              </w:rPr>
              <w:t>42</w:t>
            </w:r>
          </w:p>
        </w:tc>
        <w:tc>
          <w:tcPr>
            <w:tcW w:w="364" w:type="pct"/>
            <w:vAlign w:val="center"/>
          </w:tcPr>
          <w:p w14:paraId="0328A9B8">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val="en-US" w:eastAsia="zh-CN"/>
              </w:rPr>
              <w:t>230</w:t>
            </w:r>
          </w:p>
        </w:tc>
        <w:tc>
          <w:tcPr>
            <w:tcW w:w="249" w:type="pct"/>
            <w:vAlign w:val="center"/>
          </w:tcPr>
          <w:p w14:paraId="1A58C633">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val="en-US" w:eastAsia="zh-CN"/>
              </w:rPr>
              <w:t>12</w:t>
            </w:r>
          </w:p>
        </w:tc>
        <w:tc>
          <w:tcPr>
            <w:tcW w:w="375" w:type="pct"/>
            <w:vMerge w:val="continue"/>
            <w:vAlign w:val="center"/>
          </w:tcPr>
          <w:p w14:paraId="243C6EFC">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66E7C87A">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72B4FB08">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71E1C684">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4C70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6" w:type="pct"/>
            <w:vMerge w:val="continue"/>
            <w:vAlign w:val="center"/>
          </w:tcPr>
          <w:p w14:paraId="00C0B5B4">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686619B6">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龙泉城郊片区</w:t>
            </w:r>
          </w:p>
        </w:tc>
        <w:tc>
          <w:tcPr>
            <w:tcW w:w="1432" w:type="pct"/>
            <w:vAlign w:val="center"/>
          </w:tcPr>
          <w:p w14:paraId="4E093D55">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龙泉街道中屯社区、罗所社区、梅营社区、曾所社区、江口社区、方屯社区、韩所社区、蔡营社区、水桥社区</w:t>
            </w:r>
          </w:p>
        </w:tc>
        <w:tc>
          <w:tcPr>
            <w:tcW w:w="322" w:type="pct"/>
            <w:vAlign w:val="center"/>
          </w:tcPr>
          <w:p w14:paraId="6025B7DF">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asciiTheme="minorEastAsia" w:hAnsiTheme="minorEastAsia" w:eastAsiaTheme="minorEastAsia" w:cstheme="minorBidi"/>
                <w:snapToGrid/>
                <w:kern w:val="2"/>
                <w:sz w:val="18"/>
                <w:szCs w:val="18"/>
                <w:lang w:eastAsia="zh-CN"/>
              </w:rPr>
              <w:t>1</w:t>
            </w:r>
            <w:r>
              <w:rPr>
                <w:rFonts w:hint="eastAsia" w:asciiTheme="minorEastAsia" w:hAnsiTheme="minorEastAsia" w:eastAsiaTheme="minorEastAsia" w:cstheme="minorBidi"/>
                <w:snapToGrid/>
                <w:kern w:val="2"/>
                <w:sz w:val="18"/>
                <w:szCs w:val="18"/>
                <w:lang w:eastAsia="zh-CN"/>
              </w:rPr>
              <w:t>55</w:t>
            </w:r>
          </w:p>
        </w:tc>
        <w:tc>
          <w:tcPr>
            <w:tcW w:w="364" w:type="pct"/>
            <w:vAlign w:val="center"/>
          </w:tcPr>
          <w:p w14:paraId="5601BB0D">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val="en-US" w:eastAsia="zh-CN"/>
              </w:rPr>
              <w:t>154</w:t>
            </w:r>
          </w:p>
        </w:tc>
        <w:tc>
          <w:tcPr>
            <w:tcW w:w="249" w:type="pct"/>
            <w:vAlign w:val="center"/>
          </w:tcPr>
          <w:p w14:paraId="4A468B63">
            <w:pPr>
              <w:widowControl w:val="0"/>
              <w:kinsoku/>
              <w:autoSpaceDE/>
              <w:autoSpaceDN/>
              <w:adjustRightInd/>
              <w:snapToGrid/>
              <w:spacing w:line="240" w:lineRule="auto"/>
              <w:jc w:val="center"/>
              <w:textAlignment w:val="auto"/>
              <w:rPr>
                <w:rFonts w:hint="eastAsia"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val="en-US" w:eastAsia="zh-CN"/>
              </w:rPr>
              <w:t>1</w:t>
            </w:r>
          </w:p>
        </w:tc>
        <w:tc>
          <w:tcPr>
            <w:tcW w:w="375" w:type="pct"/>
            <w:vMerge w:val="restart"/>
            <w:vAlign w:val="center"/>
          </w:tcPr>
          <w:p w14:paraId="5DCF9150">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3</w:t>
            </w:r>
            <w:r>
              <w:rPr>
                <w:rFonts w:asciiTheme="minorEastAsia" w:hAnsiTheme="minorEastAsia" w:eastAsiaTheme="minorEastAsia" w:cstheme="minorBidi"/>
                <w:snapToGrid/>
                <w:kern w:val="2"/>
                <w:sz w:val="18"/>
                <w:szCs w:val="18"/>
                <w:lang w:eastAsia="zh-CN"/>
              </w:rPr>
              <w:t>0</w:t>
            </w:r>
          </w:p>
        </w:tc>
        <w:tc>
          <w:tcPr>
            <w:tcW w:w="1240" w:type="pct"/>
            <w:vMerge w:val="continue"/>
            <w:vAlign w:val="center"/>
          </w:tcPr>
          <w:p w14:paraId="372B9F31">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461EF180">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6D68599D">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3559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 w:type="pct"/>
            <w:vMerge w:val="continue"/>
            <w:vAlign w:val="center"/>
          </w:tcPr>
          <w:p w14:paraId="58C17C41">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6DA4B77D">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浦贝乡片区</w:t>
            </w:r>
          </w:p>
        </w:tc>
        <w:tc>
          <w:tcPr>
            <w:tcW w:w="1432" w:type="pct"/>
            <w:vAlign w:val="center"/>
          </w:tcPr>
          <w:p w14:paraId="102DCBBB">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bidi="ar"/>
              </w:rPr>
            </w:pPr>
            <w:r>
              <w:rPr>
                <w:rFonts w:hint="eastAsia" w:asciiTheme="minorEastAsia" w:hAnsiTheme="minorEastAsia" w:eastAsiaTheme="minorEastAsia" w:cstheme="minorBidi"/>
                <w:snapToGrid/>
                <w:kern w:val="2"/>
                <w:sz w:val="18"/>
                <w:szCs w:val="18"/>
                <w:lang w:eastAsia="zh-CN" w:bidi="ar"/>
              </w:rPr>
              <w:t>以乡行政区域界限为参考作为浦贝乡单元网格</w:t>
            </w:r>
          </w:p>
        </w:tc>
        <w:tc>
          <w:tcPr>
            <w:tcW w:w="322" w:type="pct"/>
            <w:vAlign w:val="center"/>
          </w:tcPr>
          <w:p w14:paraId="2F9F8482">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62</w:t>
            </w:r>
          </w:p>
        </w:tc>
        <w:tc>
          <w:tcPr>
            <w:tcW w:w="364" w:type="pct"/>
            <w:vAlign w:val="center"/>
          </w:tcPr>
          <w:p w14:paraId="2683F9D3">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val="en-US" w:eastAsia="zh-CN"/>
              </w:rPr>
              <w:t>61</w:t>
            </w:r>
          </w:p>
        </w:tc>
        <w:tc>
          <w:tcPr>
            <w:tcW w:w="249" w:type="pct"/>
            <w:vAlign w:val="center"/>
          </w:tcPr>
          <w:p w14:paraId="666E420F">
            <w:pPr>
              <w:widowControl w:val="0"/>
              <w:kinsoku/>
              <w:autoSpaceDE/>
              <w:autoSpaceDN/>
              <w:adjustRightInd/>
              <w:snapToGrid/>
              <w:spacing w:line="240" w:lineRule="auto"/>
              <w:jc w:val="center"/>
              <w:textAlignment w:val="auto"/>
              <w:rPr>
                <w:rFonts w:hint="eastAsia"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val="en-US" w:eastAsia="zh-CN"/>
              </w:rPr>
              <w:t>1</w:t>
            </w:r>
          </w:p>
        </w:tc>
        <w:tc>
          <w:tcPr>
            <w:tcW w:w="375" w:type="pct"/>
            <w:vMerge w:val="continue"/>
            <w:vAlign w:val="center"/>
          </w:tcPr>
          <w:p w14:paraId="42613F9A">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20209C60">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758EC463">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2F273A8E">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626C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76" w:type="pct"/>
            <w:vMerge w:val="continue"/>
            <w:vAlign w:val="center"/>
          </w:tcPr>
          <w:p w14:paraId="5FBCD680">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4CE0536E">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十街乡</w:t>
            </w:r>
            <w:r>
              <w:rPr>
                <w:rFonts w:hint="eastAsia" w:asciiTheme="minorEastAsia" w:hAnsiTheme="minorEastAsia" w:eastAsiaTheme="minorEastAsia" w:cstheme="minorBidi"/>
                <w:snapToGrid/>
                <w:kern w:val="2"/>
                <w:sz w:val="18"/>
                <w:szCs w:val="18"/>
                <w:lang w:eastAsia="zh-CN" w:bidi="ar"/>
              </w:rPr>
              <w:t>片区</w:t>
            </w:r>
          </w:p>
        </w:tc>
        <w:tc>
          <w:tcPr>
            <w:tcW w:w="1432" w:type="pct"/>
            <w:vAlign w:val="center"/>
          </w:tcPr>
          <w:p w14:paraId="24E1CB91">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bidi="ar"/>
              </w:rPr>
            </w:pPr>
            <w:r>
              <w:rPr>
                <w:rFonts w:hint="eastAsia" w:asciiTheme="minorEastAsia" w:hAnsiTheme="minorEastAsia" w:eastAsiaTheme="minorEastAsia" w:cstheme="minorBidi"/>
                <w:snapToGrid/>
                <w:kern w:val="2"/>
                <w:sz w:val="18"/>
                <w:szCs w:val="18"/>
                <w:lang w:eastAsia="zh-CN" w:bidi="ar"/>
              </w:rPr>
              <w:t>以乡行政区域界限为参考作为十街乡单元网格</w:t>
            </w:r>
          </w:p>
        </w:tc>
        <w:tc>
          <w:tcPr>
            <w:tcW w:w="322" w:type="pct"/>
            <w:vAlign w:val="center"/>
          </w:tcPr>
          <w:p w14:paraId="125689B1">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46</w:t>
            </w:r>
          </w:p>
        </w:tc>
        <w:tc>
          <w:tcPr>
            <w:tcW w:w="364" w:type="pct"/>
            <w:vAlign w:val="center"/>
          </w:tcPr>
          <w:p w14:paraId="120325BA">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4</w:t>
            </w:r>
            <w:r>
              <w:rPr>
                <w:rFonts w:asciiTheme="minorEastAsia" w:hAnsiTheme="minorEastAsia" w:eastAsiaTheme="minorEastAsia" w:cstheme="minorBidi"/>
                <w:snapToGrid/>
                <w:kern w:val="2"/>
                <w:sz w:val="18"/>
                <w:szCs w:val="18"/>
                <w:lang w:eastAsia="zh-CN"/>
              </w:rPr>
              <w:t>6</w:t>
            </w:r>
          </w:p>
        </w:tc>
        <w:tc>
          <w:tcPr>
            <w:tcW w:w="249" w:type="pct"/>
            <w:vAlign w:val="center"/>
          </w:tcPr>
          <w:p w14:paraId="5A95F99D">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0</w:t>
            </w:r>
          </w:p>
        </w:tc>
        <w:tc>
          <w:tcPr>
            <w:tcW w:w="375" w:type="pct"/>
            <w:vMerge w:val="continue"/>
            <w:vAlign w:val="center"/>
          </w:tcPr>
          <w:p w14:paraId="4988CD62">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0BFF2446">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1FEB4BFF">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1D220721">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3CBD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76" w:type="pct"/>
            <w:vMerge w:val="continue"/>
            <w:vAlign w:val="center"/>
          </w:tcPr>
          <w:p w14:paraId="05010B6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140264A0">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铜厂乡</w:t>
            </w:r>
            <w:r>
              <w:rPr>
                <w:rFonts w:hint="eastAsia" w:asciiTheme="minorEastAsia" w:hAnsiTheme="minorEastAsia" w:eastAsiaTheme="minorEastAsia" w:cstheme="minorBidi"/>
                <w:snapToGrid/>
                <w:kern w:val="2"/>
                <w:sz w:val="18"/>
                <w:szCs w:val="18"/>
                <w:lang w:eastAsia="zh-CN" w:bidi="ar"/>
              </w:rPr>
              <w:t>片区</w:t>
            </w:r>
          </w:p>
        </w:tc>
        <w:tc>
          <w:tcPr>
            <w:tcW w:w="1432" w:type="pct"/>
            <w:vAlign w:val="center"/>
          </w:tcPr>
          <w:p w14:paraId="766BFF3A">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bidi="ar"/>
              </w:rPr>
            </w:pPr>
            <w:r>
              <w:rPr>
                <w:rFonts w:hint="eastAsia" w:asciiTheme="minorEastAsia" w:hAnsiTheme="minorEastAsia" w:eastAsiaTheme="minorEastAsia" w:cstheme="minorBidi"/>
                <w:snapToGrid/>
                <w:kern w:val="2"/>
                <w:sz w:val="18"/>
                <w:szCs w:val="18"/>
                <w:lang w:eastAsia="zh-CN" w:bidi="ar"/>
              </w:rPr>
              <w:t>以乡行政区域界限为参考作为铜厂乡单元网格</w:t>
            </w:r>
          </w:p>
        </w:tc>
        <w:tc>
          <w:tcPr>
            <w:tcW w:w="322" w:type="pct"/>
            <w:vAlign w:val="center"/>
          </w:tcPr>
          <w:p w14:paraId="0EBBCF4B">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51</w:t>
            </w:r>
          </w:p>
        </w:tc>
        <w:tc>
          <w:tcPr>
            <w:tcW w:w="364" w:type="pct"/>
            <w:vAlign w:val="center"/>
          </w:tcPr>
          <w:p w14:paraId="0B459A64">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5</w:t>
            </w:r>
            <w:r>
              <w:rPr>
                <w:rFonts w:asciiTheme="minorEastAsia" w:hAnsiTheme="minorEastAsia" w:eastAsiaTheme="minorEastAsia" w:cstheme="minorBidi"/>
                <w:snapToGrid/>
                <w:kern w:val="2"/>
                <w:sz w:val="18"/>
                <w:szCs w:val="18"/>
                <w:lang w:eastAsia="zh-CN"/>
              </w:rPr>
              <w:t>1</w:t>
            </w:r>
          </w:p>
        </w:tc>
        <w:tc>
          <w:tcPr>
            <w:tcW w:w="249" w:type="pct"/>
            <w:vAlign w:val="center"/>
          </w:tcPr>
          <w:p w14:paraId="1090EB4A">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0</w:t>
            </w:r>
          </w:p>
        </w:tc>
        <w:tc>
          <w:tcPr>
            <w:tcW w:w="375" w:type="pct"/>
            <w:vMerge w:val="continue"/>
            <w:vAlign w:val="center"/>
          </w:tcPr>
          <w:p w14:paraId="1A391899">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6A4B0773">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53A880E9">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3D4B2504">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03BC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 w:type="pct"/>
            <w:vMerge w:val="continue"/>
            <w:vAlign w:val="center"/>
          </w:tcPr>
          <w:p w14:paraId="658CF6C2">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13D09B2D">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绿汁镇</w:t>
            </w:r>
            <w:r>
              <w:rPr>
                <w:rFonts w:hint="eastAsia" w:asciiTheme="minorEastAsia" w:hAnsiTheme="minorEastAsia" w:eastAsiaTheme="minorEastAsia" w:cstheme="minorBidi"/>
                <w:snapToGrid/>
                <w:kern w:val="2"/>
                <w:sz w:val="18"/>
                <w:szCs w:val="18"/>
                <w:lang w:eastAsia="zh-CN" w:bidi="ar"/>
              </w:rPr>
              <w:t>片区</w:t>
            </w:r>
          </w:p>
        </w:tc>
        <w:tc>
          <w:tcPr>
            <w:tcW w:w="1432" w:type="pct"/>
            <w:vAlign w:val="center"/>
          </w:tcPr>
          <w:p w14:paraId="27779BB9">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bidi="ar"/>
              </w:rPr>
            </w:pPr>
            <w:r>
              <w:rPr>
                <w:rFonts w:hint="eastAsia" w:asciiTheme="minorEastAsia" w:hAnsiTheme="minorEastAsia" w:eastAsiaTheme="minorEastAsia" w:cstheme="minorBidi"/>
                <w:snapToGrid/>
                <w:kern w:val="2"/>
                <w:sz w:val="18"/>
                <w:szCs w:val="18"/>
                <w:lang w:eastAsia="zh-CN" w:bidi="ar"/>
              </w:rPr>
              <w:t>以乡行政区域界限为参考作为绿汁乡单元网格</w:t>
            </w:r>
          </w:p>
        </w:tc>
        <w:tc>
          <w:tcPr>
            <w:tcW w:w="322" w:type="pct"/>
            <w:vAlign w:val="center"/>
          </w:tcPr>
          <w:p w14:paraId="467F1268">
            <w:pPr>
              <w:widowControl w:val="0"/>
              <w:kinsoku/>
              <w:autoSpaceDE/>
              <w:autoSpaceDN/>
              <w:adjustRightInd/>
              <w:snapToGrid/>
              <w:spacing w:line="240" w:lineRule="auto"/>
              <w:jc w:val="center"/>
              <w:textAlignment w:val="auto"/>
              <w:rPr>
                <w:rFonts w:hint="eastAsia" w:asciiTheme="minorEastAsia" w:hAnsiTheme="minorEastAsia" w:eastAsiaTheme="minorEastAsia" w:cstheme="minorBidi"/>
                <w:snapToGrid/>
                <w:kern w:val="2"/>
                <w:sz w:val="18"/>
                <w:szCs w:val="18"/>
                <w:lang w:eastAsia="zh-CN"/>
              </w:rPr>
            </w:pPr>
            <w:r>
              <w:rPr>
                <w:rFonts w:asciiTheme="minorEastAsia" w:hAnsiTheme="minorEastAsia" w:eastAsiaTheme="minorEastAsia" w:cstheme="minorBidi"/>
                <w:snapToGrid/>
                <w:kern w:val="2"/>
                <w:sz w:val="18"/>
                <w:szCs w:val="18"/>
                <w:lang w:eastAsia="zh-CN"/>
              </w:rPr>
              <w:t>4</w:t>
            </w:r>
            <w:r>
              <w:rPr>
                <w:rFonts w:hint="eastAsia" w:asciiTheme="minorEastAsia" w:hAnsiTheme="minorEastAsia" w:eastAsiaTheme="minorEastAsia" w:cstheme="minorBidi"/>
                <w:snapToGrid/>
                <w:kern w:val="2"/>
                <w:sz w:val="18"/>
                <w:szCs w:val="18"/>
                <w:lang w:val="en-US" w:eastAsia="zh-CN"/>
              </w:rPr>
              <w:t>8</w:t>
            </w:r>
          </w:p>
        </w:tc>
        <w:tc>
          <w:tcPr>
            <w:tcW w:w="364" w:type="pct"/>
            <w:vAlign w:val="center"/>
          </w:tcPr>
          <w:p w14:paraId="70E0E29F">
            <w:pPr>
              <w:widowControl w:val="0"/>
              <w:kinsoku/>
              <w:autoSpaceDE/>
              <w:autoSpaceDN/>
              <w:adjustRightInd/>
              <w:snapToGrid/>
              <w:spacing w:line="240" w:lineRule="auto"/>
              <w:jc w:val="center"/>
              <w:textAlignment w:val="auto"/>
              <w:rPr>
                <w:rFonts w:hint="default" w:asciiTheme="minorEastAsia" w:hAnsiTheme="minorEastAsia" w:eastAsiaTheme="minorEastAsia" w:cstheme="minorBidi"/>
                <w:snapToGrid/>
                <w:kern w:val="2"/>
                <w:sz w:val="18"/>
                <w:szCs w:val="18"/>
                <w:lang w:val="en-US" w:eastAsia="zh-CN"/>
              </w:rPr>
            </w:pPr>
            <w:r>
              <w:rPr>
                <w:rFonts w:hint="eastAsia" w:asciiTheme="minorEastAsia" w:hAnsiTheme="minorEastAsia" w:eastAsiaTheme="minorEastAsia" w:cstheme="minorBidi"/>
                <w:snapToGrid/>
                <w:kern w:val="2"/>
                <w:sz w:val="18"/>
                <w:szCs w:val="18"/>
                <w:lang w:val="en-US" w:eastAsia="zh-CN"/>
              </w:rPr>
              <w:t>45</w:t>
            </w:r>
          </w:p>
        </w:tc>
        <w:tc>
          <w:tcPr>
            <w:tcW w:w="249" w:type="pct"/>
            <w:vAlign w:val="center"/>
          </w:tcPr>
          <w:p w14:paraId="5372BF4A">
            <w:pPr>
              <w:widowControl w:val="0"/>
              <w:kinsoku/>
              <w:autoSpaceDE/>
              <w:autoSpaceDN/>
              <w:adjustRightInd/>
              <w:snapToGrid/>
              <w:spacing w:line="240" w:lineRule="auto"/>
              <w:jc w:val="center"/>
              <w:textAlignment w:val="auto"/>
              <w:rPr>
                <w:rFonts w:hint="eastAsia"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val="en-US" w:eastAsia="zh-CN"/>
              </w:rPr>
              <w:t>3</w:t>
            </w:r>
          </w:p>
        </w:tc>
        <w:tc>
          <w:tcPr>
            <w:tcW w:w="375" w:type="pct"/>
            <w:vMerge w:val="continue"/>
            <w:vAlign w:val="center"/>
          </w:tcPr>
          <w:p w14:paraId="6C1D5BFB">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5F6CB770">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282E846E">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58ED58A8">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7EB4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6" w:type="pct"/>
            <w:vMerge w:val="continue"/>
            <w:vAlign w:val="center"/>
          </w:tcPr>
          <w:p w14:paraId="45457B7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24F5841D">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小街乡</w:t>
            </w:r>
            <w:r>
              <w:rPr>
                <w:rFonts w:hint="eastAsia" w:asciiTheme="minorEastAsia" w:hAnsiTheme="minorEastAsia" w:eastAsiaTheme="minorEastAsia" w:cstheme="minorBidi"/>
                <w:snapToGrid/>
                <w:kern w:val="2"/>
                <w:sz w:val="18"/>
                <w:szCs w:val="18"/>
                <w:lang w:eastAsia="zh-CN" w:bidi="ar"/>
              </w:rPr>
              <w:t>片区</w:t>
            </w:r>
          </w:p>
        </w:tc>
        <w:tc>
          <w:tcPr>
            <w:tcW w:w="1432" w:type="pct"/>
            <w:vAlign w:val="center"/>
          </w:tcPr>
          <w:p w14:paraId="0284BDCB">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bidi="ar"/>
              </w:rPr>
            </w:pPr>
            <w:r>
              <w:rPr>
                <w:rFonts w:hint="eastAsia" w:asciiTheme="minorEastAsia" w:hAnsiTheme="minorEastAsia" w:eastAsiaTheme="minorEastAsia" w:cstheme="minorBidi"/>
                <w:snapToGrid/>
                <w:kern w:val="2"/>
                <w:sz w:val="18"/>
                <w:szCs w:val="18"/>
                <w:lang w:eastAsia="zh-CN" w:bidi="ar"/>
              </w:rPr>
              <w:t>以乡行政区域界限为参考作为小街乡单元网格</w:t>
            </w:r>
          </w:p>
        </w:tc>
        <w:tc>
          <w:tcPr>
            <w:tcW w:w="322" w:type="pct"/>
            <w:vAlign w:val="center"/>
          </w:tcPr>
          <w:p w14:paraId="153B95CD">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44</w:t>
            </w:r>
          </w:p>
        </w:tc>
        <w:tc>
          <w:tcPr>
            <w:tcW w:w="364" w:type="pct"/>
            <w:vAlign w:val="center"/>
          </w:tcPr>
          <w:p w14:paraId="480289C6">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44</w:t>
            </w:r>
          </w:p>
        </w:tc>
        <w:tc>
          <w:tcPr>
            <w:tcW w:w="249" w:type="pct"/>
            <w:vAlign w:val="center"/>
          </w:tcPr>
          <w:p w14:paraId="63A2926F">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0</w:t>
            </w:r>
          </w:p>
        </w:tc>
        <w:tc>
          <w:tcPr>
            <w:tcW w:w="375" w:type="pct"/>
            <w:vMerge w:val="continue"/>
            <w:vAlign w:val="center"/>
          </w:tcPr>
          <w:p w14:paraId="679F2F36">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185D5D69">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5993F58F">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210A3ADE">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r w14:paraId="599A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trPr>
        <w:tc>
          <w:tcPr>
            <w:tcW w:w="276" w:type="pct"/>
            <w:vMerge w:val="continue"/>
            <w:vAlign w:val="center"/>
          </w:tcPr>
          <w:p w14:paraId="15363F6A">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p>
        </w:tc>
        <w:tc>
          <w:tcPr>
            <w:tcW w:w="284" w:type="pct"/>
            <w:vAlign w:val="center"/>
          </w:tcPr>
          <w:p w14:paraId="29936407">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六街街道</w:t>
            </w:r>
            <w:r>
              <w:rPr>
                <w:rFonts w:hint="eastAsia" w:asciiTheme="minorEastAsia" w:hAnsiTheme="minorEastAsia" w:eastAsiaTheme="minorEastAsia" w:cstheme="minorBidi"/>
                <w:snapToGrid/>
                <w:kern w:val="2"/>
                <w:sz w:val="18"/>
                <w:szCs w:val="18"/>
                <w:lang w:eastAsia="zh-CN" w:bidi="ar"/>
              </w:rPr>
              <w:t>片区</w:t>
            </w:r>
          </w:p>
        </w:tc>
        <w:tc>
          <w:tcPr>
            <w:tcW w:w="1432" w:type="pct"/>
            <w:vAlign w:val="center"/>
          </w:tcPr>
          <w:p w14:paraId="26CFB5ED">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bidi="ar"/>
              </w:rPr>
              <w:t>以乡行政区域界限为参考作为六街街道单元网格</w:t>
            </w:r>
          </w:p>
        </w:tc>
        <w:tc>
          <w:tcPr>
            <w:tcW w:w="322" w:type="pct"/>
            <w:vAlign w:val="center"/>
          </w:tcPr>
          <w:p w14:paraId="56369C63">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1</w:t>
            </w:r>
            <w:r>
              <w:rPr>
                <w:rFonts w:asciiTheme="minorEastAsia" w:hAnsiTheme="minorEastAsia" w:eastAsiaTheme="minorEastAsia" w:cstheme="minorBidi"/>
                <w:snapToGrid/>
                <w:kern w:val="2"/>
                <w:sz w:val="18"/>
                <w:szCs w:val="18"/>
                <w:lang w:eastAsia="zh-CN"/>
              </w:rPr>
              <w:t>2</w:t>
            </w:r>
            <w:r>
              <w:rPr>
                <w:rFonts w:hint="eastAsia" w:asciiTheme="minorEastAsia" w:hAnsiTheme="minorEastAsia" w:eastAsiaTheme="minorEastAsia" w:cstheme="minorBidi"/>
                <w:snapToGrid/>
                <w:kern w:val="2"/>
                <w:sz w:val="18"/>
                <w:szCs w:val="18"/>
                <w:lang w:eastAsia="zh-CN"/>
              </w:rPr>
              <w:t>2</w:t>
            </w:r>
          </w:p>
        </w:tc>
        <w:tc>
          <w:tcPr>
            <w:tcW w:w="364" w:type="pct"/>
            <w:vAlign w:val="center"/>
          </w:tcPr>
          <w:p w14:paraId="43A3800A">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120</w:t>
            </w:r>
          </w:p>
        </w:tc>
        <w:tc>
          <w:tcPr>
            <w:tcW w:w="249" w:type="pct"/>
            <w:vAlign w:val="center"/>
          </w:tcPr>
          <w:p w14:paraId="7658BD8E">
            <w:pPr>
              <w:widowControl w:val="0"/>
              <w:kinsoku/>
              <w:autoSpaceDE/>
              <w:autoSpaceDN/>
              <w:adjustRightInd/>
              <w:snapToGrid/>
              <w:spacing w:line="240" w:lineRule="auto"/>
              <w:jc w:val="center"/>
              <w:textAlignment w:val="auto"/>
              <w:rPr>
                <w:rFonts w:asciiTheme="minorEastAsia" w:hAnsiTheme="minorEastAsia" w:eastAsiaTheme="minorEastAsia" w:cstheme="minorBidi"/>
                <w:snapToGrid/>
                <w:kern w:val="2"/>
                <w:sz w:val="18"/>
                <w:szCs w:val="18"/>
                <w:lang w:eastAsia="zh-CN"/>
              </w:rPr>
            </w:pPr>
            <w:r>
              <w:rPr>
                <w:rFonts w:hint="eastAsia" w:asciiTheme="minorEastAsia" w:hAnsiTheme="minorEastAsia" w:eastAsiaTheme="minorEastAsia" w:cstheme="minorBidi"/>
                <w:snapToGrid/>
                <w:kern w:val="2"/>
                <w:sz w:val="18"/>
                <w:szCs w:val="18"/>
                <w:lang w:eastAsia="zh-CN"/>
              </w:rPr>
              <w:t>2</w:t>
            </w:r>
          </w:p>
        </w:tc>
        <w:tc>
          <w:tcPr>
            <w:tcW w:w="375" w:type="pct"/>
            <w:vMerge w:val="continue"/>
            <w:vAlign w:val="center"/>
          </w:tcPr>
          <w:p w14:paraId="1FCCED4A">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240" w:type="pct"/>
            <w:vMerge w:val="continue"/>
            <w:vAlign w:val="center"/>
          </w:tcPr>
          <w:p w14:paraId="344339D6">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325" w:type="pct"/>
            <w:vMerge w:val="continue"/>
            <w:vAlign w:val="center"/>
          </w:tcPr>
          <w:p w14:paraId="186F4903">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c>
          <w:tcPr>
            <w:tcW w:w="133" w:type="pct"/>
            <w:vAlign w:val="center"/>
          </w:tcPr>
          <w:p w14:paraId="16A6FA1B">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18"/>
                <w:szCs w:val="18"/>
                <w:lang w:eastAsia="zh-CN"/>
              </w:rPr>
            </w:pPr>
          </w:p>
        </w:tc>
      </w:tr>
    </w:tbl>
    <w:p w14:paraId="4BBF0F17">
      <w:pPr>
        <w:widowControl w:val="0"/>
        <w:kinsoku/>
        <w:autoSpaceDE/>
        <w:autoSpaceDN/>
        <w:adjustRightInd/>
        <w:snapToGrid/>
        <w:spacing w:line="240" w:lineRule="auto"/>
        <w:jc w:val="both"/>
        <w:textAlignment w:val="auto"/>
        <w:rPr>
          <w:rFonts w:asciiTheme="minorEastAsia" w:hAnsiTheme="minorEastAsia" w:eastAsiaTheme="minorEastAsia" w:cstheme="minorBidi"/>
          <w:snapToGrid/>
          <w:kern w:val="2"/>
          <w:sz w:val="22"/>
          <w:szCs w:val="24"/>
          <w:lang w:eastAsia="zh-CN"/>
        </w:rPr>
      </w:pPr>
      <w:r>
        <w:rPr>
          <w:rFonts w:hint="eastAsia" w:asciiTheme="minorEastAsia" w:hAnsiTheme="minorEastAsia" w:eastAsiaTheme="minorEastAsia" w:cstheme="minorBidi"/>
          <w:snapToGrid/>
          <w:kern w:val="2"/>
          <w:sz w:val="22"/>
          <w:szCs w:val="24"/>
          <w:lang w:eastAsia="zh-CN"/>
        </w:rPr>
        <w:t>备注：1.本公示表的数据根据本县零售点布局规划实行定期评价、动态管理。</w:t>
      </w:r>
    </w:p>
    <w:p w14:paraId="2B756111">
      <w:pPr>
        <w:widowControl w:val="0"/>
        <w:kinsoku/>
        <w:autoSpaceDE/>
        <w:autoSpaceDN/>
        <w:adjustRightInd/>
        <w:snapToGrid/>
        <w:spacing w:line="240" w:lineRule="auto"/>
        <w:ind w:firstLine="660" w:firstLineChars="300"/>
        <w:jc w:val="both"/>
        <w:textAlignment w:val="auto"/>
        <w:rPr>
          <w:rFonts w:asciiTheme="minorEastAsia" w:hAnsiTheme="minorEastAsia" w:eastAsiaTheme="minorEastAsia" w:cstheme="minorBidi"/>
          <w:snapToGrid/>
          <w:kern w:val="2"/>
          <w:sz w:val="22"/>
          <w:szCs w:val="24"/>
          <w:lang w:eastAsia="zh-CN"/>
        </w:rPr>
      </w:pPr>
      <w:r>
        <w:rPr>
          <w:rFonts w:hint="eastAsia" w:asciiTheme="minorEastAsia" w:hAnsiTheme="minorEastAsia" w:eastAsiaTheme="minorEastAsia" w:cstheme="minorBidi"/>
          <w:snapToGrid/>
          <w:kern w:val="2"/>
          <w:sz w:val="22"/>
          <w:szCs w:val="24"/>
          <w:lang w:eastAsia="zh-CN"/>
        </w:rPr>
        <w:t>2.每季度根据经济发展、城乡建设、市场形势等变化情况对本表中的数据进行动态调整，规划数相应进行动态更新，以每季度最后一次公示的数据为准。</w:t>
      </w:r>
    </w:p>
    <w:p w14:paraId="29955D84">
      <w:pPr>
        <w:widowControl w:val="0"/>
        <w:kinsoku/>
        <w:autoSpaceDE/>
        <w:autoSpaceDN/>
        <w:adjustRightInd/>
        <w:snapToGrid/>
        <w:spacing w:line="240" w:lineRule="auto"/>
        <w:ind w:firstLine="660" w:firstLineChars="300"/>
        <w:jc w:val="both"/>
        <w:textAlignment w:val="auto"/>
        <w:rPr>
          <w:rFonts w:asciiTheme="minorHAnsi" w:hAnsiTheme="minorHAnsi" w:eastAsiaTheme="minorEastAsia" w:cstheme="minorBidi"/>
          <w:snapToGrid/>
          <w:kern w:val="2"/>
          <w:szCs w:val="24"/>
          <w:lang w:eastAsia="zh-CN"/>
        </w:rPr>
      </w:pPr>
      <w:r>
        <w:rPr>
          <w:rFonts w:hint="eastAsia" w:asciiTheme="minorEastAsia" w:hAnsiTheme="minorEastAsia" w:eastAsiaTheme="minorEastAsia" w:cstheme="minorBidi"/>
          <w:snapToGrid/>
          <w:kern w:val="2"/>
          <w:sz w:val="22"/>
          <w:szCs w:val="24"/>
          <w:lang w:eastAsia="zh-CN"/>
        </w:rPr>
        <w:t>3.本数据由云南省易门县烟草专卖局负责解释，咨询电话：0877-4963461。</w:t>
      </w:r>
    </w:p>
    <w:p w14:paraId="6B8C2F2D">
      <w:pPr>
        <w:ind w:firstLine="672"/>
        <w:rPr>
          <w:rFonts w:hint="eastAsia" w:ascii="方正黑体_GBK" w:hAnsi="方正黑体_GBK" w:eastAsia="方正黑体_GBK" w:cs="方正黑体_GBK"/>
          <w:spacing w:val="8"/>
          <w:sz w:val="32"/>
          <w:szCs w:val="32"/>
          <w:lang w:eastAsia="zh-CN"/>
        </w:rPr>
      </w:pPr>
    </w:p>
    <w:p w14:paraId="06A911C4">
      <w:pPr>
        <w:ind w:firstLine="672"/>
        <w:rPr>
          <w:rFonts w:hint="eastAsia" w:ascii="方正黑体_GBK" w:hAnsi="方正黑体_GBK" w:eastAsia="方正黑体_GBK" w:cs="方正黑体_GBK"/>
          <w:spacing w:val="8"/>
          <w:sz w:val="32"/>
          <w:szCs w:val="32"/>
          <w:lang w:eastAsia="zh-CN"/>
        </w:rPr>
      </w:pPr>
    </w:p>
    <w:p w14:paraId="2E21A0F5">
      <w:pPr>
        <w:ind w:firstLine="672"/>
        <w:rPr>
          <w:rFonts w:hint="eastAsia" w:ascii="方正黑体_GBK" w:hAnsi="方正黑体_GBK" w:eastAsia="方正黑体_GBK" w:cs="方正黑体_GBK"/>
          <w:spacing w:val="8"/>
          <w:sz w:val="32"/>
          <w:szCs w:val="32"/>
          <w:lang w:eastAsia="zh-CN"/>
        </w:rPr>
      </w:pPr>
    </w:p>
    <w:p w14:paraId="0C1AB5C2">
      <w:pPr>
        <w:ind w:firstLine="672"/>
        <w:rPr>
          <w:rFonts w:hint="eastAsia" w:ascii="方正黑体_GBK" w:hAnsi="方正黑体_GBK" w:eastAsia="方正黑体_GBK" w:cs="方正黑体_GBK"/>
          <w:spacing w:val="8"/>
          <w:sz w:val="32"/>
          <w:szCs w:val="32"/>
          <w:lang w:eastAsia="zh-CN"/>
        </w:rPr>
      </w:pPr>
    </w:p>
    <w:p w14:paraId="65C7E6AE">
      <w:pPr>
        <w:ind w:firstLine="672"/>
        <w:rPr>
          <w:rFonts w:hint="eastAsia" w:ascii="方正黑体_GBK" w:hAnsi="方正黑体_GBK" w:eastAsia="方正黑体_GBK" w:cs="方正黑体_GBK"/>
          <w:spacing w:val="8"/>
          <w:sz w:val="32"/>
          <w:szCs w:val="32"/>
          <w:lang w:eastAsia="zh-CN"/>
        </w:rPr>
      </w:pPr>
    </w:p>
    <w:p w14:paraId="44226076">
      <w:pPr>
        <w:ind w:firstLine="672"/>
        <w:rPr>
          <w:rFonts w:hint="eastAsia" w:ascii="方正黑体_GBK" w:hAnsi="方正黑体_GBK" w:eastAsia="方正黑体_GBK" w:cs="方正黑体_GBK"/>
          <w:spacing w:val="8"/>
          <w:sz w:val="32"/>
          <w:szCs w:val="32"/>
          <w:lang w:eastAsia="zh-CN"/>
        </w:rPr>
      </w:pPr>
    </w:p>
    <w:p w14:paraId="1912CA18">
      <w:pPr>
        <w:ind w:firstLine="672"/>
        <w:rPr>
          <w:rFonts w:hint="eastAsia" w:ascii="方正黑体_GBK" w:hAnsi="方正黑体_GBK" w:eastAsia="方正黑体_GBK" w:cs="方正黑体_GBK"/>
          <w:spacing w:val="8"/>
          <w:sz w:val="32"/>
          <w:szCs w:val="32"/>
          <w:lang w:eastAsia="zh-CN"/>
        </w:rPr>
      </w:pPr>
    </w:p>
    <w:p w14:paraId="69574D6D">
      <w:pPr>
        <w:ind w:firstLine="672"/>
        <w:rPr>
          <w:rFonts w:hint="eastAsia" w:ascii="方正黑体_GBK" w:hAnsi="方正黑体_GBK" w:eastAsia="方正黑体_GBK" w:cs="方正黑体_GBK"/>
          <w:spacing w:val="8"/>
          <w:sz w:val="32"/>
          <w:szCs w:val="32"/>
          <w:lang w:eastAsia="zh-CN"/>
        </w:rPr>
      </w:pPr>
    </w:p>
    <w:p w14:paraId="2B001183">
      <w:pPr>
        <w:ind w:firstLine="672"/>
        <w:rPr>
          <w:rFonts w:hint="eastAsia" w:ascii="方正黑体_GBK" w:hAnsi="方正黑体_GBK" w:eastAsia="方正黑体_GBK" w:cs="方正黑体_GBK"/>
          <w:spacing w:val="8"/>
          <w:sz w:val="32"/>
          <w:szCs w:val="32"/>
          <w:lang w:eastAsia="zh-CN"/>
        </w:rPr>
      </w:pPr>
    </w:p>
    <w:p w14:paraId="135105A9">
      <w:pPr>
        <w:ind w:firstLine="672"/>
        <w:rPr>
          <w:rFonts w:hint="eastAsia" w:ascii="方正黑体_GBK" w:hAnsi="方正黑体_GBK" w:eastAsia="方正黑体_GBK" w:cs="方正黑体_GBK"/>
          <w:spacing w:val="8"/>
          <w:sz w:val="32"/>
          <w:szCs w:val="32"/>
          <w:lang w:eastAsia="zh-CN"/>
        </w:rPr>
      </w:pPr>
    </w:p>
    <w:p w14:paraId="26E13441">
      <w:pPr>
        <w:ind w:firstLine="672"/>
        <w:rPr>
          <w:rFonts w:hint="eastAsia" w:ascii="方正黑体_GBK" w:hAnsi="方正黑体_GBK" w:eastAsia="方正黑体_GBK" w:cs="方正黑体_GBK"/>
          <w:spacing w:val="8"/>
          <w:sz w:val="32"/>
          <w:szCs w:val="32"/>
          <w:lang w:eastAsia="zh-CN"/>
        </w:rPr>
      </w:pPr>
    </w:p>
    <w:p w14:paraId="0A4290C9">
      <w:pPr>
        <w:ind w:firstLine="672"/>
        <w:rPr>
          <w:rFonts w:hint="eastAsia" w:ascii="方正黑体_GBK" w:hAnsi="方正黑体_GBK" w:eastAsia="方正黑体_GBK" w:cs="方正黑体_GBK"/>
          <w:spacing w:val="8"/>
          <w:sz w:val="32"/>
          <w:szCs w:val="32"/>
          <w:lang w:eastAsia="zh-CN"/>
        </w:rPr>
      </w:pPr>
    </w:p>
    <w:p w14:paraId="5A497854">
      <w:pPr>
        <w:ind w:firstLine="672"/>
        <w:rPr>
          <w:rFonts w:hint="eastAsia" w:ascii="方正黑体_GBK" w:hAnsi="方正黑体_GBK" w:eastAsia="方正黑体_GBK" w:cs="方正黑体_GBK"/>
          <w:spacing w:val="8"/>
          <w:sz w:val="32"/>
          <w:szCs w:val="32"/>
          <w:lang w:eastAsia="zh-CN"/>
        </w:rPr>
      </w:pPr>
    </w:p>
    <w:p w14:paraId="638973F1">
      <w:pPr>
        <w:ind w:firstLine="672"/>
        <w:rPr>
          <w:rFonts w:hint="default" w:ascii="Times New Roman" w:hAnsi="Times New Roman" w:eastAsia="方正黑体_GBK" w:cs="Times New Roman"/>
          <w:spacing w:val="8"/>
          <w:sz w:val="32"/>
          <w:szCs w:val="32"/>
          <w:lang w:eastAsia="zh-CN"/>
        </w:rPr>
      </w:pPr>
      <w:r>
        <w:rPr>
          <w:rFonts w:hint="eastAsia" w:ascii="方正黑体_GBK" w:hAnsi="方正黑体_GBK" w:eastAsia="方正黑体_GBK" w:cs="方正黑体_GBK"/>
          <w:spacing w:val="8"/>
          <w:sz w:val="32"/>
          <w:szCs w:val="32"/>
          <w:lang w:eastAsia="zh-CN"/>
        </w:rPr>
        <w:t>附件</w:t>
      </w:r>
      <w:r>
        <w:rPr>
          <w:rFonts w:hint="default" w:ascii="Times New Roman" w:hAnsi="Times New Roman" w:eastAsia="方正黑体_GBK" w:cs="Times New Roman"/>
          <w:spacing w:val="8"/>
          <w:sz w:val="32"/>
          <w:szCs w:val="32"/>
          <w:lang w:eastAsia="zh-CN"/>
        </w:rPr>
        <w:t>3</w:t>
      </w:r>
    </w:p>
    <w:p w14:paraId="2B31C450">
      <w:pPr>
        <w:spacing w:line="440" w:lineRule="exact"/>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云南省易门县烟草制品零售点</w:t>
      </w:r>
    </w:p>
    <w:p w14:paraId="2F44E9C9">
      <w:pPr>
        <w:spacing w:line="4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58917F93">
      <w:pPr>
        <w:jc w:val="center"/>
        <w:rPr>
          <w:rFonts w:hint="eastAsia" w:ascii="方正黑体_GBK" w:hAnsi="方正黑体_GBK" w:eastAsia="方正黑体_GBK" w:cs="方正黑体_GBK"/>
          <w:spacing w:val="8"/>
          <w:sz w:val="32"/>
          <w:szCs w:val="32"/>
          <w:lang w:eastAsia="zh-CN"/>
        </w:rPr>
      </w:pPr>
      <w:r>
        <w:rPr>
          <w:rFonts w:ascii="仿宋_GB2312" w:hAnsi="仿宋_GB2312" w:cs="仿宋_GB2312"/>
          <w:sz w:val="24"/>
        </w:rPr>
        <w:drawing>
          <wp:inline distT="0" distB="0" distL="0" distR="0">
            <wp:extent cx="8519795" cy="4257675"/>
            <wp:effectExtent l="0" t="0" r="5080" b="0"/>
            <wp:docPr id="5" name="图片 5" descr="C:\Users\zhangwen0350\Documents\WeChat Files\zw841208\FileStorage\Temp\04eed7a0449dec0ebce18a5b43e4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angwen0350\Documents\WeChat Files\zw841208\FileStorage\Temp\04eed7a0449dec0ebce18a5b43e4d4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590565" cy="4292990"/>
                    </a:xfrm>
                    <a:prstGeom prst="rect">
                      <a:avLst/>
                    </a:prstGeom>
                    <a:noFill/>
                    <a:ln>
                      <a:noFill/>
                    </a:ln>
                  </pic:spPr>
                </pic:pic>
              </a:graphicData>
            </a:graphic>
          </wp:inline>
        </w:drawing>
      </w:r>
    </w:p>
    <w:p w14:paraId="72EF1A01">
      <w:pPr>
        <w:spacing w:before="104" w:line="224" w:lineRule="auto"/>
        <w:ind w:left="619"/>
        <w:rPr>
          <w:rFonts w:hint="eastAsia" w:ascii="方正黑体_GBK" w:hAnsi="方正黑体_GBK" w:eastAsia="方正黑体_GBK" w:cs="方正黑体_GBK"/>
          <w:spacing w:val="8"/>
          <w:sz w:val="32"/>
          <w:szCs w:val="32"/>
          <w:lang w:val="en-US" w:eastAsia="zh-CN"/>
        </w:rPr>
      </w:pPr>
      <w:r>
        <w:rPr>
          <w:rFonts w:hint="eastAsia" w:ascii="方正黑体_GBK" w:hAnsi="方正黑体_GBK" w:eastAsia="方正黑体_GBK" w:cs="方正黑体_GBK"/>
          <w:spacing w:val="8"/>
          <w:sz w:val="32"/>
          <w:szCs w:val="32"/>
          <w:lang w:eastAsia="zh-CN"/>
        </w:rPr>
        <w:t>附件</w:t>
      </w:r>
      <w:r>
        <w:rPr>
          <w:rFonts w:hint="default" w:ascii="Times New Roman" w:hAnsi="Times New Roman" w:eastAsia="方正黑体_GBK" w:cs="Times New Roman"/>
          <w:spacing w:val="8"/>
          <w:sz w:val="32"/>
          <w:szCs w:val="32"/>
          <w:lang w:val="en-US" w:eastAsia="zh-CN"/>
        </w:rPr>
        <w:t>4</w:t>
      </w:r>
    </w:p>
    <w:p w14:paraId="133CB62B">
      <w:pPr>
        <w:spacing w:before="42" w:line="317" w:lineRule="auto"/>
        <w:jc w:val="center"/>
        <w:rPr>
          <w:rFonts w:ascii="方正小标宋简体" w:hAnsi="Times New Roman" w:eastAsia="方正小标宋简体" w:cs="Times New Roman"/>
          <w:snapToGrid/>
          <w:color w:val="auto"/>
          <w:kern w:val="2"/>
          <w:sz w:val="44"/>
          <w:szCs w:val="44"/>
          <w:lang w:eastAsia="zh-CN"/>
        </w:rPr>
      </w:pPr>
      <w:r>
        <w:rPr>
          <w:rFonts w:hint="eastAsia" w:ascii="方正小标宋简体" w:hAnsi="Times New Roman" w:eastAsia="方正小标宋简体" w:cs="Times New Roman"/>
          <w:snapToGrid/>
          <w:color w:val="auto"/>
          <w:kern w:val="2"/>
          <w:sz w:val="44"/>
          <w:szCs w:val="44"/>
          <w:lang w:eastAsia="zh-CN"/>
        </w:rPr>
        <w:t>云南省</w:t>
      </w:r>
      <w:r>
        <w:rPr>
          <w:rFonts w:hint="eastAsia" w:ascii="方正小标宋简体" w:hAnsi="Times New Roman" w:eastAsia="方正小标宋简体" w:cs="Times New Roman"/>
          <w:snapToGrid/>
          <w:color w:val="auto"/>
          <w:kern w:val="2"/>
          <w:sz w:val="44"/>
          <w:szCs w:val="44"/>
          <w:lang w:val="en-US" w:eastAsia="zh-CN"/>
        </w:rPr>
        <w:t>易门县</w:t>
      </w:r>
      <w:r>
        <w:rPr>
          <w:rFonts w:hint="eastAsia" w:ascii="方正小标宋简体" w:hAnsi="Times New Roman" w:eastAsia="方正小标宋简体" w:cs="Times New Roman"/>
          <w:snapToGrid/>
          <w:color w:val="auto"/>
          <w:kern w:val="2"/>
          <w:sz w:val="44"/>
          <w:szCs w:val="44"/>
          <w:lang w:eastAsia="zh-CN"/>
        </w:rPr>
        <w:t>雪茄烟专营店零售点合理布局公示表</w:t>
      </w:r>
    </w:p>
    <w:p w14:paraId="1B255921">
      <w:pPr>
        <w:kinsoku/>
        <w:autoSpaceDE/>
        <w:autoSpaceDN/>
        <w:adjustRightInd/>
        <w:snapToGrid/>
        <w:ind w:firstLine="420" w:firstLineChars="200"/>
        <w:textAlignment w:val="auto"/>
        <w:rPr>
          <w:lang w:eastAsia="zh-CN"/>
        </w:rPr>
      </w:pPr>
      <w:r>
        <w:rPr>
          <w:rFonts w:hint="eastAsia" w:eastAsia="宋体"/>
          <w:lang w:eastAsia="zh-CN"/>
        </w:rPr>
        <w:t>单位：</w:t>
      </w:r>
      <w:r>
        <w:rPr>
          <w:rFonts w:hint="eastAsia"/>
          <w:lang w:val="en-US" w:eastAsia="zh-CN"/>
        </w:rPr>
        <w:t>云南省易门县</w:t>
      </w:r>
      <w:r>
        <w:rPr>
          <w:rFonts w:hint="eastAsia" w:ascii="宋体" w:hAnsi="宋体" w:eastAsia="宋体" w:cs="宋体"/>
          <w:lang w:eastAsia="zh-CN"/>
        </w:rPr>
        <w:t>烟草专卖局</w:t>
      </w:r>
      <w:r>
        <w:rPr>
          <w:rFonts w:hint="eastAsia" w:ascii="宋体" w:hAnsi="宋体" w:eastAsia="宋体" w:cs="宋体"/>
          <w:lang w:val="en-US" w:eastAsia="zh-CN"/>
        </w:rPr>
        <w:t xml:space="preserve">      </w:t>
      </w:r>
      <w:r>
        <w:rPr>
          <w:rFonts w:hint="eastAsia" w:eastAsia="宋体"/>
          <w:lang w:eastAsia="zh-CN"/>
        </w:rPr>
        <w:t xml:space="preserve">                                     公示时间：</w:t>
      </w:r>
      <w:r>
        <w:rPr>
          <w:lang w:eastAsia="zh-CN"/>
        </w:rPr>
        <w:t>XX年XX月XX日</w:t>
      </w:r>
      <w:r>
        <w:rPr>
          <w:rFonts w:hint="eastAsia"/>
          <w:lang w:eastAsia="zh-CN"/>
        </w:rPr>
        <w:t>-</w:t>
      </w:r>
      <w:r>
        <w:rPr>
          <w:lang w:eastAsia="zh-CN"/>
        </w:rPr>
        <w:t>XX年XX月XX日</w:t>
      </w:r>
    </w:p>
    <w:tbl>
      <w:tblPr>
        <w:tblStyle w:val="8"/>
        <w:tblpPr w:leftFromText="180" w:rightFromText="180" w:vertAnchor="text" w:horzAnchor="page" w:tblpX="1789" w:tblpY="151"/>
        <w:tblOverlap w:val="never"/>
        <w:tblW w:w="475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06"/>
        <w:gridCol w:w="3516"/>
        <w:gridCol w:w="3556"/>
        <w:gridCol w:w="3404"/>
        <w:gridCol w:w="1790"/>
      </w:tblGrid>
      <w:tr w14:paraId="7902B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379" w:type="pct"/>
            <w:tcBorders>
              <w:top w:val="single" w:color="auto" w:sz="4" w:space="0"/>
              <w:left w:val="single" w:color="auto" w:sz="4" w:space="0"/>
              <w:bottom w:val="single" w:color="auto" w:sz="4" w:space="0"/>
              <w:right w:val="single" w:color="auto" w:sz="4" w:space="0"/>
            </w:tcBorders>
            <w:vAlign w:val="center"/>
          </w:tcPr>
          <w:p w14:paraId="02D901BC">
            <w:pPr>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b/>
                <w:bCs/>
                <w:color w:val="auto"/>
                <w:sz w:val="22"/>
                <w:szCs w:val="22"/>
                <w:lang w:val="en-US" w:eastAsia="zh-CN"/>
              </w:rPr>
              <w:t>名称</w:t>
            </w:r>
          </w:p>
        </w:tc>
        <w:tc>
          <w:tcPr>
            <w:tcW w:w="3945" w:type="pct"/>
            <w:gridSpan w:val="3"/>
            <w:tcBorders>
              <w:top w:val="single" w:color="auto" w:sz="4" w:space="0"/>
              <w:left w:val="single" w:color="auto" w:sz="4" w:space="0"/>
            </w:tcBorders>
            <w:vAlign w:val="center"/>
          </w:tcPr>
          <w:p w14:paraId="5A244C5B">
            <w:pPr>
              <w:ind w:left="241" w:hanging="241" w:hangingChars="100"/>
              <w:jc w:val="center"/>
              <w:rPr>
                <w:rFonts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lang w:eastAsia="zh-CN"/>
              </w:rPr>
              <w:t>数量情况</w:t>
            </w:r>
          </w:p>
        </w:tc>
        <w:tc>
          <w:tcPr>
            <w:tcW w:w="674" w:type="pct"/>
            <w:vMerge w:val="restart"/>
            <w:tcBorders>
              <w:top w:val="single" w:color="auto" w:sz="4" w:space="0"/>
              <w:right w:val="single" w:color="auto" w:sz="4" w:space="0"/>
            </w:tcBorders>
            <w:vAlign w:val="center"/>
          </w:tcPr>
          <w:p w14:paraId="2C169299">
            <w:pPr>
              <w:ind w:left="19" w:right="80" w:rightChars="38" w:hanging="19" w:hangingChars="8"/>
              <w:jc w:val="center"/>
              <w:rPr>
                <w:rFonts w:asciiTheme="minorEastAsia" w:hAnsiTheme="minorEastAsia" w:eastAsiaTheme="minorEastAsia" w:cstheme="minorEastAsia"/>
                <w:b/>
                <w:bCs/>
                <w:color w:val="auto"/>
                <w:spacing w:val="-1"/>
                <w:sz w:val="24"/>
                <w:szCs w:val="24"/>
                <w:lang w:eastAsia="zh-CN"/>
              </w:rPr>
            </w:pPr>
            <w:r>
              <w:rPr>
                <w:rFonts w:hint="eastAsia" w:asciiTheme="minorEastAsia" w:hAnsiTheme="minorEastAsia" w:eastAsiaTheme="minorEastAsia" w:cstheme="minorEastAsia"/>
                <w:b/>
                <w:bCs/>
                <w:color w:val="auto"/>
                <w:spacing w:val="-1"/>
                <w:sz w:val="24"/>
                <w:szCs w:val="24"/>
                <w:lang w:eastAsia="zh-CN"/>
              </w:rPr>
              <w:t>备注</w:t>
            </w:r>
          </w:p>
        </w:tc>
      </w:tr>
      <w:tr w14:paraId="3CEEB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79" w:type="pct"/>
            <w:vMerge w:val="restart"/>
            <w:tcBorders>
              <w:top w:val="single" w:color="auto" w:sz="4" w:space="0"/>
              <w:left w:val="single" w:color="auto" w:sz="4" w:space="0"/>
              <w:bottom w:val="single" w:color="auto" w:sz="4" w:space="0"/>
              <w:right w:val="single" w:color="auto" w:sz="4" w:space="0"/>
            </w:tcBorders>
            <w:vAlign w:val="center"/>
          </w:tcPr>
          <w:p w14:paraId="793D8F87">
            <w:pPr>
              <w:jc w:val="center"/>
              <w:rPr>
                <w:rFonts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易门</w:t>
            </w:r>
            <w:r>
              <w:rPr>
                <w:rFonts w:hint="eastAsia" w:asciiTheme="minorEastAsia" w:hAnsiTheme="minorEastAsia" w:eastAsiaTheme="minorEastAsia" w:cstheme="minorEastAsia"/>
                <w:color w:val="auto"/>
                <w:sz w:val="22"/>
                <w:szCs w:val="22"/>
                <w:lang w:eastAsia="zh-CN"/>
              </w:rPr>
              <w:t>县</w:t>
            </w:r>
          </w:p>
        </w:tc>
        <w:tc>
          <w:tcPr>
            <w:tcW w:w="1324" w:type="pct"/>
            <w:tcBorders>
              <w:left w:val="single" w:color="auto" w:sz="4" w:space="0"/>
            </w:tcBorders>
            <w:vAlign w:val="center"/>
          </w:tcPr>
          <w:p w14:paraId="49B82B3F">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val="en-US" w:eastAsia="zh-CN"/>
              </w:rPr>
              <w:t>总量</w:t>
            </w:r>
            <w:r>
              <w:rPr>
                <w:rFonts w:hint="eastAsia" w:asciiTheme="minorEastAsia" w:hAnsiTheme="minorEastAsia" w:eastAsiaTheme="minorEastAsia" w:cstheme="minorEastAsia"/>
                <w:color w:val="auto"/>
                <w:sz w:val="22"/>
                <w:szCs w:val="22"/>
                <w:lang w:eastAsia="zh-CN"/>
              </w:rPr>
              <w:t>规划数</w:t>
            </w:r>
          </w:p>
          <w:p w14:paraId="395FFDCF">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pacing w:val="-1"/>
                <w:sz w:val="22"/>
                <w:szCs w:val="22"/>
                <w:lang w:eastAsia="zh-CN"/>
              </w:rPr>
              <w:t>（个）</w:t>
            </w:r>
          </w:p>
        </w:tc>
        <w:tc>
          <w:tcPr>
            <w:tcW w:w="1339" w:type="pct"/>
            <w:vAlign w:val="center"/>
          </w:tcPr>
          <w:p w14:paraId="3298B395">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当前实际数</w:t>
            </w:r>
          </w:p>
          <w:p w14:paraId="272E3C9D">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（个）</w:t>
            </w:r>
          </w:p>
        </w:tc>
        <w:tc>
          <w:tcPr>
            <w:tcW w:w="1281" w:type="pct"/>
            <w:vAlign w:val="center"/>
          </w:tcPr>
          <w:p w14:paraId="33D81293">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val="en-US" w:eastAsia="zh-CN"/>
              </w:rPr>
              <w:t>当前</w:t>
            </w:r>
            <w:r>
              <w:rPr>
                <w:rFonts w:hint="eastAsia" w:asciiTheme="minorEastAsia" w:hAnsiTheme="minorEastAsia" w:eastAsiaTheme="minorEastAsia" w:cstheme="minorEastAsia"/>
                <w:color w:val="auto"/>
                <w:sz w:val="22"/>
                <w:szCs w:val="22"/>
                <w:lang w:eastAsia="zh-CN"/>
              </w:rPr>
              <w:t>余量</w:t>
            </w:r>
          </w:p>
          <w:p w14:paraId="034D6C72">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（个）</w:t>
            </w:r>
          </w:p>
        </w:tc>
        <w:tc>
          <w:tcPr>
            <w:tcW w:w="674" w:type="pct"/>
            <w:vMerge w:val="continue"/>
            <w:tcBorders>
              <w:right w:val="single" w:color="auto" w:sz="4" w:space="0"/>
            </w:tcBorders>
            <w:vAlign w:val="center"/>
          </w:tcPr>
          <w:p w14:paraId="6357DE0E">
            <w:pPr>
              <w:rPr>
                <w:rFonts w:asciiTheme="minorEastAsia" w:hAnsiTheme="minorEastAsia" w:eastAsiaTheme="minorEastAsia" w:cstheme="minorEastAsia"/>
                <w:color w:val="auto"/>
                <w:sz w:val="22"/>
                <w:szCs w:val="22"/>
                <w:lang w:eastAsia="zh-CN"/>
              </w:rPr>
            </w:pPr>
          </w:p>
        </w:tc>
      </w:tr>
      <w:tr w14:paraId="112D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379" w:type="pct"/>
            <w:vMerge w:val="continue"/>
            <w:tcBorders>
              <w:top w:val="single" w:color="auto" w:sz="4" w:space="0"/>
              <w:left w:val="single" w:color="auto" w:sz="4" w:space="0"/>
              <w:bottom w:val="single" w:color="auto" w:sz="4" w:space="0"/>
              <w:right w:val="single" w:color="auto" w:sz="4" w:space="0"/>
            </w:tcBorders>
            <w:vAlign w:val="center"/>
          </w:tcPr>
          <w:p w14:paraId="2DC2F057">
            <w:pPr>
              <w:jc w:val="center"/>
              <w:rPr>
                <w:rFonts w:asciiTheme="minorEastAsia" w:hAnsiTheme="minorEastAsia" w:eastAsiaTheme="minorEastAsia" w:cstheme="minorEastAsia"/>
                <w:color w:val="auto"/>
                <w:sz w:val="22"/>
                <w:szCs w:val="22"/>
              </w:rPr>
            </w:pPr>
          </w:p>
        </w:tc>
        <w:tc>
          <w:tcPr>
            <w:tcW w:w="1324" w:type="pct"/>
            <w:tcBorders>
              <w:left w:val="single" w:color="auto" w:sz="4" w:space="0"/>
              <w:bottom w:val="single" w:color="auto" w:sz="4" w:space="0"/>
            </w:tcBorders>
            <w:vAlign w:val="center"/>
          </w:tcPr>
          <w:p w14:paraId="2A8B1206">
            <w:pPr>
              <w:jc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20</w:t>
            </w:r>
          </w:p>
        </w:tc>
        <w:tc>
          <w:tcPr>
            <w:tcW w:w="1339" w:type="pct"/>
            <w:tcBorders>
              <w:bottom w:val="single" w:color="auto" w:sz="4" w:space="0"/>
            </w:tcBorders>
            <w:vAlign w:val="center"/>
          </w:tcPr>
          <w:p w14:paraId="343F308B">
            <w:pPr>
              <w:jc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0</w:t>
            </w:r>
          </w:p>
        </w:tc>
        <w:tc>
          <w:tcPr>
            <w:tcW w:w="1281" w:type="pct"/>
            <w:tcBorders>
              <w:bottom w:val="single" w:color="auto" w:sz="4" w:space="0"/>
            </w:tcBorders>
            <w:vAlign w:val="center"/>
          </w:tcPr>
          <w:p w14:paraId="77361F75">
            <w:pPr>
              <w:jc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20</w:t>
            </w:r>
          </w:p>
        </w:tc>
        <w:tc>
          <w:tcPr>
            <w:tcW w:w="674" w:type="pct"/>
            <w:tcBorders>
              <w:bottom w:val="single" w:color="auto" w:sz="4" w:space="0"/>
              <w:right w:val="single" w:color="auto" w:sz="4" w:space="0"/>
            </w:tcBorders>
            <w:vAlign w:val="center"/>
          </w:tcPr>
          <w:p w14:paraId="2C4C9645">
            <w:pPr>
              <w:jc w:val="center"/>
              <w:rPr>
                <w:rFonts w:asciiTheme="minorEastAsia" w:hAnsiTheme="minorEastAsia" w:eastAsiaTheme="minorEastAsia" w:cstheme="minorEastAsia"/>
                <w:color w:val="auto"/>
                <w:sz w:val="22"/>
                <w:szCs w:val="22"/>
              </w:rPr>
            </w:pPr>
          </w:p>
        </w:tc>
      </w:tr>
    </w:tbl>
    <w:p w14:paraId="58173094">
      <w:pPr>
        <w:spacing w:before="42" w:line="219" w:lineRule="auto"/>
        <w:ind w:firstLine="436" w:firstLineChars="200"/>
        <w:rPr>
          <w:rFonts w:ascii="宋体" w:hAnsi="宋体" w:eastAsia="宋体" w:cs="宋体"/>
          <w:spacing w:val="-1"/>
          <w:sz w:val="22"/>
          <w:szCs w:val="22"/>
        </w:rPr>
      </w:pPr>
      <w:r>
        <w:rPr>
          <w:rFonts w:ascii="宋体" w:hAnsi="宋体" w:eastAsia="宋体" w:cs="宋体"/>
          <w:spacing w:val="-1"/>
          <w:sz w:val="22"/>
          <w:szCs w:val="22"/>
        </w:rPr>
        <w:t>备注：</w:t>
      </w:r>
    </w:p>
    <w:p w14:paraId="0CAF81A6">
      <w:pPr>
        <w:spacing w:before="42" w:line="219" w:lineRule="auto"/>
        <w:ind w:firstLine="436" w:firstLineChars="200"/>
        <w:rPr>
          <w:rFonts w:ascii="宋体" w:hAnsi="宋体" w:eastAsia="宋体" w:cs="宋体"/>
          <w:spacing w:val="-1"/>
          <w:sz w:val="22"/>
          <w:szCs w:val="22"/>
          <w:lang w:eastAsia="zh-CN"/>
        </w:rPr>
      </w:pPr>
      <w:r>
        <w:rPr>
          <w:rFonts w:hint="eastAsia" w:ascii="宋体" w:hAnsi="宋体" w:eastAsia="宋体" w:cs="宋体"/>
          <w:spacing w:val="-1"/>
          <w:sz w:val="22"/>
          <w:szCs w:val="22"/>
          <w:lang w:eastAsia="zh-CN"/>
        </w:rPr>
        <w:t>1.本公示表的数据根据本县零售点布局规划实行定期评价、动态管理。</w:t>
      </w:r>
    </w:p>
    <w:p w14:paraId="536751EC">
      <w:pPr>
        <w:spacing w:before="42" w:line="219" w:lineRule="auto"/>
        <w:ind w:left="420" w:leftChars="200"/>
        <w:rPr>
          <w:rFonts w:ascii="宋体" w:hAnsi="宋体" w:eastAsia="宋体" w:cs="宋体"/>
          <w:spacing w:val="-1"/>
          <w:sz w:val="22"/>
          <w:szCs w:val="22"/>
          <w:lang w:eastAsia="zh-CN"/>
        </w:rPr>
      </w:pPr>
      <w:r>
        <w:rPr>
          <w:rFonts w:hint="eastAsia" w:ascii="宋体" w:hAnsi="宋体" w:eastAsia="宋体" w:cs="宋体"/>
          <w:spacing w:val="-1"/>
          <w:sz w:val="22"/>
          <w:szCs w:val="22"/>
          <w:lang w:eastAsia="zh-CN"/>
        </w:rPr>
        <w:t>2.每季度根据经济发展、城市和乡村建设、市场形势等变化情况对本表中的数据进行动态调整，规划数相应进行动态更新，以每季度最后一次公示的数据为准。</w:t>
      </w:r>
    </w:p>
    <w:p w14:paraId="66D3EEFA">
      <w:pPr>
        <w:spacing w:before="42" w:line="219" w:lineRule="auto"/>
        <w:ind w:firstLine="436" w:firstLineChars="200"/>
        <w:jc w:val="both"/>
        <w:rPr>
          <w:rFonts w:hint="eastAsia" w:ascii="宋体" w:hAnsi="宋体" w:eastAsia="宋体" w:cs="宋体"/>
          <w:spacing w:val="-1"/>
          <w:sz w:val="22"/>
          <w:szCs w:val="22"/>
          <w:lang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宋体" w:hAnsi="宋体" w:eastAsia="宋体" w:cs="宋体"/>
          <w:spacing w:val="-1"/>
          <w:sz w:val="22"/>
          <w:szCs w:val="22"/>
          <w:lang w:eastAsia="zh-CN"/>
        </w:rPr>
        <w:t>3.本数据由</w:t>
      </w:r>
      <w:r>
        <w:rPr>
          <w:rFonts w:hint="eastAsia" w:ascii="宋体" w:hAnsi="宋体" w:eastAsia="宋体" w:cs="宋体"/>
          <w:spacing w:val="-1"/>
          <w:sz w:val="22"/>
          <w:szCs w:val="22"/>
          <w:lang w:val="en-US" w:eastAsia="zh-CN"/>
        </w:rPr>
        <w:t>云南省易门县</w:t>
      </w:r>
      <w:r>
        <w:rPr>
          <w:rFonts w:hint="eastAsia" w:ascii="宋体" w:hAnsi="宋体" w:eastAsia="宋体" w:cs="宋体"/>
          <w:spacing w:val="-1"/>
          <w:sz w:val="22"/>
          <w:szCs w:val="22"/>
          <w:lang w:eastAsia="zh-CN"/>
        </w:rPr>
        <w:t>烟草专卖局负责解释，咨询电话：</w:t>
      </w:r>
      <w:r>
        <w:rPr>
          <w:rFonts w:hint="eastAsia" w:ascii="宋体" w:hAnsi="宋体" w:eastAsia="宋体" w:cs="宋体"/>
          <w:spacing w:val="-1"/>
          <w:sz w:val="22"/>
          <w:szCs w:val="22"/>
          <w:lang w:val="en-US" w:eastAsia="zh-CN"/>
        </w:rPr>
        <w:t>0877-4968256</w:t>
      </w:r>
      <w:r>
        <w:rPr>
          <w:rFonts w:hint="eastAsia" w:ascii="宋体" w:hAnsi="宋体" w:eastAsia="宋体" w:cs="宋体"/>
          <w:spacing w:val="-1"/>
          <w:sz w:val="22"/>
          <w:szCs w:val="22"/>
          <w:lang w:eastAsia="zh-CN"/>
        </w:rPr>
        <w:t>。</w:t>
      </w:r>
    </w:p>
    <w:p w14:paraId="0E2C71C0">
      <w:pPr>
        <w:spacing w:before="104" w:line="224" w:lineRule="auto"/>
        <w:rPr>
          <w:rFonts w:hint="eastAsia" w:ascii="方正黑体_GBK" w:hAnsi="方正黑体_GBK" w:eastAsia="方正黑体_GBK" w:cs="方正黑体_GBK"/>
          <w:b/>
          <w:bCs/>
          <w:sz w:val="44"/>
          <w:szCs w:val="44"/>
          <w:lang w:val="en-US" w:eastAsia="zh-CN"/>
        </w:rPr>
      </w:pPr>
      <w:r>
        <w:rPr>
          <w:rFonts w:hint="eastAsia" w:ascii="方正黑体_GBK" w:hAnsi="方正黑体_GBK" w:eastAsia="方正黑体_GBK" w:cs="方正黑体_GBK"/>
          <w:spacing w:val="8"/>
          <w:sz w:val="32"/>
          <w:szCs w:val="32"/>
          <w:lang w:eastAsia="zh-CN"/>
        </w:rPr>
        <w:t>附件</w:t>
      </w:r>
      <w:bookmarkStart w:id="2" w:name="_GoBack"/>
      <w:r>
        <w:rPr>
          <w:rFonts w:hint="default" w:ascii="Times New Roman" w:hAnsi="Times New Roman" w:eastAsia="方正黑体_GBK" w:cs="Times New Roman"/>
          <w:spacing w:val="8"/>
          <w:sz w:val="32"/>
          <w:szCs w:val="32"/>
          <w:lang w:val="en-US" w:eastAsia="zh-CN"/>
        </w:rPr>
        <w:t>5</w:t>
      </w:r>
      <w:bookmarkEnd w:id="2"/>
    </w:p>
    <w:p w14:paraId="5A1482ED">
      <w:pPr>
        <w:spacing w:line="317" w:lineRule="auto"/>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云南省易门县烟草制品零售点</w:t>
      </w:r>
    </w:p>
    <w:p w14:paraId="5FEFB66E">
      <w:pPr>
        <w:spacing w:line="317" w:lineRule="auto"/>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合理布局规划数动态调整管理制度</w:t>
      </w:r>
    </w:p>
    <w:p w14:paraId="0A368F3A">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kern w:val="28"/>
          <w:sz w:val="32"/>
          <w:szCs w:val="32"/>
          <w:lang w:eastAsia="zh-CN"/>
        </w:rPr>
      </w:pPr>
      <w:r>
        <w:rPr>
          <w:rFonts w:hint="eastAsia" w:ascii="方正仿宋_GBK" w:hAnsi="方正仿宋_GBK" w:eastAsia="方正仿宋_GBK" w:cs="方正仿宋_GBK"/>
          <w:sz w:val="32"/>
          <w:szCs w:val="32"/>
          <w:lang w:eastAsia="zh-CN"/>
        </w:rPr>
        <w:t>为建立合理布局规划管理动态调整机制，做好规范性文件的动态管理，保证《云南省易门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方正仿宋_GBK" w:hAnsi="方正仿宋_GBK" w:eastAsia="方正仿宋_GBK" w:cs="方正仿宋_GBK"/>
          <w:kern w:val="28"/>
          <w:sz w:val="32"/>
          <w:szCs w:val="32"/>
          <w:lang w:eastAsia="zh-CN"/>
        </w:rPr>
        <w:t>办法实施细则》等法律法规规章和规范性文件的规定，特制定本制度。</w:t>
      </w:r>
    </w:p>
    <w:p w14:paraId="6A2161CF">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kern w:val="28"/>
          <w:sz w:val="32"/>
          <w:szCs w:val="32"/>
          <w:lang w:eastAsia="zh-CN"/>
        </w:rPr>
        <w:t>根据《云南省易门县烟草制品零售点合理布局规划》，易门县</w:t>
      </w:r>
      <w:r>
        <w:rPr>
          <w:rFonts w:hint="eastAsia" w:ascii="方正仿宋_GBK" w:hAnsi="方正仿宋_GBK" w:eastAsia="方正仿宋_GBK" w:cs="方正仿宋_GBK"/>
          <w:sz w:val="32"/>
          <w:szCs w:val="32"/>
          <w:lang w:eastAsia="zh-CN"/>
        </w:rPr>
        <w:t>烟草专卖局每季度根据本地人口数量、交通状况、经济发展水平、居民消费能力、消费购买习惯等变化情况，对辖区单元网格零售点合理布局规划数进行动态调整。零售点合理布局规划数动态调整情况应提交易门县烟草专卖局领导班子集体讨论决定。讨论通过的，应在五日内通过政府网站、行业网站及政务服务大厅等平台公示《云南省易门县烟草制品零售点合理布局公示表》，同时报上一级烟草专卖局备案。</w:t>
      </w:r>
    </w:p>
    <w:p w14:paraId="1DB235D1">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零售点合理布局规划数动态调整情况</w:t>
      </w:r>
      <w:r>
        <w:rPr>
          <w:rFonts w:hint="eastAsia" w:ascii="方正仿宋_GBK" w:hAnsi="方正仿宋_GBK" w:eastAsia="方正仿宋_GBK" w:cs="方正仿宋_GBK"/>
          <w:kern w:val="28"/>
          <w:sz w:val="32"/>
          <w:szCs w:val="32"/>
          <w:lang w:eastAsia="zh-CN"/>
        </w:rPr>
        <w:t>于公示之日起三日后开始实施</w:t>
      </w:r>
      <w:r>
        <w:rPr>
          <w:rFonts w:hint="eastAsia" w:ascii="方正仿宋_GBK" w:hAnsi="方正仿宋_GBK" w:eastAsia="方正仿宋_GBK" w:cs="方正仿宋_GBK"/>
          <w:sz w:val="32"/>
          <w:szCs w:val="32"/>
          <w:lang w:eastAsia="zh-CN"/>
        </w:rPr>
        <w:t>。</w:t>
      </w:r>
    </w:p>
    <w:p w14:paraId="58C750D1">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易门县烟草专卖局每年年底向上一级烟草专卖局报告本年度烟草制品零售点合理布局规划数动态调整工作执行情况。</w:t>
      </w:r>
    </w:p>
    <w:p w14:paraId="71743D1C">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本制度中按照年、月、日计算期间的，开始的当日不计入，自下一日开始计算。均以工作日计算，不含法定节假日。</w:t>
      </w:r>
    </w:p>
    <w:p w14:paraId="13595D8D">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本制度由云南省易门县烟草专卖局负责解释。</w:t>
      </w:r>
    </w:p>
    <w:p w14:paraId="66669FCB">
      <w:pPr>
        <w:widowControl w:val="0"/>
        <w:numPr>
          <w:ilvl w:val="2"/>
          <w:numId w:val="1"/>
        </w:numPr>
        <w:kinsoku/>
        <w:autoSpaceDE/>
        <w:autoSpaceDN/>
        <w:spacing w:line="336" w:lineRule="auto"/>
        <w:ind w:firstLine="68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本制度自《云南省易门县烟草制品零售点合理布局规划》实施之日起同时施行。</w:t>
      </w:r>
    </w:p>
    <w:p w14:paraId="0EBB8C89"/>
    <w:p w14:paraId="6FF1A05D">
      <w:pPr>
        <w:spacing w:before="42" w:line="219" w:lineRule="auto"/>
        <w:jc w:val="both"/>
        <w:rPr>
          <w:rFonts w:hint="eastAsia" w:ascii="宋体" w:hAnsi="宋体" w:eastAsia="宋体" w:cs="宋体"/>
          <w:spacing w:val="-1"/>
          <w:sz w:val="22"/>
          <w:szCs w:val="22"/>
          <w:lang w:eastAsia="zh-CN"/>
        </w:rPr>
        <w:sectPr>
          <w:pgSz w:w="11906" w:h="16838"/>
          <w:pgMar w:top="1440" w:right="1800" w:bottom="1440" w:left="1800" w:header="851" w:footer="992" w:gutter="0"/>
          <w:pgNumType w:fmt="decimal"/>
          <w:cols w:space="425" w:num="1"/>
          <w:docGrid w:type="lines" w:linePitch="312" w:charSpace="0"/>
        </w:sectPr>
      </w:pPr>
    </w:p>
    <w:p w14:paraId="240474D5">
      <w:pPr>
        <w:spacing w:before="104" w:line="224" w:lineRule="auto"/>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6</w:t>
      </w:r>
    </w:p>
    <w:p w14:paraId="5A02DA28">
      <w:pPr>
        <w:spacing w:line="317" w:lineRule="auto"/>
        <w:jc w:val="center"/>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w:t>
      </w:r>
    </w:p>
    <w:p w14:paraId="3A781503">
      <w:pPr>
        <w:spacing w:line="317" w:lineRule="auto"/>
        <w:jc w:val="center"/>
        <w:rPr>
          <w:rFonts w:ascii="方正小标宋简体" w:eastAsia="方正小标宋简体"/>
          <w:sz w:val="44"/>
          <w:szCs w:val="44"/>
        </w:rPr>
      </w:pPr>
      <w:r>
        <w:rPr>
          <w:rFonts w:hint="eastAsia" w:ascii="方正小标宋简体" w:eastAsia="方正小标宋简体"/>
          <w:sz w:val="44"/>
          <w:szCs w:val="44"/>
        </w:rPr>
        <w:t>排队轮候制度</w:t>
      </w:r>
    </w:p>
    <w:p w14:paraId="2BCADDD2">
      <w:pPr>
        <w:widowControl w:val="0"/>
        <w:numPr>
          <w:ilvl w:val="2"/>
          <w:numId w:val="2"/>
        </w:numPr>
        <w:kinsoku/>
        <w:autoSpaceDE/>
        <w:autoSpaceDN/>
        <w:spacing w:line="336" w:lineRule="auto"/>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为坚持公平、公正、公开原则，规范实施《云南省易门县烟草制品零售点合理布局规划》，根据《中华人民共和国行政许可法》《烟草专卖许可证管理办法》《烟草专卖许可证管理办法实施细则》等法律法规规章和规范性文件的规定，结合易门县实际，制定本制度。</w:t>
      </w:r>
    </w:p>
    <w:p w14:paraId="20AC90F1">
      <w:pPr>
        <w:widowControl w:val="0"/>
        <w:numPr>
          <w:ilvl w:val="2"/>
          <w:numId w:val="2"/>
        </w:numPr>
        <w:kinsoku/>
        <w:autoSpaceDE/>
        <w:autoSpaceDN/>
        <w:spacing w:line="336" w:lineRule="auto"/>
        <w:ind w:firstLine="680"/>
        <w:jc w:val="both"/>
        <w:textAlignment w:val="auto"/>
        <w:rPr>
          <w:rFonts w:ascii="仿宋_GB2312" w:hAnsi="仿宋_GB2312" w:eastAsia="仿宋_GB2312" w:cs="仿宋_GB2312"/>
          <w:sz w:val="32"/>
          <w:szCs w:val="32"/>
          <w:lang w:eastAsia="zh-CN"/>
        </w:rPr>
      </w:pPr>
      <w:r>
        <w:rPr>
          <w:rFonts w:hint="eastAsia" w:ascii="方正仿宋_GBK" w:hAnsi="方正仿宋_GBK" w:eastAsia="方正仿宋_GBK" w:cs="方正仿宋_GBK"/>
          <w:sz w:val="32"/>
          <w:szCs w:val="32"/>
          <w:lang w:eastAsia="zh-CN"/>
        </w:rPr>
        <w:t>本制度适用于云南省易门县行政辖区烟草制品零售点新办申请排队轮候管理。</w:t>
      </w:r>
    </w:p>
    <w:p w14:paraId="17412440">
      <w:pPr>
        <w:widowControl w:val="0"/>
        <w:numPr>
          <w:ilvl w:val="2"/>
          <w:numId w:val="2"/>
        </w:numPr>
        <w:kinsoku/>
        <w:autoSpaceDE/>
        <w:autoSpaceDN/>
        <w:spacing w:line="336" w:lineRule="auto"/>
        <w:ind w:firstLine="68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kern w:val="28"/>
          <w:sz w:val="32"/>
          <w:szCs w:val="32"/>
          <w:lang w:eastAsia="zh-CN"/>
        </w:rPr>
        <w:t>本县</w:t>
      </w:r>
      <w:r>
        <w:rPr>
          <w:rFonts w:hint="eastAsia" w:ascii="方正仿宋_GBK" w:hAnsi="方正仿宋_GBK" w:eastAsia="方正仿宋_GBK" w:cs="方正仿宋_GBK"/>
          <w:sz w:val="32"/>
          <w:szCs w:val="32"/>
          <w:lang w:eastAsia="zh-CN"/>
        </w:rPr>
        <w:t>行政辖区</w:t>
      </w:r>
      <w:r>
        <w:rPr>
          <w:rFonts w:hint="eastAsia" w:ascii="方正仿宋_GBK" w:hAnsi="方正仿宋_GBK" w:eastAsia="方正仿宋_GBK" w:cs="方正仿宋_GBK"/>
          <w:kern w:val="28"/>
          <w:sz w:val="32"/>
          <w:szCs w:val="32"/>
          <w:lang w:eastAsia="zh-CN"/>
        </w:rPr>
        <w:t>最小单元网格内的零售点实际数量大于或等于</w:t>
      </w:r>
      <w:r>
        <w:rPr>
          <w:rFonts w:hint="eastAsia" w:ascii="方正仿宋_GBK" w:hAnsi="方正仿宋_GBK" w:eastAsia="方正仿宋_GBK" w:cs="方正仿宋_GBK"/>
          <w:sz w:val="32"/>
          <w:szCs w:val="32"/>
          <w:lang w:eastAsia="zh-CN"/>
        </w:rPr>
        <w:t>合理容量</w:t>
      </w:r>
      <w:r>
        <w:rPr>
          <w:rFonts w:hint="eastAsia" w:ascii="方正仿宋_GBK" w:hAnsi="方正仿宋_GBK" w:eastAsia="方正仿宋_GBK" w:cs="方正仿宋_GBK"/>
          <w:kern w:val="28"/>
          <w:sz w:val="32"/>
          <w:szCs w:val="32"/>
          <w:lang w:eastAsia="zh-CN"/>
        </w:rPr>
        <w:t>时不再设新的零售点。新办申请人应按本制度首先提出排队轮候申请，直至该最小单元网格内的零售点实际数量小于</w:t>
      </w:r>
      <w:r>
        <w:rPr>
          <w:rFonts w:hint="eastAsia" w:ascii="方正仿宋_GBK" w:hAnsi="方正仿宋_GBK" w:eastAsia="方正仿宋_GBK" w:cs="方正仿宋_GBK"/>
          <w:sz w:val="32"/>
          <w:szCs w:val="32"/>
          <w:lang w:eastAsia="zh-CN"/>
        </w:rPr>
        <w:t>合理容量时，再按照排队轮候的顺序依次提交新办申请。</w:t>
      </w:r>
    </w:p>
    <w:p w14:paraId="391875A8">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在本制度首次施行时，根据</w:t>
      </w:r>
      <w:r>
        <w:rPr>
          <w:rFonts w:hint="eastAsia" w:ascii="方正仿宋_GBK" w:hAnsi="方正仿宋_GBK" w:eastAsia="方正仿宋_GBK" w:cs="方正仿宋_GBK"/>
          <w:kern w:val="28"/>
          <w:sz w:val="32"/>
          <w:szCs w:val="32"/>
          <w:lang w:eastAsia="zh-CN"/>
        </w:rPr>
        <w:t>本县</w:t>
      </w:r>
      <w:r>
        <w:rPr>
          <w:rFonts w:hint="eastAsia" w:ascii="方正仿宋_GBK" w:hAnsi="方正仿宋_GBK" w:eastAsia="方正仿宋_GBK" w:cs="方正仿宋_GBK"/>
          <w:sz w:val="32"/>
          <w:szCs w:val="32"/>
          <w:lang w:eastAsia="zh-CN"/>
        </w:rPr>
        <w:t>行政辖区</w:t>
      </w:r>
      <w:r>
        <w:rPr>
          <w:rFonts w:hint="eastAsia" w:ascii="方正仿宋_GBK" w:hAnsi="方正仿宋_GBK" w:eastAsia="方正仿宋_GBK" w:cs="方正仿宋_GBK"/>
          <w:kern w:val="28"/>
          <w:sz w:val="32"/>
          <w:szCs w:val="32"/>
          <w:lang w:eastAsia="zh-CN"/>
        </w:rPr>
        <w:t>最小单元网格的合理容量公示情况，对符合排队轮候情形的最小单元网格，发证机关采取集中抽签方式确定该最小单元网格首次排队轮候顺序。</w:t>
      </w:r>
    </w:p>
    <w:p w14:paraId="7A666FAA">
      <w:pPr>
        <w:spacing w:line="336"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在本制度首次施行前，已执行排队轮候的，按原排队轮候顺序由</w:t>
      </w:r>
      <w:r>
        <w:rPr>
          <w:rFonts w:hint="eastAsia" w:ascii="方正仿宋_GBK" w:hAnsi="方正仿宋_GBK" w:eastAsia="方正仿宋_GBK" w:cs="方正仿宋_GBK"/>
          <w:kern w:val="28"/>
          <w:sz w:val="32"/>
          <w:szCs w:val="32"/>
          <w:lang w:eastAsia="zh-CN"/>
        </w:rPr>
        <w:t>发证机关录入排队轮候系统。</w:t>
      </w:r>
    </w:p>
    <w:p w14:paraId="46D6D175">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kern w:val="28"/>
          <w:sz w:val="32"/>
          <w:szCs w:val="32"/>
          <w:lang w:eastAsia="zh-CN"/>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3A2E435B">
      <w:pPr>
        <w:spacing w:line="336" w:lineRule="auto"/>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28"/>
          <w:sz w:val="32"/>
          <w:szCs w:val="32"/>
          <w:lang w:eastAsia="zh-CN"/>
        </w:rPr>
        <w:t>集中公证抽签现场按照对外发布方案确定最小单元网格首次排队轮候顺序，并在完成集中公证抽签后二个工作日内公示。</w:t>
      </w:r>
      <w:r>
        <w:rPr>
          <w:rFonts w:hint="eastAsia" w:ascii="方正仿宋_GBK" w:hAnsi="方正仿宋_GBK" w:eastAsia="方正仿宋_GBK" w:cs="方正仿宋_GBK"/>
          <w:sz w:val="32"/>
          <w:szCs w:val="32"/>
          <w:lang w:eastAsia="zh-CN"/>
        </w:rPr>
        <w:t>（备注：第四条、第五条仅适用于本次合理布局规划发布前尚未开展排队轮候的县（市、区），已开展的地区可结合实际决定是否保留此条。</w:t>
      </w:r>
      <w:r>
        <w:rPr>
          <w:rFonts w:hint="eastAsia" w:ascii="方正仿宋_GBK" w:hAnsi="方正仿宋_GBK" w:eastAsia="方正仿宋_GBK" w:cs="方正仿宋_GBK"/>
          <w:sz w:val="32"/>
          <w:szCs w:val="32"/>
        </w:rPr>
        <w:t>）</w:t>
      </w:r>
    </w:p>
    <w:p w14:paraId="1BDAC956">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零售点排队轮候采取最小单元网格管理。自愿加入排队轮候的申请人，应线上填写并提交《云南省易门县烟草制品零售点排队轮候申请表》（详见附表）。</w:t>
      </w:r>
      <w:r>
        <w:rPr>
          <w:rFonts w:hint="eastAsia" w:ascii="方正仿宋_GBK" w:hAnsi="方正仿宋_GBK" w:eastAsia="方正仿宋_GBK" w:cs="方正仿宋_GBK"/>
          <w:sz w:val="32"/>
          <w:szCs w:val="32"/>
        </w:rPr>
        <w:t>申请人在填报信息时应准确、真实。</w:t>
      </w:r>
    </w:p>
    <w:p w14:paraId="336AA276">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系统根据申请人线上提交时间，自动生成排队轮候顺序，并由系统自动推送告知申请人单元网格内当前排队轮候顺序号。（备注：线上排队轮候系统由省局统一开发，系统填写内容包括但不限于第五条中的登记信息、精确到秒的提交时间、顺序号、辖区内所属网格、约定事项等。</w:t>
      </w:r>
      <w:r>
        <w:rPr>
          <w:rFonts w:hint="eastAsia" w:ascii="方正仿宋_GBK" w:hAnsi="方正仿宋_GBK" w:eastAsia="方正仿宋_GBK" w:cs="方正仿宋_GBK"/>
          <w:sz w:val="32"/>
          <w:szCs w:val="32"/>
        </w:rPr>
        <w:t>）</w:t>
      </w:r>
    </w:p>
    <w:p w14:paraId="1CE767E1">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发证机关应公开排队轮候情况，并接受公众监督。申请人可通过线上、线下等方式查询排队轮候情况。</w:t>
      </w:r>
    </w:p>
    <w:p w14:paraId="7488E280">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方正仿宋_GBK" w:hAnsi="方正仿宋_GBK" w:eastAsia="方正仿宋_GBK" w:cs="方正仿宋_GBK"/>
          <w:sz w:val="32"/>
          <w:szCs w:val="32"/>
          <w:lang w:eastAsia="zh-CN"/>
        </w:rPr>
        <w:t>当单元网格内可新增零售点时，由发证机关按照顺序号和申请表约定的联系方式在五个工作日内依次通知申请人提交新办申请。</w:t>
      </w:r>
    </w:p>
    <w:p w14:paraId="42663871">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到号办理时，申请人提交的办证申请信息应与排队轮候登记信息一致。信息不一致的，申请人需重新登记排队轮候。</w:t>
      </w:r>
    </w:p>
    <w:p w14:paraId="66902F46">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方正仿宋_GBK" w:hAnsi="方正仿宋_GBK" w:eastAsia="方正仿宋_GBK" w:cs="方正仿宋_GBK"/>
          <w:sz w:val="32"/>
          <w:szCs w:val="32"/>
          <w:lang w:eastAsia="zh-CN"/>
        </w:rPr>
        <w:t>易门县烟草专卖局每年年底向上一级烟草专卖局报告本年度烟草制品零售点排队轮候管理工作情况。</w:t>
      </w:r>
    </w:p>
    <w:p w14:paraId="447283AB">
      <w:pPr>
        <w:widowControl w:val="0"/>
        <w:numPr>
          <w:ilvl w:val="2"/>
          <w:numId w:val="2"/>
        </w:numPr>
        <w:kinsoku/>
        <w:autoSpaceDE/>
        <w:autoSpaceDN/>
        <w:spacing w:line="336" w:lineRule="auto"/>
        <w:ind w:firstLine="640" w:firstLineChars="20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发证机关接收和办理排队轮候业务，不得收取任何费用。</w:t>
      </w:r>
    </w:p>
    <w:p w14:paraId="78321EE5">
      <w:pPr>
        <w:widowControl w:val="0"/>
        <w:numPr>
          <w:ilvl w:val="2"/>
          <w:numId w:val="2"/>
        </w:numPr>
        <w:kinsoku/>
        <w:autoSpaceDE/>
        <w:autoSpaceDN/>
        <w:spacing w:line="336" w:lineRule="auto"/>
        <w:ind w:firstLine="68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本制度中按照年、月、日计算期间的，开始的当日不计入，自下一日开始计算。均以工作日计算，不含法定节假日。</w:t>
      </w:r>
    </w:p>
    <w:p w14:paraId="35D826FC">
      <w:pPr>
        <w:widowControl w:val="0"/>
        <w:numPr>
          <w:ilvl w:val="2"/>
          <w:numId w:val="2"/>
        </w:numPr>
        <w:kinsoku/>
        <w:autoSpaceDE/>
        <w:autoSpaceDN/>
        <w:spacing w:line="336" w:lineRule="auto"/>
        <w:ind w:firstLine="68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本制度由云南省易门县烟草专卖局负责解释。</w:t>
      </w:r>
    </w:p>
    <w:p w14:paraId="405C6BB0">
      <w:pPr>
        <w:widowControl w:val="0"/>
        <w:numPr>
          <w:ilvl w:val="2"/>
          <w:numId w:val="2"/>
        </w:numPr>
        <w:kinsoku/>
        <w:autoSpaceDE/>
        <w:autoSpaceDN/>
        <w:spacing w:line="336" w:lineRule="auto"/>
        <w:ind w:firstLine="680"/>
        <w:jc w:val="both"/>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本制度自《云南省易门县烟草制品零售点合理布局规划》实施之日起同时施行。</w:t>
      </w:r>
    </w:p>
    <w:p w14:paraId="349C061F">
      <w:pPr>
        <w:spacing w:line="336" w:lineRule="auto"/>
        <w:ind w:left="402" w:firstLine="640" w:firstLineChars="200"/>
        <w:rPr>
          <w:rFonts w:ascii="仿宋_GB2312" w:hAnsi="仿宋_GB2312" w:eastAsia="仿宋_GB2312" w:cs="仿宋_GB2312"/>
          <w:sz w:val="32"/>
          <w:szCs w:val="32"/>
          <w:lang w:eastAsia="zh-CN"/>
        </w:rPr>
      </w:pPr>
    </w:p>
    <w:p w14:paraId="60A39C2A">
      <w:pPr>
        <w:spacing w:line="336" w:lineRule="auto"/>
        <w:ind w:left="402"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附表：云南省易门县烟草制品零售点排队轮候申请表</w:t>
      </w:r>
    </w:p>
    <w:p w14:paraId="7FAAED57">
      <w:pPr>
        <w:rPr>
          <w:rFonts w:ascii="黑体" w:hAnsi="黑体" w:eastAsia="黑体" w:cs="黑体"/>
          <w:sz w:val="32"/>
          <w:szCs w:val="32"/>
          <w:lang w:eastAsia="zh-CN"/>
        </w:rPr>
      </w:pPr>
      <w:r>
        <w:rPr>
          <w:rFonts w:ascii="黑体" w:hAnsi="黑体" w:eastAsia="黑体" w:cs="黑体"/>
          <w:sz w:val="32"/>
          <w:szCs w:val="32"/>
          <w:lang w:eastAsia="zh-CN"/>
        </w:rPr>
        <w:br w:type="page"/>
      </w:r>
    </w:p>
    <w:p w14:paraId="5B602CFF">
      <w:pPr>
        <w:spacing w:line="360" w:lineRule="auto"/>
        <w:rPr>
          <w:rFonts w:ascii="黑体" w:hAnsi="黑体" w:eastAsia="黑体" w:cs="黑体"/>
          <w:sz w:val="44"/>
          <w:szCs w:val="44"/>
          <w:lang w:eastAsia="zh-CN"/>
        </w:rPr>
      </w:pPr>
      <w:r>
        <w:rPr>
          <w:rFonts w:hint="eastAsia" w:ascii="黑体" w:hAnsi="黑体" w:eastAsia="黑体" w:cs="黑体"/>
          <w:sz w:val="32"/>
          <w:szCs w:val="32"/>
          <w:lang w:eastAsia="zh-CN"/>
        </w:rPr>
        <w:t>附表</w:t>
      </w:r>
    </w:p>
    <w:p w14:paraId="13AB1F5C">
      <w:pPr>
        <w:spacing w:line="360" w:lineRule="auto"/>
        <w:ind w:left="402"/>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云南省易门县烟草制品零售点排队轮候申请表</w:t>
      </w:r>
    </w:p>
    <w:tbl>
      <w:tblPr>
        <w:tblStyle w:val="5"/>
        <w:tblW w:w="0" w:type="auto"/>
        <w:tblInd w:w="96" w:type="dxa"/>
        <w:tblLayout w:type="fixed"/>
        <w:tblCellMar>
          <w:top w:w="0" w:type="dxa"/>
          <w:left w:w="108" w:type="dxa"/>
          <w:bottom w:w="0" w:type="dxa"/>
          <w:right w:w="108" w:type="dxa"/>
        </w:tblCellMar>
      </w:tblPr>
      <w:tblGrid>
        <w:gridCol w:w="2422"/>
        <w:gridCol w:w="2283"/>
        <w:gridCol w:w="1543"/>
        <w:gridCol w:w="2178"/>
      </w:tblGrid>
      <w:tr w14:paraId="4DADA71C">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ED567">
            <w:pPr>
              <w:jc w:val="center"/>
              <w:textAlignment w:val="center"/>
              <w:rPr>
                <w:rFonts w:ascii="宋体" w:hAnsi="宋体" w:cs="宋体"/>
                <w:b/>
                <w:bCs/>
                <w:sz w:val="24"/>
              </w:rPr>
            </w:pPr>
            <w:r>
              <w:rPr>
                <w:rFonts w:hint="eastAsia" w:ascii="宋体" w:hAnsi="宋体" w:cs="宋体"/>
                <w:b/>
                <w:bCs/>
                <w:sz w:val="24"/>
                <w:lang w:bidi="ar"/>
              </w:rPr>
              <w:t>申请人基本信息</w:t>
            </w:r>
          </w:p>
        </w:tc>
      </w:tr>
      <w:tr w14:paraId="6A401209">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0BD15">
            <w:pPr>
              <w:jc w:val="center"/>
              <w:textAlignment w:val="center"/>
              <w:rPr>
                <w:rFonts w:ascii="宋体" w:hAnsi="宋体" w:cs="宋体"/>
                <w:sz w:val="24"/>
              </w:rPr>
            </w:pPr>
            <w:r>
              <w:rPr>
                <w:rFonts w:hint="eastAsia" w:ascii="宋体" w:hAnsi="宋体" w:cs="宋体"/>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29549">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5F65F">
            <w:pPr>
              <w:jc w:val="center"/>
              <w:textAlignment w:val="center"/>
              <w:rPr>
                <w:rFonts w:ascii="宋体" w:hAnsi="宋体" w:cs="宋体"/>
                <w:sz w:val="24"/>
              </w:rPr>
            </w:pPr>
            <w:r>
              <w:rPr>
                <w:rFonts w:hint="eastAsia" w:ascii="宋体" w:hAnsi="宋体" w:cs="宋体"/>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98715">
            <w:pPr>
              <w:jc w:val="center"/>
              <w:rPr>
                <w:rFonts w:ascii="宋体" w:hAnsi="宋体" w:cs="宋体"/>
                <w:sz w:val="24"/>
              </w:rPr>
            </w:pPr>
          </w:p>
        </w:tc>
      </w:tr>
      <w:tr w14:paraId="683E2BA6">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0C234">
            <w:pPr>
              <w:jc w:val="center"/>
              <w:textAlignment w:val="center"/>
              <w:rPr>
                <w:rFonts w:ascii="宋体" w:hAnsi="宋体" w:cs="宋体"/>
                <w:sz w:val="24"/>
              </w:rPr>
            </w:pPr>
            <w:r>
              <w:rPr>
                <w:rFonts w:hint="eastAsia" w:ascii="宋体" w:hAnsi="宋体" w:cs="宋体"/>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7240D">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ED46B">
            <w:pPr>
              <w:jc w:val="center"/>
              <w:textAlignment w:val="center"/>
              <w:rPr>
                <w:rFonts w:ascii="宋体" w:hAnsi="宋体" w:cs="宋体"/>
                <w:sz w:val="24"/>
              </w:rPr>
            </w:pPr>
            <w:r>
              <w:rPr>
                <w:rFonts w:hint="eastAsia" w:ascii="宋体" w:hAnsi="宋体" w:cs="宋体"/>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81AF0">
            <w:pPr>
              <w:jc w:val="center"/>
              <w:rPr>
                <w:rFonts w:ascii="宋体" w:hAnsi="宋体" w:cs="宋体"/>
                <w:sz w:val="24"/>
              </w:rPr>
            </w:pPr>
          </w:p>
        </w:tc>
      </w:tr>
      <w:tr w14:paraId="31599BAD">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D5D91">
            <w:pPr>
              <w:jc w:val="center"/>
              <w:textAlignment w:val="center"/>
              <w:rPr>
                <w:rFonts w:ascii="宋体" w:hAnsi="宋体" w:cs="宋体"/>
                <w:sz w:val="24"/>
              </w:rPr>
            </w:pPr>
            <w:r>
              <w:rPr>
                <w:rFonts w:hint="eastAsia" w:ascii="宋体" w:hAnsi="宋体" w:cs="宋体"/>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B4A7B">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5437A">
            <w:pPr>
              <w:jc w:val="center"/>
              <w:textAlignment w:val="center"/>
              <w:rPr>
                <w:rFonts w:ascii="宋体" w:hAnsi="宋体" w:cs="宋体"/>
                <w:sz w:val="24"/>
              </w:rPr>
            </w:pPr>
            <w:r>
              <w:rPr>
                <w:rFonts w:hint="eastAsia" w:ascii="宋体" w:hAnsi="宋体" w:cs="宋体"/>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A5D49">
            <w:pPr>
              <w:jc w:val="center"/>
              <w:rPr>
                <w:rFonts w:ascii="宋体" w:hAnsi="宋体" w:cs="宋体"/>
                <w:sz w:val="24"/>
              </w:rPr>
            </w:pPr>
          </w:p>
        </w:tc>
      </w:tr>
      <w:tr w14:paraId="7AF7C2E7">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613BD">
            <w:pPr>
              <w:jc w:val="center"/>
              <w:textAlignment w:val="center"/>
              <w:rPr>
                <w:rFonts w:ascii="宋体" w:hAnsi="宋体" w:cs="宋体"/>
                <w:sz w:val="24"/>
              </w:rPr>
            </w:pPr>
            <w:r>
              <w:rPr>
                <w:rFonts w:hint="eastAsia" w:ascii="宋体" w:hAnsi="宋体" w:cs="宋体"/>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015F9">
            <w:pPr>
              <w:jc w:val="center"/>
              <w:rPr>
                <w:rFonts w:ascii="宋体" w:hAnsi="宋体" w:cs="宋体"/>
                <w:sz w:val="24"/>
              </w:rPr>
            </w:pPr>
          </w:p>
        </w:tc>
      </w:tr>
      <w:tr w14:paraId="3E5FF3F1">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D02C5">
            <w:pPr>
              <w:jc w:val="center"/>
              <w:textAlignment w:val="center"/>
              <w:rPr>
                <w:rFonts w:ascii="宋体" w:hAnsi="宋体" w:cs="宋体"/>
                <w:b/>
                <w:bCs/>
                <w:sz w:val="24"/>
              </w:rPr>
            </w:pPr>
            <w:r>
              <w:rPr>
                <w:rFonts w:hint="eastAsia" w:ascii="宋体" w:hAnsi="宋体" w:cs="宋体"/>
                <w:b/>
                <w:bCs/>
                <w:sz w:val="24"/>
                <w:lang w:bidi="ar"/>
              </w:rPr>
              <w:t>营业执照基本信息</w:t>
            </w:r>
          </w:p>
        </w:tc>
      </w:tr>
      <w:tr w14:paraId="01925541">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E3D1F">
            <w:pPr>
              <w:jc w:val="center"/>
              <w:textAlignment w:val="center"/>
              <w:rPr>
                <w:rFonts w:ascii="宋体" w:hAnsi="宋体" w:cs="宋体"/>
                <w:sz w:val="24"/>
              </w:rPr>
            </w:pPr>
            <w:r>
              <w:rPr>
                <w:rFonts w:hint="eastAsia" w:ascii="宋体" w:hAnsi="宋体" w:cs="宋体"/>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B7632">
            <w:pPr>
              <w:jc w:val="center"/>
              <w:rPr>
                <w:rFonts w:ascii="宋体" w:hAnsi="宋体" w:cs="宋体"/>
                <w:sz w:val="24"/>
              </w:rPr>
            </w:pPr>
          </w:p>
        </w:tc>
      </w:tr>
      <w:tr w14:paraId="44CBBE12">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D571B">
            <w:pPr>
              <w:jc w:val="center"/>
              <w:textAlignment w:val="center"/>
              <w:rPr>
                <w:rFonts w:ascii="宋体" w:hAnsi="宋体" w:cs="宋体"/>
                <w:sz w:val="24"/>
              </w:rPr>
            </w:pPr>
            <w:r>
              <w:rPr>
                <w:rFonts w:hint="eastAsia" w:ascii="宋体" w:hAnsi="宋体" w:cs="宋体"/>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3A55C">
            <w:pPr>
              <w:jc w:val="center"/>
              <w:rPr>
                <w:rFonts w:ascii="宋体" w:hAnsi="宋体" w:cs="宋体"/>
                <w:sz w:val="24"/>
              </w:rPr>
            </w:pPr>
          </w:p>
        </w:tc>
      </w:tr>
      <w:tr w14:paraId="2FD1B3F2">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797EC">
            <w:pPr>
              <w:jc w:val="center"/>
              <w:textAlignment w:val="center"/>
              <w:rPr>
                <w:rFonts w:ascii="宋体" w:hAnsi="宋体" w:cs="宋体"/>
                <w:sz w:val="24"/>
              </w:rPr>
            </w:pPr>
            <w:r>
              <w:rPr>
                <w:rFonts w:hint="eastAsia" w:ascii="宋体" w:hAnsi="宋体" w:cs="宋体"/>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C1B56">
            <w:pPr>
              <w:jc w:val="center"/>
              <w:rPr>
                <w:rFonts w:ascii="宋体" w:hAnsi="宋体" w:cs="宋体"/>
                <w:sz w:val="24"/>
              </w:rPr>
            </w:pPr>
          </w:p>
        </w:tc>
      </w:tr>
      <w:tr w14:paraId="34E175C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10E94">
            <w:pPr>
              <w:jc w:val="center"/>
              <w:textAlignment w:val="center"/>
              <w:rPr>
                <w:rFonts w:ascii="宋体" w:hAnsi="宋体" w:cs="宋体"/>
                <w:sz w:val="24"/>
              </w:rPr>
            </w:pPr>
            <w:r>
              <w:rPr>
                <w:rFonts w:hint="eastAsia" w:ascii="宋体" w:hAnsi="宋体" w:cs="宋体"/>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8F811">
            <w:pPr>
              <w:jc w:val="center"/>
              <w:rPr>
                <w:rFonts w:ascii="宋体" w:hAnsi="宋体" w:cs="宋体"/>
                <w:sz w:val="24"/>
              </w:rPr>
            </w:pPr>
          </w:p>
        </w:tc>
      </w:tr>
      <w:tr w14:paraId="516505A5">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86FFF5A">
            <w:pPr>
              <w:textAlignment w:val="center"/>
              <w:rPr>
                <w:rStyle w:val="9"/>
                <w:rFonts w:hint="default"/>
                <w:color w:val="auto"/>
                <w:lang w:eastAsia="zh-CN" w:bidi="ar"/>
              </w:rPr>
            </w:pPr>
            <w:r>
              <w:rPr>
                <w:rStyle w:val="9"/>
                <w:rFonts w:hint="default"/>
                <w:color w:val="auto"/>
                <w:lang w:eastAsia="zh-CN" w:bidi="ar"/>
              </w:rPr>
              <w:t>申请人承诺：</w:t>
            </w:r>
          </w:p>
          <w:p w14:paraId="0BA3F20C">
            <w:pPr>
              <w:ind w:firstLine="482" w:firstLineChars="200"/>
              <w:textAlignment w:val="center"/>
              <w:rPr>
                <w:rStyle w:val="9"/>
                <w:rFonts w:hint="default"/>
                <w:b w:val="0"/>
                <w:bCs w:val="0"/>
                <w:color w:val="auto"/>
                <w:lang w:eastAsia="zh-CN" w:bidi="ar"/>
              </w:rPr>
            </w:pPr>
            <w:r>
              <w:rPr>
                <w:rStyle w:val="9"/>
                <w:rFonts w:hint="default"/>
                <w:color w:val="auto"/>
                <w:lang w:eastAsia="zh-CN"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2B895B60">
            <w:pPr>
              <w:ind w:firstLine="482" w:firstLineChars="200"/>
              <w:textAlignment w:val="center"/>
              <w:rPr>
                <w:rStyle w:val="9"/>
                <w:rFonts w:hint="default"/>
                <w:b w:val="0"/>
                <w:bCs w:val="0"/>
                <w:color w:val="auto"/>
                <w:lang w:eastAsia="zh-CN" w:bidi="ar"/>
              </w:rPr>
            </w:pPr>
            <w:r>
              <w:rPr>
                <w:rStyle w:val="9"/>
                <w:rFonts w:hint="default"/>
                <w:color w:val="auto"/>
                <w:lang w:eastAsia="zh-CN" w:bidi="ar"/>
              </w:rPr>
              <w:t>2.申请人所提交的预登记信息确保与到号办理时提交的办证信息一致，若不一致的，申请人应重新登记轮候；</w:t>
            </w:r>
          </w:p>
          <w:p w14:paraId="4F834160">
            <w:pPr>
              <w:ind w:firstLine="482" w:firstLineChars="200"/>
              <w:textAlignment w:val="center"/>
              <w:rPr>
                <w:rStyle w:val="9"/>
                <w:rFonts w:hint="default"/>
                <w:b w:val="0"/>
                <w:bCs w:val="0"/>
                <w:color w:val="auto"/>
                <w:lang w:eastAsia="zh-CN" w:bidi="ar"/>
              </w:rPr>
            </w:pPr>
            <w:r>
              <w:rPr>
                <w:rStyle w:val="9"/>
                <w:rFonts w:hint="default"/>
                <w:color w:val="auto"/>
                <w:lang w:eastAsia="zh-CN"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796FCEFF">
            <w:pPr>
              <w:ind w:firstLine="482" w:firstLineChars="200"/>
              <w:textAlignment w:val="center"/>
              <w:rPr>
                <w:rFonts w:ascii="宋体" w:hAnsi="宋体" w:cs="宋体"/>
                <w:b/>
                <w:bCs/>
                <w:sz w:val="24"/>
                <w:lang w:eastAsia="zh-CN"/>
              </w:rPr>
            </w:pPr>
            <w:r>
              <w:rPr>
                <w:rStyle w:val="9"/>
                <w:rFonts w:hint="default"/>
                <w:color w:val="auto"/>
                <w:lang w:eastAsia="zh-CN" w:bidi="ar"/>
              </w:rPr>
              <w:t>申请人或代理人（签名或印章）：</w:t>
            </w:r>
            <w:r>
              <w:rPr>
                <w:rStyle w:val="10"/>
                <w:rFonts w:hint="default"/>
                <w:color w:val="auto"/>
                <w:lang w:eastAsia="zh-CN" w:bidi="ar"/>
              </w:rPr>
              <w:t xml:space="preserve">        </w:t>
            </w:r>
            <w:r>
              <w:rPr>
                <w:rStyle w:val="9"/>
                <w:rFonts w:hint="default"/>
                <w:color w:val="auto"/>
                <w:lang w:eastAsia="zh-CN" w:bidi="ar"/>
              </w:rPr>
              <w:t xml:space="preserve">                                                                         </w:t>
            </w:r>
          </w:p>
        </w:tc>
      </w:tr>
      <w:tr w14:paraId="3A0BCA3A">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67245">
            <w:pPr>
              <w:jc w:val="center"/>
              <w:textAlignment w:val="center"/>
              <w:rPr>
                <w:rFonts w:ascii="宋体" w:hAnsi="宋体" w:cs="宋体"/>
                <w:b/>
                <w:bCs/>
                <w:sz w:val="24"/>
              </w:rPr>
            </w:pPr>
            <w:r>
              <w:rPr>
                <w:rFonts w:hint="eastAsia" w:ascii="宋体" w:hAnsi="宋体" w:cs="宋体"/>
                <w:b/>
                <w:bCs/>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5AA870D">
            <w:pPr>
              <w:jc w:val="center"/>
              <w:rPr>
                <w:rFonts w:ascii="宋体" w:hAnsi="宋体" w:cs="宋体"/>
                <w:b/>
                <w:bCs/>
                <w:sz w:val="24"/>
              </w:rPr>
            </w:pPr>
          </w:p>
        </w:tc>
      </w:tr>
    </w:tbl>
    <w:p w14:paraId="49E7D27A">
      <w:pPr>
        <w:pStyle w:val="2"/>
        <w:rPr>
          <w:rFonts w:hint="eastAsia"/>
          <w:lang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A00002BF" w:usb1="3ACF7CFA" w:usb2="00080016" w:usb3="00000000" w:csb0="00040001" w:csb1="00000000"/>
  </w:font>
  <w:font w:name="国标黑体-GB/T 2312">
    <w:panose1 w:val="02000500000000000000"/>
    <w:charset w:val="86"/>
    <w:family w:val="auto"/>
    <w:pitch w:val="default"/>
    <w:sig w:usb0="00000001" w:usb1="0800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隶书_GBK">
    <w:panose1 w:val="02000000000000000000"/>
    <w:charset w:val="86"/>
    <w:family w:val="auto"/>
    <w:pitch w:val="default"/>
    <w:sig w:usb0="00000001" w:usb1="0800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方正行楷_GBK">
    <w:panose1 w:val="02000000000000000000"/>
    <w:charset w:val="86"/>
    <w:family w:val="auto"/>
    <w:pitch w:val="default"/>
    <w:sig w:usb0="A00002BF" w:usb1="38CF7CFA" w:usb2="00000016" w:usb3="00000000" w:csb0="00040001" w:csb1="00000000"/>
  </w:font>
  <w:font w:name="方正美黑简体">
    <w:panose1 w:val="03000509000000000000"/>
    <w:charset w:val="86"/>
    <w:family w:val="auto"/>
    <w:pitch w:val="default"/>
    <w:sig w:usb0="00000001" w:usb1="080E0000" w:usb2="00000000" w:usb3="00000000" w:csb0="00040000" w:csb1="00000000"/>
  </w:font>
  <w:font w:name="方正魏碑_GBK">
    <w:panose1 w:val="02000000000000000000"/>
    <w:charset w:val="86"/>
    <w:family w:val="auto"/>
    <w:pitch w:val="default"/>
    <w:sig w:usb0="A00002BF" w:usb1="39CF7CFA" w:usb2="00082016" w:usb3="00000000" w:csb0="00040001" w:csb1="00000000"/>
  </w:font>
  <w:font w:name="方正舒体">
    <w:panose1 w:val="02010601030101010101"/>
    <w:charset w:val="86"/>
    <w:family w:val="auto"/>
    <w:pitch w:val="default"/>
    <w:sig w:usb0="00000003" w:usb1="080E0000" w:usb2="00000000" w:usb3="00000000" w:csb0="00040000" w:csb1="00000000"/>
  </w:font>
  <w:font w:name="方正超粗黑_GBK">
    <w:panose1 w:val="02000000000000000000"/>
    <w:charset w:val="86"/>
    <w:family w:val="auto"/>
    <w:pitch w:val="default"/>
    <w:sig w:usb0="A00002BF" w:usb1="38CF7CFA" w:usb2="00082016" w:usb3="00000000" w:csb0="00040001" w:csb1="00000000"/>
  </w:font>
  <w:font w:name="国标宋体">
    <w:panose1 w:val="02000500000000000000"/>
    <w:charset w:val="86"/>
    <w:family w:val="auto"/>
    <w:pitch w:val="default"/>
    <w:sig w:usb0="00000001" w:usb1="28000000" w:usb2="00000000" w:usb3="00000000" w:csb0="00040000"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AF5B5">
    <w:pPr>
      <w:pStyle w:val="2"/>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28575</wp:posOffset>
              </wp:positionV>
              <wp:extent cx="1101725" cy="6604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01725" cy="660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F93F9">
                          <w:pPr>
                            <w:pStyle w:val="3"/>
                            <w:rPr>
                              <w:rFonts w:hint="eastAsia" w:ascii="宋体" w:hAnsi="宋体" w:eastAsia="宋体" w:cs="宋体"/>
                              <w:sz w:val="22"/>
                              <w:szCs w:val="28"/>
                            </w:rPr>
                          </w:pPr>
                          <w:r>
                            <w:rPr>
                              <w:rFonts w:hint="eastAsia" w:ascii="宋体" w:hAnsi="宋体" w:eastAsia="宋体" w:cs="宋体"/>
                              <w:sz w:val="22"/>
                              <w:szCs w:val="28"/>
                            </w:rPr>
                            <w:t xml:space="preserve">— </w:t>
                          </w: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PAGE  \* MERGEFORMAT </w:instrText>
                          </w:r>
                          <w:r>
                            <w:rPr>
                              <w:rFonts w:hint="eastAsia" w:ascii="宋体" w:hAnsi="宋体" w:eastAsia="宋体" w:cs="宋体"/>
                              <w:sz w:val="22"/>
                              <w:szCs w:val="28"/>
                            </w:rPr>
                            <w:fldChar w:fldCharType="separate"/>
                          </w:r>
                          <w:r>
                            <w:rPr>
                              <w:rFonts w:hint="eastAsia" w:ascii="宋体" w:hAnsi="宋体" w:eastAsia="宋体" w:cs="宋体"/>
                              <w:sz w:val="22"/>
                              <w:szCs w:val="28"/>
                            </w:rPr>
                            <w:t>- 1 -</w:t>
                          </w:r>
                          <w:r>
                            <w:rPr>
                              <w:rFonts w:hint="eastAsia" w:ascii="宋体" w:hAnsi="宋体" w:eastAsia="宋体" w:cs="宋体"/>
                              <w:sz w:val="22"/>
                              <w:szCs w:val="28"/>
                            </w:rPr>
                            <w:fldChar w:fldCharType="end"/>
                          </w:r>
                          <w:r>
                            <w:rPr>
                              <w:rFonts w:hint="eastAsia" w:ascii="宋体" w:hAnsi="宋体" w:eastAsia="宋体" w:cs="宋体"/>
                              <w:sz w:val="22"/>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25pt;height:52pt;width:86.75pt;mso-position-horizontal:outside;mso-position-horizontal-relative:margin;z-index:251659264;mso-width-relative:page;mso-height-relative:page;" filled="f" stroked="f" coordsize="21600,21600" o:gfxdata="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3s4ZPUAAAABgEAAA8AAAAAAAAAAQAgAAAAIgAAAGRycy9kb3ducmV2Lnht&#10;bFBLAQIUABQAAAAIAIdO4kBAYxGvNgIAAGIEAAAOAAAAAAAAAAEAIAAAACMBAABkcnMvZTJvRG9j&#10;LnhtbFBLBQYAAAAABgAGAFkBAADLBQAAAAA=&#10;">
              <v:fill on="f" focussize="0,0"/>
              <v:stroke on="f" weight="0.5pt"/>
              <v:imagedata o:title=""/>
              <o:lock v:ext="edit" aspectratio="f"/>
              <v:textbox inset="0mm,0mm,0mm,0mm">
                <w:txbxContent>
                  <w:p w14:paraId="0A3F93F9">
                    <w:pPr>
                      <w:pStyle w:val="3"/>
                      <w:rPr>
                        <w:rFonts w:hint="eastAsia" w:ascii="宋体" w:hAnsi="宋体" w:eastAsia="宋体" w:cs="宋体"/>
                        <w:sz w:val="22"/>
                        <w:szCs w:val="28"/>
                      </w:rPr>
                    </w:pPr>
                    <w:r>
                      <w:rPr>
                        <w:rFonts w:hint="eastAsia" w:ascii="宋体" w:hAnsi="宋体" w:eastAsia="宋体" w:cs="宋体"/>
                        <w:sz w:val="22"/>
                        <w:szCs w:val="28"/>
                      </w:rPr>
                      <w:t xml:space="preserve">— </w:t>
                    </w:r>
                    <w:r>
                      <w:rPr>
                        <w:rFonts w:hint="eastAsia" w:ascii="宋体" w:hAnsi="宋体" w:eastAsia="宋体" w:cs="宋体"/>
                        <w:sz w:val="22"/>
                        <w:szCs w:val="28"/>
                      </w:rPr>
                      <w:fldChar w:fldCharType="begin"/>
                    </w:r>
                    <w:r>
                      <w:rPr>
                        <w:rFonts w:hint="eastAsia" w:ascii="宋体" w:hAnsi="宋体" w:eastAsia="宋体" w:cs="宋体"/>
                        <w:sz w:val="22"/>
                        <w:szCs w:val="28"/>
                      </w:rPr>
                      <w:instrText xml:space="preserve"> PAGE  \* MERGEFORMAT </w:instrText>
                    </w:r>
                    <w:r>
                      <w:rPr>
                        <w:rFonts w:hint="eastAsia" w:ascii="宋体" w:hAnsi="宋体" w:eastAsia="宋体" w:cs="宋体"/>
                        <w:sz w:val="22"/>
                        <w:szCs w:val="28"/>
                      </w:rPr>
                      <w:fldChar w:fldCharType="separate"/>
                    </w:r>
                    <w:r>
                      <w:rPr>
                        <w:rFonts w:hint="eastAsia" w:ascii="宋体" w:hAnsi="宋体" w:eastAsia="宋体" w:cs="宋体"/>
                        <w:sz w:val="22"/>
                        <w:szCs w:val="28"/>
                      </w:rPr>
                      <w:t>- 1 -</w:t>
                    </w:r>
                    <w:r>
                      <w:rPr>
                        <w:rFonts w:hint="eastAsia" w:ascii="宋体" w:hAnsi="宋体" w:eastAsia="宋体" w:cs="宋体"/>
                        <w:sz w:val="22"/>
                        <w:szCs w:val="28"/>
                      </w:rPr>
                      <w:fldChar w:fldCharType="end"/>
                    </w:r>
                    <w:r>
                      <w:rPr>
                        <w:rFonts w:hint="eastAsia" w:ascii="宋体" w:hAnsi="宋体" w:eastAsia="宋体" w:cs="宋体"/>
                        <w:sz w:val="22"/>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ascii="方正黑体_GBK" w:hAnsi="方正黑体_GBK" w:eastAsia="方正黑体_GBK" w:cs="方正黑体_GBK"/>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1EC05970"/>
    <w:multiLevelType w:val="multilevel"/>
    <w:tmpl w:val="1EC0597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ascii="方正黑体_GBK" w:hAnsi="方正黑体_GBK" w:eastAsia="方正黑体_GBK" w:cs="方正黑体_GBK"/>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mirrorMargin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E5510A"/>
    <w:rsid w:val="06171A91"/>
    <w:rsid w:val="18CC668A"/>
    <w:rsid w:val="1DA23D10"/>
    <w:rsid w:val="3A8E5764"/>
    <w:rsid w:val="60A02607"/>
    <w:rsid w:val="64E5510A"/>
    <w:rsid w:val="76955751"/>
    <w:rsid w:val="7FEF8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
    <w:name w:val="Table Normal"/>
    <w:autoRedefine/>
    <w:semiHidden/>
    <w:unhideWhenUsed/>
    <w:qFormat/>
    <w:uiPriority w:val="0"/>
    <w:tblPr>
      <w:tblCellMar>
        <w:top w:w="0" w:type="dxa"/>
        <w:left w:w="0" w:type="dxa"/>
        <w:bottom w:w="0" w:type="dxa"/>
        <w:right w:w="0" w:type="dxa"/>
      </w:tblCellMar>
    </w:tblPr>
  </w:style>
  <w:style w:type="character" w:customStyle="1" w:styleId="9">
    <w:name w:val="font11"/>
    <w:basedOn w:val="7"/>
    <w:autoRedefine/>
    <w:qFormat/>
    <w:uiPriority w:val="0"/>
    <w:rPr>
      <w:rFonts w:hint="eastAsia" w:ascii="宋体" w:hAnsi="宋体" w:eastAsia="宋体" w:cs="宋体"/>
      <w:b/>
      <w:bCs/>
      <w:color w:val="000000"/>
      <w:sz w:val="24"/>
      <w:szCs w:val="24"/>
      <w:u w:val="none"/>
    </w:rPr>
  </w:style>
  <w:style w:type="character" w:customStyle="1" w:styleId="10">
    <w:name w:val="font21"/>
    <w:basedOn w:val="7"/>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3447</Words>
  <Characters>3480</Characters>
  <Lines>0</Lines>
  <Paragraphs>0</Paragraphs>
  <TotalTime>90</TotalTime>
  <ScaleCrop>false</ScaleCrop>
  <LinksUpToDate>false</LinksUpToDate>
  <CharactersWithSpaces>3510</CharactersWithSpaces>
  <Application>WPS Office_12.8.2.17863_F1E327BC-269C-435d-A152-05C5408002CA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2025-08-26T09:38:00Z</dcterms:created>
  <dc:creator>Sususuda</dc:creator>
  <cp:lastModifiedBy>kylin</cp:lastModifiedBy>
  <dcterms:modified xsi:type="dcterms:W3CDTF">2025-09-22T16:45:33Z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2052-12.8.2.17863</vt:lpwstr>
  </property>
  <property fmtid="{D5CDD505-2E9C-101B-9397-08002B2CF9AE}" pid="3" name="ICV">
    <vt:lpwstr>F090CB66A1A44F67B24C6E8CB7DE535A_13</vt:lpwstr>
  </property>
  <property fmtid="{D5CDD505-2E9C-101B-9397-08002B2CF9AE}" pid="4" name="KSOTemplateDocerSaveRecord">
    <vt:lpwstr>eyJoZGlkIjoiZjc5MWY5OGU4NGYwNDJiNTdlNjQyM2ViMjA1MjVkMDEiLCJ1c2VySWQiOiIyMzYyMzIwNzAifQ==</vt:lpwstr>
  </property>
</Properties>
</file>