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6FA41">
      <w:pPr>
        <w:rPr>
          <w:rFonts w:ascii="Arial" w:hAnsi="Arial" w:eastAsia="Arial" w:cs="Arial"/>
          <w:b/>
          <w:sz w:val="36"/>
        </w:rPr>
      </w:pPr>
      <w:bookmarkStart w:id="4" w:name="_GoBack"/>
      <w:bookmarkEnd w:id="4"/>
      <w:bookmarkStart w:id="0" w:name="OLE_LINK1"/>
      <w:r>
        <w:rPr>
          <w:rFonts w:ascii="Arial" w:hAnsi="Arial" w:eastAsia="Arial" w:cs="Arial"/>
          <w:b/>
          <w:sz w:val="36"/>
        </w:rPr>
        <w:t>监督索引号53042500671800301000</w:t>
      </w:r>
    </w:p>
    <w:p w14:paraId="7D043A55">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易门县文化和旅游局（本级）</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673E1E3A">
      <w:pPr>
        <w:jc w:val="center"/>
        <w:rPr>
          <w:rFonts w:hint="eastAsia" w:ascii="方正小标宋简体" w:hAnsi="方正小标宋简体" w:eastAsia="方正小标宋简体" w:cs="方正小标宋简体"/>
          <w:sz w:val="36"/>
          <w:szCs w:val="36"/>
          <w:highlight w:val="none"/>
        </w:rPr>
      </w:pPr>
    </w:p>
    <w:p w14:paraId="1D020643">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6BFBDD22">
      <w:pPr>
        <w:jc w:val="left"/>
        <w:rPr>
          <w:rFonts w:hint="eastAsia" w:ascii="黑体" w:hAnsi="黑体" w:eastAsia="黑体"/>
          <w:sz w:val="30"/>
          <w:szCs w:val="30"/>
          <w:highlight w:val="none"/>
        </w:rPr>
      </w:pPr>
    </w:p>
    <w:p w14:paraId="7A6B30B3">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61187435">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3B83320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D338D16">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F583C79">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5533BF1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746477D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2C0487B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25FF7C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A4FEB3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7C1E386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0A6AEE2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18E117EC">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7C79705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1C9D69C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1BF8ABEF">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CD2E7A0">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17EE159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DCE5B2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CD9B6F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29F4712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62551E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77C5D4E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71F5A9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5079DB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2ACC0B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1DE372E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108A471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6304A23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6217D4F">
      <w:pPr>
        <w:jc w:val="center"/>
        <w:rPr>
          <w:rFonts w:hint="eastAsia" w:ascii="黑体" w:hAnsi="黑体" w:eastAsia="黑体"/>
          <w:sz w:val="32"/>
          <w:szCs w:val="32"/>
          <w:highlight w:val="none"/>
        </w:rPr>
      </w:pPr>
    </w:p>
    <w:p w14:paraId="3209061C">
      <w:pPr>
        <w:jc w:val="center"/>
        <w:rPr>
          <w:rFonts w:hint="eastAsia" w:ascii="黑体" w:hAnsi="黑体" w:eastAsia="黑体"/>
          <w:sz w:val="32"/>
          <w:szCs w:val="32"/>
          <w:highlight w:val="none"/>
        </w:rPr>
      </w:pPr>
    </w:p>
    <w:p w14:paraId="7173833A">
      <w:pPr>
        <w:jc w:val="center"/>
        <w:rPr>
          <w:rFonts w:hint="eastAsia" w:ascii="黑体" w:hAnsi="黑体" w:eastAsia="黑体"/>
          <w:sz w:val="32"/>
          <w:szCs w:val="32"/>
          <w:highlight w:val="none"/>
        </w:rPr>
      </w:pPr>
    </w:p>
    <w:p w14:paraId="5EE94B17">
      <w:pPr>
        <w:jc w:val="center"/>
        <w:rPr>
          <w:rFonts w:hint="eastAsia" w:ascii="黑体" w:hAnsi="黑体" w:eastAsia="黑体"/>
          <w:sz w:val="32"/>
          <w:szCs w:val="32"/>
          <w:highlight w:val="none"/>
        </w:rPr>
      </w:pPr>
    </w:p>
    <w:p w14:paraId="4477EC22">
      <w:pPr>
        <w:jc w:val="center"/>
        <w:rPr>
          <w:rFonts w:hint="eastAsia" w:ascii="黑体" w:hAnsi="黑体" w:eastAsia="黑体"/>
          <w:sz w:val="32"/>
          <w:szCs w:val="32"/>
          <w:highlight w:val="none"/>
        </w:rPr>
      </w:pPr>
    </w:p>
    <w:p w14:paraId="06E38269">
      <w:pPr>
        <w:jc w:val="center"/>
        <w:rPr>
          <w:rFonts w:hint="eastAsia" w:ascii="黑体" w:hAnsi="黑体" w:eastAsia="黑体"/>
          <w:sz w:val="32"/>
          <w:szCs w:val="32"/>
          <w:highlight w:val="none"/>
        </w:rPr>
      </w:pPr>
    </w:p>
    <w:p w14:paraId="1957FD12">
      <w:pPr>
        <w:jc w:val="center"/>
        <w:rPr>
          <w:rFonts w:hint="eastAsia" w:ascii="黑体" w:hAnsi="黑体" w:eastAsia="黑体"/>
          <w:sz w:val="32"/>
          <w:szCs w:val="32"/>
          <w:highlight w:val="none"/>
        </w:rPr>
      </w:pPr>
    </w:p>
    <w:p w14:paraId="18E0215E">
      <w:pPr>
        <w:jc w:val="both"/>
        <w:rPr>
          <w:rFonts w:hint="eastAsia" w:ascii="黑体" w:hAnsi="黑体" w:eastAsia="黑体"/>
          <w:sz w:val="32"/>
          <w:szCs w:val="32"/>
          <w:highlight w:val="none"/>
        </w:rPr>
      </w:pPr>
    </w:p>
    <w:p w14:paraId="54984B6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7610BC5A">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79810C7C">
      <w:pPr>
        <w:pStyle w:val="2"/>
        <w:adjustRightInd w:val="0"/>
        <w:snapToGrid w:val="0"/>
        <w:spacing w:line="600" w:lineRule="exact"/>
        <w:ind w:firstLine="672" w:firstLineChars="210"/>
        <w:rPr>
          <w:rFonts w:hint="eastAsia"/>
          <w:bCs/>
          <w:szCs w:val="30"/>
          <w:highlight w:val="none"/>
        </w:rPr>
      </w:pPr>
      <w:r>
        <w:rPr>
          <w:rFonts w:hint="eastAsia" w:ascii="Times New Roman" w:eastAsia="方正仿宋_GBK" w:cs="Times New Roman"/>
          <w:b w:val="0"/>
          <w:bCs w:val="0"/>
          <w:color w:val="auto"/>
          <w:kern w:val="2"/>
          <w:sz w:val="32"/>
          <w:szCs w:val="32"/>
          <w:lang w:val="en-US" w:eastAsia="zh-CN" w:bidi="ar-SA"/>
        </w:rPr>
        <w:t>易门县文化和旅游局</w:t>
      </w:r>
      <w:r>
        <w:rPr>
          <w:rFonts w:hint="eastAsia" w:ascii="Times New Roman" w:hAnsi="Times New Roman" w:eastAsia="方正仿宋_GBK" w:cs="Times New Roman"/>
          <w:b w:val="0"/>
          <w:bCs w:val="0"/>
          <w:color w:val="auto"/>
          <w:kern w:val="2"/>
          <w:sz w:val="32"/>
          <w:szCs w:val="32"/>
          <w:lang w:val="en-US" w:eastAsia="zh-CN" w:bidi="ar-SA"/>
        </w:rPr>
        <w:t>贯彻落实党的文化、旅游工作方针政策，研究拟订文化、旅游工作政策措施，统筹规划文化、旅游业发展，深入实施文化惠民工程，组织实施文化资源普查、挖掘和保护工作，维护监管各类文化市场和旅游市场秩序，加强对外文化交流，推动文化旅游产业转型升级、融合发展等。</w:t>
      </w:r>
    </w:p>
    <w:p w14:paraId="35F14CE0">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23BB8790">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495F03B1">
      <w:pPr>
        <w:pStyle w:val="9"/>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w:t>
      </w:r>
      <w:r>
        <w:rPr>
          <w:rFonts w:hint="default" w:ascii="Times New Roman" w:hAnsi="Times New Roman" w:eastAsia="方正仿宋_GBK" w:cs="Times New Roman"/>
          <w:b w:val="0"/>
          <w:bCs w:val="0"/>
          <w:color w:val="auto"/>
          <w:kern w:val="2"/>
          <w:sz w:val="32"/>
          <w:szCs w:val="32"/>
          <w:lang w:val="en-US" w:eastAsia="zh-CN" w:bidi="ar-SA"/>
        </w:rPr>
        <w:t>共设置2个内设机构，包括公共服务股、产业发展股。</w:t>
      </w:r>
    </w:p>
    <w:p w14:paraId="1AD4EF4C">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1D985633">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一</w:t>
      </w:r>
      <w:r>
        <w:rPr>
          <w:rFonts w:hint="eastAsia" w:ascii="仿宋_GB2312" w:eastAsia="仿宋_GB2312"/>
          <w:sz w:val="30"/>
          <w:szCs w:val="30"/>
          <w:highlight w:val="none"/>
          <w:lang w:eastAsia="zh-CN"/>
        </w:rPr>
        <w:t>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0F9E4972">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0EB11678">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16</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11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4237FB05">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354D2766">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9</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9</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1</w:t>
      </w:r>
      <w:r>
        <w:rPr>
          <w:rFonts w:hint="eastAsia" w:ascii="仿宋_GB2312" w:hAnsi="宋体" w:eastAsia="仿宋_GB2312" w:cs="Arial"/>
          <w:kern w:val="0"/>
          <w:sz w:val="30"/>
          <w:szCs w:val="30"/>
          <w:highlight w:val="none"/>
          <w:lang w:val="en-US" w:eastAsia="zh-CN"/>
        </w:rPr>
        <w:t>人。</w:t>
      </w:r>
    </w:p>
    <w:p w14:paraId="0AC6A032">
      <w:pPr>
        <w:spacing w:line="600" w:lineRule="exact"/>
        <w:ind w:firstLine="600" w:firstLineChars="200"/>
        <w:rPr>
          <w:rFonts w:hint="eastAsia" w:ascii="仿宋_GB2312" w:hAnsi="仿宋_GB2312" w:eastAsia="仿宋_GB2312" w:cs="仿宋_GB2312"/>
          <w:b w:val="0"/>
          <w:bCs w:val="0"/>
          <w:sz w:val="30"/>
          <w:szCs w:val="30"/>
          <w:highlight w:val="none"/>
          <w:u w:val="none"/>
          <w:lang w:val="en-US" w:eastAsia="zh-CN"/>
        </w:rPr>
      </w:pPr>
      <w:r>
        <w:rPr>
          <w:rFonts w:hint="eastAsia" w:ascii="仿宋_GB2312" w:hAnsi="仿宋_GB2312" w:eastAsia="仿宋_GB2312" w:cs="仿宋_GB2312"/>
          <w:b w:val="0"/>
          <w:bCs w:val="0"/>
          <w:sz w:val="30"/>
          <w:szCs w:val="30"/>
          <w:highlight w:val="none"/>
          <w:u w:val="none"/>
          <w:lang w:val="en-US" w:eastAsia="zh-CN"/>
        </w:rPr>
        <w:t>车辆编制1辆，在编实有车辆1辆，超编0辆。</w:t>
      </w:r>
    </w:p>
    <w:p w14:paraId="36607DB9">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重点工作概述</w:t>
      </w:r>
    </w:p>
    <w:p w14:paraId="66859A77">
      <w:pPr>
        <w:pStyle w:val="9"/>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w:t>
      </w:r>
      <w:bookmarkStart w:id="1" w:name="OLE_LINK22"/>
      <w:r>
        <w:rPr>
          <w:rFonts w:hint="default" w:ascii="Times New Roman" w:hAnsi="Times New Roman" w:eastAsia="方正仿宋_GBK" w:cs="Times New Roman"/>
          <w:b w:val="0"/>
          <w:bCs w:val="0"/>
          <w:color w:val="auto"/>
          <w:kern w:val="2"/>
          <w:sz w:val="32"/>
          <w:szCs w:val="32"/>
          <w:lang w:val="en-US" w:eastAsia="zh-CN" w:bidi="ar-SA"/>
        </w:rPr>
        <w:t>做活做精易门旅游。一是推出主题旅游线路。规划红色农旅融合之旅等5条旅游精品线路，推出3条美食旅游线路。二是抓好旅游提质增效。完成栖冲、万宝厂、阿姑等田园综合体打造；投资25万元提升龙泉国家生态旅游景区品质。投入资金65万元推进花果山欢乐谷景区和绿汁滇铜古镇景区绿美A级景区建设，完成种植量（乔木）1030株，完成率100.48%，绿化面积42667平方米，完成年度计划绿化面积102.3%。完成6家文化旅游新业态企业复核评定、5家乡村新型文旅融合示范户星级评定和星级酒店星级复核，1家市级乡村文旅示范村，铜韵绿汁被评为国家AAA级旅游景区。开展文明旅游志愿服务12次131场，参与志愿者1213人次，服务游客28.7万人次。三是积极引客入易。成功举办春节、“二月二”、菌交会等一系列农文体旅活动，营造消费场景，拉动旅游消费，进一步打响“滇中水城·菌乡易门”旅游品牌。四是加大宣传营销。争取中央、省、市各级媒体对易门铜矿进行专题系列报道，邀请抖音、快手等新媒体平台“大V”进行打卡拍摄。“易门文旅”微信公众号、视频号、抖音号发布资讯448篇，其中原创53篇，转载395篇，被省市级媒体平台采用21篇，发布短视频155条，播放量1450万次，“我姓易! 洟怡易~~”播放量58万次。协助电视剧《黑夜告白》《好好的时代》进行拍摄工作，电影《无名之辈2》《群星闪耀时（暂定）》《归来（暂定）》、电视剧《红舞鞋》剧组分别到绿汁勘景。开发易门特色系列文创产品。“滇中水城·菌乡易门”文旅品牌影响力得到进一步提升。</w:t>
      </w:r>
    </w:p>
    <w:bookmarkEnd w:id="1"/>
    <w:p w14:paraId="04077A78">
      <w:pPr>
        <w:pStyle w:val="9"/>
        <w:rPr>
          <w:rFonts w:hint="default" w:ascii="Times New Roman" w:hAnsi="Times New Roman" w:eastAsia="方正仿宋_GBK" w:cs="Times New Roman"/>
          <w:b w:val="0"/>
          <w:bCs w:val="0"/>
          <w:color w:val="auto"/>
          <w:kern w:val="2"/>
          <w:sz w:val="32"/>
          <w:szCs w:val="32"/>
          <w:lang w:val="en-US" w:eastAsia="zh-CN" w:bidi="ar-SA"/>
        </w:rPr>
      </w:pPr>
      <w:bookmarkStart w:id="2" w:name="OLE_LINK23"/>
      <w:r>
        <w:rPr>
          <w:rFonts w:hint="eastAsia" w:ascii="Times New Roman" w:hAnsi="Times New Roman" w:eastAsia="方正仿宋_GBK" w:cs="Times New Roman"/>
          <w:b w:val="0"/>
          <w:bCs w:val="0"/>
          <w:color w:val="auto"/>
          <w:kern w:val="2"/>
          <w:sz w:val="32"/>
          <w:szCs w:val="32"/>
          <w:lang w:val="en-US" w:eastAsia="zh-CN" w:bidi="ar-SA"/>
        </w:rPr>
        <w:t>2</w:t>
      </w:r>
      <w:r>
        <w:rPr>
          <w:rFonts w:hint="default" w:ascii="Times New Roman" w:hAnsi="Times New Roman" w:eastAsia="方正仿宋_GBK" w:cs="Times New Roman"/>
          <w:b w:val="0"/>
          <w:bCs w:val="0"/>
          <w:color w:val="auto"/>
          <w:kern w:val="2"/>
          <w:sz w:val="32"/>
          <w:szCs w:val="32"/>
          <w:lang w:val="en-US" w:eastAsia="zh-CN" w:bidi="ar-SA"/>
        </w:rPr>
        <w:t>.提升公共服务水平。一是落实两馆一站免费开放。开展“文化馆服务宣传周”系列活动，开展美术、书法、声乐、舞蹈培训等各类培训23期，培训学生共计6000余人次。举办“美丽乡愁·菌乡易门”美术、书法、摄影优秀作品展，“欢聚菌乡易门·共享康健水城”群众性广场舞健身操大赛，易门县全民阅读活动启动仪式。推进“书香易门”建设，开展全民阅读推广活动20余次，开展“写春联 迎新春 送祝福”活动10场次，书送春联2000余副，福字400个。1-12月图书馆共接待读者75117人、书籍流通126403册次，歌德电子图书借阅机、博看微刊、超星电子书数据库访问量37865人次、在线阅读41275册次。二是开展文化惠民演出。举办“我们的中国梦文化进万家—红色文艺轻骑兵戏曲进乡村”等各类文化惠民演出活动103场，观众41万人。三是推进“百千万文化”工程。完成云南省文化站评估定级工作，评出3个特级站、2个一级站、2个二级站。申报公共文化新空间6个，纳入文化馆图书馆总分馆体系的公共文化新空间3个。积极开展免费开放进校园、进机关、进企业、进社区文艺骨干业务培训工作，培训业余文艺爱好者6000余人次。四是开展全民艺术普及数字资源建设。平台上传文化资讯157条，文化活动7次，在线展览2次、文化直播2场，共发布志愿者服务项目41个，开展服务284次，服务人次近60万人次。五是开展文艺创作。创作花灯小戏《他们都是大英雄》等9个文艺节目，歌曲《吃菌你就来易门》获“有一种叫云南的生活——首届玉溪市云南民歌大家唱”二等奖、舞蹈《赞易门》获“有一种叫云南的生活——首届玉溪市云南舞蹈大家跳”三等奖。花灯小戏《他们都是大英雄》荣获第六届“彩云奖”入围奖；花灯小戏《皮影新韵》荣获第十届花灯滇剧艺术周音乐创作奖。</w:t>
      </w:r>
    </w:p>
    <w:bookmarkEnd w:id="2"/>
    <w:p w14:paraId="62B9EE4D">
      <w:pPr>
        <w:pStyle w:val="9"/>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3</w:t>
      </w:r>
      <w:r>
        <w:rPr>
          <w:rFonts w:hint="default" w:ascii="Times New Roman" w:hAnsi="Times New Roman" w:eastAsia="方正仿宋_GBK" w:cs="Times New Roman"/>
          <w:b w:val="0"/>
          <w:bCs w:val="0"/>
          <w:color w:val="auto"/>
          <w:kern w:val="2"/>
          <w:sz w:val="32"/>
          <w:szCs w:val="32"/>
          <w:lang w:val="en-US" w:eastAsia="zh-CN" w:bidi="ar-SA"/>
        </w:rPr>
        <w:t>.抓好文化遗产保护传承。一是举办春节、“二月二”传统戏会非遗展示展演活动，与云南省非物质文化遗产保护中心联合举办云南省非物质文化遗产巡展活动，来自云南省13个州（市）及我县共59个非物质文化遗产项目及传承人参加展示展销活动。组织我县6名省级非遗项目传承人参加省市非遗巡展。二是开展非遗普查，申报评审第四批县级非遗项目24个，申报玉溪市第七批市级非遗代表性项目4个。三是将21种非遗产品列为非遗“三进”产品并进驻A级景区和星级酒店。申报市级非遗工坊1家，非遗伴手礼2种，拍摄《小城故事》之易门味道—人间至味是团圆。配合县政协开展《玉溪非遗》易门篇征集和《易门金石录》石刻、铭文征集和图书编辑工作。四是根据国家、省、市第四次全国文物普查工作要求，成立了以县委、县政府分管领导为双组长的普查工作领导小组及普查办公室，制定了《易门县第四次全国文物普查工作实施方案》和《易门县第四次全国文物普查宣传工作方案》，召开了动员部署会，组建普查专业队伍1支，开展了易门县不可移动文物线索征集和志愿者招募工作，为全面做好第四次全国文物普查工作提供了基础保障。目前，普查工作已进入实地调查阶段，已完成28处三普文物点的复核工作。开展文物安全检查10次，排查辖区内革命遗址、革命文物安全隐患，共发现23个文物安全隐患，8个隐患已整改完成，15处隐患持续整改中。持续推进省保单位大营永宁寺、易门龙泉寺整体修缮工程的后续审计、验收工作。开展安全宣传教育，积极利用日常文物安全检查张贴“文物建筑消防安全管理十项规定”，给文保单位管理者、使用者普及文物消防安全知识。利用赶集日、防灾减灾日等，通过文物宣传展板展示、发放宣传单、现场解读等方式，向我县人民群众普及文物保护法律法规，呼吁大家共同参与文物保护。年内共设置展板40块，展出图片100余幅，发放《中华人民共和国文物保护法》、《消防法》等宣传资料500余份。</w:t>
      </w:r>
    </w:p>
    <w:p w14:paraId="748FEFD1">
      <w:pPr>
        <w:numPr>
          <w:ilvl w:val="0"/>
          <w:numId w:val="0"/>
        </w:numPr>
        <w:spacing w:line="600" w:lineRule="exact"/>
        <w:outlineLvl w:val="1"/>
        <w:rPr>
          <w:rFonts w:hint="eastAsia" w:ascii="黑体" w:hAnsi="黑体" w:eastAsia="黑体"/>
          <w:sz w:val="30"/>
          <w:szCs w:val="30"/>
          <w:highlight w:val="none"/>
          <w:lang w:eastAsia="zh-CN"/>
        </w:rPr>
      </w:pPr>
      <w:r>
        <w:rPr>
          <w:rFonts w:hint="eastAsia" w:ascii="Times New Roman" w:hAnsi="Times New Roman" w:eastAsia="方正仿宋_GBK" w:cs="Times New Roman"/>
          <w:b w:val="0"/>
          <w:bCs w:val="0"/>
          <w:color w:val="auto"/>
          <w:kern w:val="2"/>
          <w:sz w:val="32"/>
          <w:szCs w:val="32"/>
          <w:lang w:val="en-US" w:eastAsia="zh-CN" w:bidi="ar-SA"/>
        </w:rPr>
        <w:t>4.强化文旅市场管理。</w:t>
      </w:r>
      <w:r>
        <w:rPr>
          <w:rFonts w:hint="default" w:ascii="Times New Roman" w:hAnsi="Times New Roman" w:eastAsia="方正仿宋_GBK" w:cs="Times New Roman"/>
          <w:b w:val="0"/>
          <w:bCs w:val="0"/>
          <w:color w:val="auto"/>
          <w:kern w:val="2"/>
          <w:sz w:val="32"/>
          <w:szCs w:val="32"/>
          <w:lang w:val="en-US" w:eastAsia="zh-CN" w:bidi="ar-SA"/>
        </w:rPr>
        <w:t>完成文化市场29家经营主体年报工作，将涉及文物的2个行政许可事项纳入“一颗印章管审批”，将4个行政处罚职权赋予乡镇（街道），建立文旅市场检查对象名录库和执法检查人员名录库。完成“</w:t>
      </w:r>
      <w:r>
        <w:rPr>
          <w:rFonts w:hint="eastAsia" w:eastAsia="方正仿宋_GBK" w:cs="Times New Roman"/>
          <w:b w:val="0"/>
          <w:bCs w:val="0"/>
          <w:color w:val="auto"/>
          <w:kern w:val="2"/>
          <w:sz w:val="32"/>
          <w:szCs w:val="32"/>
          <w:lang w:val="en-US" w:eastAsia="zh-CN" w:bidi="ar-SA"/>
        </w:rPr>
        <w:t>双随机、一公开</w:t>
      </w:r>
      <w:r>
        <w:rPr>
          <w:rFonts w:hint="default" w:ascii="Times New Roman" w:hAnsi="Times New Roman" w:eastAsia="方正仿宋_GBK" w:cs="Times New Roman"/>
          <w:b w:val="0"/>
          <w:bCs w:val="0"/>
          <w:color w:val="auto"/>
          <w:kern w:val="2"/>
          <w:sz w:val="32"/>
          <w:szCs w:val="32"/>
          <w:lang w:val="en-US" w:eastAsia="zh-CN" w:bidi="ar-SA"/>
        </w:rPr>
        <w:t>”联合检查任务1个。编制公布11个行政许可事项清单及行政许可事项实施规范和其他政务服务事项，办理行政审批事项9件。</w:t>
      </w:r>
      <w:bookmarkStart w:id="3" w:name="OLE_LINK19"/>
      <w:r>
        <w:rPr>
          <w:rFonts w:hint="default" w:ascii="Times New Roman" w:hAnsi="Times New Roman" w:eastAsia="方正仿宋_GBK" w:cs="Times New Roman"/>
          <w:b w:val="0"/>
          <w:bCs w:val="0"/>
          <w:color w:val="auto"/>
          <w:kern w:val="2"/>
          <w:sz w:val="32"/>
          <w:szCs w:val="32"/>
          <w:lang w:val="en-US" w:eastAsia="zh-CN" w:bidi="ar-SA"/>
        </w:rPr>
        <w:t>开展“扫黄打非”专项行动4次、宣传活动5次，检查文旅经营主体68家次，没收盗版书籍136册。开展“利剑护蕾”专项行动清理整治3次，梳理公布我局“清朗∙2024年暑期未成年人网络环境整治”专项行动政务服务事项。</w:t>
      </w:r>
      <w:bookmarkEnd w:id="3"/>
      <w:r>
        <w:rPr>
          <w:rFonts w:hint="default" w:ascii="Times New Roman" w:hAnsi="Times New Roman" w:eastAsia="方正仿宋_GBK" w:cs="Times New Roman"/>
          <w:b w:val="0"/>
          <w:bCs w:val="0"/>
          <w:color w:val="auto"/>
          <w:kern w:val="2"/>
          <w:sz w:val="32"/>
          <w:szCs w:val="32"/>
          <w:lang w:val="en-US" w:eastAsia="zh-CN" w:bidi="ar-SA"/>
        </w:rPr>
        <w:t>年内，开展文化市场检查24次，联合公安、市场监管、环保等部门开展联合执法检查16次，出动执法人员98人次，检查文化市场经营单位196家次，立案调查5件，办结5件，罚没43</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434</w:t>
      </w:r>
      <w:r>
        <w:rPr>
          <w:rFonts w:hint="eastAsia" w:eastAsia="方正仿宋_GBK" w:cs="Times New Roman"/>
          <w:b w:val="0"/>
          <w:bCs w:val="0"/>
          <w:color w:val="auto"/>
          <w:kern w:val="2"/>
          <w:sz w:val="32"/>
          <w:szCs w:val="32"/>
          <w:lang w:val="en-US" w:eastAsia="zh-CN" w:bidi="ar-SA"/>
        </w:rPr>
        <w:t>.00</w:t>
      </w:r>
      <w:r>
        <w:rPr>
          <w:rFonts w:hint="default" w:ascii="Times New Roman" w:hAnsi="Times New Roman" w:eastAsia="方正仿宋_GBK" w:cs="Times New Roman"/>
          <w:b w:val="0"/>
          <w:bCs w:val="0"/>
          <w:color w:val="auto"/>
          <w:kern w:val="2"/>
          <w:sz w:val="32"/>
          <w:szCs w:val="32"/>
          <w:lang w:val="en-US" w:eastAsia="zh-CN" w:bidi="ar-SA"/>
        </w:rPr>
        <w:t>元。开展旅游市场检查46次，出动检查人员198人次，检查景区景点、星级酒店、旅行社及服务网点等101家次，其中联合检查12次，妥善处理旅游投诉3起。</w:t>
      </w:r>
    </w:p>
    <w:p w14:paraId="0E102E9C">
      <w:pPr>
        <w:spacing w:line="600" w:lineRule="exact"/>
        <w:ind w:firstLine="600" w:firstLineChars="200"/>
        <w:jc w:val="left"/>
        <w:rPr>
          <w:rFonts w:hint="eastAsia" w:ascii="仿宋_GB2312" w:hAnsi="宋体" w:eastAsia="仿宋_GB2312" w:cs="Arial"/>
          <w:kern w:val="0"/>
          <w:sz w:val="30"/>
          <w:szCs w:val="30"/>
          <w:highlight w:val="none"/>
        </w:rPr>
      </w:pPr>
    </w:p>
    <w:p w14:paraId="2F48E64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761BB748">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DF0C821">
      <w:pPr>
        <w:spacing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易门县文化和旅游局</w:t>
      </w:r>
      <w:r>
        <w:rPr>
          <w:rFonts w:hint="eastAsia" w:ascii="仿宋_GB2312" w:eastAsia="仿宋_GB2312"/>
          <w:sz w:val="30"/>
          <w:szCs w:val="30"/>
          <w:highlight w:val="none"/>
          <w:lang w:val="en-US" w:eastAsia="zh-CN"/>
        </w:rPr>
        <w:t>2024年度没有政府性基金收入，也没有使用政府性基金安排的支出，因此《政府性基金预算财政拨款收入支出决算表》无数据。</w:t>
      </w:r>
    </w:p>
    <w:p w14:paraId="76E75ECE">
      <w:pPr>
        <w:spacing w:line="600" w:lineRule="exact"/>
        <w:ind w:firstLine="600" w:firstLineChars="200"/>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易门县文化和旅游局2024年度无国有资本经营预算收入,《国有资本经营预算财政拨款收入支出决算表》无数据。</w:t>
      </w:r>
    </w:p>
    <w:p w14:paraId="499F6822">
      <w:pPr>
        <w:spacing w:line="600" w:lineRule="exact"/>
        <w:ind w:firstLine="600" w:firstLineChars="200"/>
        <w:jc w:val="left"/>
        <w:rPr>
          <w:rFonts w:hint="eastAsia" w:ascii="仿宋_GB2312" w:eastAsia="仿宋_GB2312"/>
          <w:sz w:val="30"/>
          <w:szCs w:val="30"/>
          <w:highlight w:val="none"/>
          <w:lang w:eastAsia="zh-CN"/>
        </w:rPr>
      </w:pPr>
    </w:p>
    <w:p w14:paraId="4BD8470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36CA777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1A6C0891">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易门县文化和旅游局（本级）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324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758.77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324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758.77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p>
    <w:p w14:paraId="0D8D6030">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700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961.87</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64.83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700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961.87</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64.83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元，附属单位上缴收入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Times New Roman" w:hAnsi="Times New Roman" w:eastAsia="方正仿宋_GBK" w:cs="Times New Roman"/>
          <w:b w:val="0"/>
          <w:bCs w:val="0"/>
          <w:color w:val="auto"/>
          <w:kern w:val="2"/>
          <w:sz w:val="32"/>
          <w:szCs w:val="32"/>
          <w:lang w:val="en-US" w:eastAsia="zh-CN" w:bidi="ar-SA"/>
        </w:rPr>
        <w:t>用于支付国家工业遗产易门铜矿保护活化利用项目建设经费。</w:t>
      </w:r>
    </w:p>
    <w:p w14:paraId="16423E5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0C281F01">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易门县文化和旅游局（本级）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324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758.77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793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113.61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64.58</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531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645.16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35.42</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5D65341B">
      <w:pPr>
        <w:spacing w:line="600" w:lineRule="exact"/>
        <w:ind w:firstLine="600" w:firstLineChars="200"/>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700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961.87</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64.83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486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059.74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21.07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214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902.13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383.56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元，对附属单位补助支出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Times New Roman" w:hAnsi="Times New Roman" w:eastAsia="方正仿宋_GBK" w:cs="Times New Roman"/>
          <w:b w:val="0"/>
          <w:bCs w:val="0"/>
          <w:color w:val="auto"/>
          <w:kern w:val="2"/>
          <w:sz w:val="32"/>
          <w:szCs w:val="32"/>
          <w:lang w:val="en-US" w:eastAsia="zh-CN" w:bidi="ar-SA"/>
        </w:rPr>
        <w:t>用于支付国家工业遗产易门铜矿保护活化利用项目建设经费。</w:t>
      </w:r>
    </w:p>
    <w:p w14:paraId="0E087E5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3908AC21">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易门县文化和旅游局（本级）</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793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113.61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637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884.30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94.44</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155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229.31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5.56</w:t>
      </w:r>
      <w:r>
        <w:rPr>
          <w:rFonts w:hint="eastAsia" w:ascii="仿宋_GB2312" w:hAnsi="仿宋_GB2312" w:eastAsia="仿宋_GB2312" w:cs="仿宋_GB2312"/>
          <w:sz w:val="30"/>
          <w:szCs w:val="30"/>
          <w:highlight w:val="none"/>
        </w:rPr>
        <w:t>％。</w:t>
      </w:r>
    </w:p>
    <w:p w14:paraId="0E8C4B67">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63D09D8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易门县文化和旅游局（本级）</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531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645.16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63CC42E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易财建〔2024〕77号易门铜矿国家工业遗产保护活化利用项目（5个）合同经费项目经费950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易门县绿汁镇铜矿遗址的活化建设。</w:t>
      </w:r>
    </w:p>
    <w:p w14:paraId="5CCC790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易财预〔2024〕40号庆祝中华人民共和国成立75周年氛围营造经费项目经费</w:t>
      </w:r>
      <w:r>
        <w:rPr>
          <w:rFonts w:hint="eastAsia" w:ascii="仿宋_GB2312" w:eastAsia="仿宋_GB2312"/>
          <w:sz w:val="30"/>
          <w:szCs w:val="30"/>
          <w:highlight w:val="none"/>
          <w:lang w:val="en-US" w:eastAsia="zh-CN"/>
        </w:rPr>
        <w:t>100,000.00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庆祝中华人民共和国成立</w:t>
      </w:r>
      <w:r>
        <w:rPr>
          <w:rFonts w:hint="eastAsia" w:ascii="仿宋_GB2312" w:eastAsia="仿宋_GB2312"/>
          <w:sz w:val="30"/>
          <w:szCs w:val="30"/>
          <w:highlight w:val="none"/>
          <w:lang w:val="en-US" w:eastAsia="zh-CN"/>
        </w:rPr>
        <w:t>75周年。</w:t>
      </w:r>
    </w:p>
    <w:p w14:paraId="0356C155">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BAE361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566D8D24">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易门县文化和旅游局（本级）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4</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324</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758.77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1</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700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961.87</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64.83</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72.77</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1E82D71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7F8442F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230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5.32</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rPr>
        <w:t>主要用于</w:t>
      </w:r>
      <w:r>
        <w:rPr>
          <w:rFonts w:hint="eastAsia" w:ascii="仿宋_GB2312" w:eastAsia="仿宋_GB2312"/>
          <w:color w:val="000000" w:themeColor="text1"/>
          <w:sz w:val="30"/>
          <w:szCs w:val="30"/>
          <w:highlight w:val="none"/>
          <w:lang w:eastAsia="zh-CN"/>
          <w14:textFill>
            <w14:solidFill>
              <w14:schemeClr w14:val="tx1"/>
            </w14:solidFill>
          </w14:textFill>
        </w:rPr>
        <w:t>办公经费的支付</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color w:val="000000" w:themeColor="text1"/>
          <w:kern w:val="0"/>
          <w:sz w:val="30"/>
          <w:szCs w:val="30"/>
          <w:highlight w:val="none"/>
          <w:lang w:eastAsia="zh-CN"/>
          <w14:textFill>
            <w14:solidFill>
              <w14:schemeClr w14:val="tx1"/>
            </w14:solidFill>
          </w14:textFill>
        </w:rPr>
        <w:t>压缩非刚性、非重点支出</w:t>
      </w:r>
      <w:r>
        <w:rPr>
          <w:rFonts w:hint="eastAsia" w:ascii="仿宋_GB2312" w:hAnsi="宋体" w:eastAsia="仿宋_GB2312" w:cs="Arial"/>
          <w:kern w:val="0"/>
          <w:sz w:val="30"/>
          <w:szCs w:val="30"/>
          <w:highlight w:val="none"/>
          <w:lang w:eastAsia="zh-CN"/>
        </w:rPr>
        <w:t>。</w:t>
      </w:r>
    </w:p>
    <w:p w14:paraId="53D7056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eastAsia="仿宋_GB2312"/>
          <w:sz w:val="30"/>
          <w:szCs w:val="30"/>
          <w:highlight w:val="none"/>
          <w:lang w:val="en-US" w:eastAsia="zh-CN"/>
        </w:rPr>
        <w:t>。</w:t>
      </w:r>
    </w:p>
    <w:p w14:paraId="368BEE78">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eastAsia="仿宋_GB2312"/>
          <w:sz w:val="30"/>
          <w:szCs w:val="30"/>
          <w:highlight w:val="none"/>
          <w:lang w:val="en-US" w:eastAsia="zh-CN"/>
        </w:rPr>
        <w:t>。</w:t>
      </w:r>
    </w:p>
    <w:p w14:paraId="0570362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F177BE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DF7C37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46C005A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3,429,806.03</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79.31</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64.82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lang w:eastAsia="zh-CN"/>
        </w:rPr>
        <w:t>文化旅游工作</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color w:val="000000" w:themeColor="text1"/>
          <w:kern w:val="0"/>
          <w:sz w:val="30"/>
          <w:szCs w:val="30"/>
          <w:highlight w:val="none"/>
          <w:lang w:eastAsia="zh-CN"/>
          <w14:textFill>
            <w14:solidFill>
              <w14:schemeClr w14:val="tx1"/>
            </w14:solidFill>
          </w14:textFill>
        </w:rPr>
        <w:t>压缩非刚性、非重点支出</w:t>
      </w:r>
      <w:r>
        <w:rPr>
          <w:rFonts w:hint="eastAsia" w:ascii="仿宋_GB2312" w:hAnsi="宋体" w:eastAsia="仿宋_GB2312" w:cs="Arial"/>
          <w:kern w:val="0"/>
          <w:sz w:val="30"/>
          <w:szCs w:val="30"/>
          <w:highlight w:val="none"/>
          <w:lang w:eastAsia="zh-CN"/>
        </w:rPr>
        <w:t>。</w:t>
      </w:r>
    </w:p>
    <w:p w14:paraId="3D393CB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253,286.64</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5.86</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110.14</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主要用于保障员工就业，造成预决算差异的主要原因是保障员工社保的正常缴纳。</w:t>
      </w:r>
    </w:p>
    <w:p w14:paraId="683F12A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195</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616.10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4.52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94.26</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主要用于员工医保的缴纳；造成预决算差异的主要原因是保障员工社保的正常缴纳。</w:t>
      </w:r>
    </w:p>
    <w:p w14:paraId="0062260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0E6C6DE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100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2.31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color w:val="000000" w:themeColor="text1"/>
          <w:sz w:val="30"/>
          <w:szCs w:val="30"/>
          <w:highlight w:val="none"/>
          <w:lang w:eastAsia="zh-CN"/>
          <w14:textFill>
            <w14:solidFill>
              <w14:schemeClr w14:val="tx1"/>
            </w14:solidFill>
          </w14:textFill>
        </w:rPr>
        <w:t>城乡绿化美化</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color w:val="000000" w:themeColor="text1"/>
          <w:kern w:val="0"/>
          <w:sz w:val="30"/>
          <w:szCs w:val="30"/>
          <w:highlight w:val="none"/>
          <w:lang w:eastAsia="zh-CN"/>
          <w14:textFill>
            <w14:solidFill>
              <w14:schemeClr w14:val="tx1"/>
            </w14:solidFill>
          </w14:textFill>
        </w:rPr>
        <w:t>压缩非刚性、非重点支出</w:t>
      </w:r>
      <w:r>
        <w:rPr>
          <w:rFonts w:hint="eastAsia" w:ascii="仿宋_GB2312" w:hAnsi="宋体" w:eastAsia="仿宋_GB2312" w:cs="Arial"/>
          <w:kern w:val="0"/>
          <w:sz w:val="30"/>
          <w:szCs w:val="30"/>
          <w:highlight w:val="none"/>
          <w:lang w:eastAsia="zh-CN"/>
        </w:rPr>
        <w:t>。</w:t>
      </w:r>
    </w:p>
    <w:p w14:paraId="7E9D228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5DEC98A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49864C8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15896D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5E6FAE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E77CC1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466D536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73B2AC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116</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050.00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2.68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54.01</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员工住房</w:t>
      </w:r>
      <w:r>
        <w:rPr>
          <w:rFonts w:hint="eastAsia" w:ascii="仿宋_GB2312" w:eastAsia="仿宋_GB2312"/>
          <w:color w:val="000000" w:themeColor="text1"/>
          <w:sz w:val="30"/>
          <w:szCs w:val="30"/>
          <w:highlight w:val="none"/>
          <w:lang w:eastAsia="zh-CN"/>
          <w14:textFill>
            <w14:solidFill>
              <w14:schemeClr w14:val="tx1"/>
            </w14:solidFill>
          </w14:textFill>
        </w:rPr>
        <w:t>公积金缴纳</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造成预决算差异的主要原因是保障员工社保的正常缴纳。</w:t>
      </w:r>
    </w:p>
    <w:p w14:paraId="20F5F01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515B73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5214E72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2E2442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378E3A0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4AFD7EB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C53CCB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9EE44E1">
      <w:pPr>
        <w:widowControl/>
        <w:numPr>
          <w:ilvl w:val="0"/>
          <w:numId w:val="2"/>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A41D1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6176449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27,070.00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20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642.57</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76.26</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384.09</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1.90</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auto"/>
          <w:sz w:val="30"/>
          <w:szCs w:val="30"/>
          <w:lang w:eastAsia="zh-CN"/>
        </w:rPr>
        <w:t>。</w:t>
      </w:r>
    </w:p>
    <w:p w14:paraId="6A03337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19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400.00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16</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462.57</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79.75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84.86</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670.00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20.25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54.50</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000000" w:themeColor="text1"/>
          <w:sz w:val="30"/>
          <w:szCs w:val="30"/>
          <w:lang w:eastAsia="zh-CN"/>
          <w14:textFill>
            <w14:solidFill>
              <w14:schemeClr w14:val="tx1"/>
            </w14:solidFill>
          </w14:textFill>
        </w:rPr>
        <w:t>。</w:t>
      </w:r>
    </w:p>
    <w:p w14:paraId="5EC41A4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449.09</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2.80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65.00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1.53</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65.00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1.53</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hAnsi="宋体" w:eastAsia="仿宋_GB2312" w:cs="Arial"/>
          <w:kern w:val="0"/>
          <w:sz w:val="30"/>
          <w:szCs w:val="30"/>
          <w:highlight w:val="none"/>
          <w:lang w:eastAsia="zh-CN"/>
        </w:rPr>
        <w:t>。</w:t>
      </w:r>
    </w:p>
    <w:p w14:paraId="34904AE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3E3497C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070.00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20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642.57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76.26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384.09</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1.90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14:paraId="5600D134">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19</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400.00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16</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462.57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84.86</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670.00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54.50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hAnsi="Times New Roman" w:eastAsia="仿宋_GB2312" w:cs="Times New Roman"/>
          <w:sz w:val="30"/>
          <w:szCs w:val="30"/>
          <w:highlight w:val="none"/>
          <w:lang w:val="en-US" w:eastAsia="zh-CN"/>
        </w:rPr>
        <w:t>按政策执行中央厉行节约,从严控制一般性支出和切实压减“三公”经费要求。</w:t>
      </w:r>
    </w:p>
    <w:p w14:paraId="071EBD3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eastAsia="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支出决算增加</w:t>
      </w:r>
      <w:r>
        <w:rPr>
          <w:rFonts w:hint="eastAsia" w:ascii="仿宋_GB2312" w:hAnsi="仿宋_GB2312" w:eastAsia="仿宋_GB2312" w:cs="仿宋_GB2312"/>
          <w:color w:val="000000"/>
          <w:sz w:val="30"/>
          <w:lang w:val="zh-CN"/>
        </w:rPr>
        <w:t>449.09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2.80</w:t>
      </w:r>
      <w:r>
        <w:rPr>
          <w:rFonts w:hint="eastAsia" w:ascii="仿宋_GB2312" w:eastAsia="仿宋_GB2312"/>
          <w:sz w:val="30"/>
          <w:szCs w:val="30"/>
          <w:highlight w:val="none"/>
        </w:rPr>
        <w:t>%；公务接待费支出决算减少</w:t>
      </w:r>
      <w:r>
        <w:rPr>
          <w:rFonts w:hint="eastAsia" w:ascii="仿宋_GB2312" w:hAnsi="仿宋_GB2312" w:eastAsia="仿宋_GB2312" w:cs="仿宋_GB2312"/>
          <w:color w:val="000000"/>
          <w:sz w:val="30"/>
          <w:lang w:val="zh-CN"/>
        </w:rPr>
        <w:t>65.00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hAnsi="仿宋_GB2312" w:eastAsia="仿宋_GB2312" w:cs="仿宋_GB2312"/>
          <w:color w:val="000000"/>
          <w:sz w:val="30"/>
          <w:lang w:val="zh-CN"/>
        </w:rPr>
        <w:t>1.53</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180.00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w:t>
      </w:r>
      <w:r>
        <w:rPr>
          <w:rFonts w:hint="eastAsia" w:ascii="仿宋_GB2312" w:hAnsi="宋体" w:eastAsia="仿宋_GB2312" w:cs="Arial"/>
          <w:kern w:val="0"/>
          <w:sz w:val="30"/>
          <w:szCs w:val="30"/>
          <w:highlight w:val="none"/>
          <w:lang w:val="en-US" w:eastAsia="zh-CN"/>
        </w:rPr>
        <w:t>减少65.00元，下降1.53%</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w:t>
      </w:r>
      <w:r>
        <w:rPr>
          <w:rFonts w:hint="eastAsia" w:ascii="仿宋_GB2312" w:eastAsia="仿宋_GB2312"/>
          <w:color w:val="000000" w:themeColor="text1"/>
          <w:sz w:val="30"/>
          <w:szCs w:val="30"/>
          <w:lang w:eastAsia="zh-CN"/>
          <w14:textFill>
            <w14:solidFill>
              <w14:schemeClr w14:val="tx1"/>
            </w14:solidFill>
          </w14:textFill>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年度一般公共预算财政拨款“三公”经费支出决算增加的主要原因</w:t>
      </w:r>
      <w:r>
        <w:rPr>
          <w:rFonts w:hint="eastAsia" w:ascii="仿宋_GB2312" w:eastAsia="仿宋_GB2312"/>
          <w:sz w:val="30"/>
          <w:szCs w:val="30"/>
          <w:highlight w:val="none"/>
          <w:lang w:eastAsia="zh-CN"/>
        </w:rPr>
        <w:t>是</w:t>
      </w:r>
      <w:r>
        <w:rPr>
          <w:rFonts w:hint="eastAsia" w:ascii="仿宋_GB2312" w:eastAsia="仿宋_GB2312"/>
          <w:color w:val="000000" w:themeColor="text1"/>
          <w:sz w:val="30"/>
          <w:szCs w:val="30"/>
          <w:highlight w:val="none"/>
          <w:lang w:eastAsia="zh-CN"/>
          <w14:textFill>
            <w14:solidFill>
              <w14:schemeClr w14:val="tx1"/>
            </w14:solidFill>
          </w14:textFill>
        </w:rPr>
        <w:t>车辆老化、任务量增加导致燃油、维修费用上涨</w:t>
      </w:r>
      <w:r>
        <w:rPr>
          <w:rFonts w:hint="eastAsia" w:ascii="仿宋_GB2312" w:eastAsia="仿宋_GB2312"/>
          <w:sz w:val="30"/>
          <w:szCs w:val="30"/>
          <w:highlight w:val="none"/>
        </w:rPr>
        <w:t>。</w:t>
      </w:r>
    </w:p>
    <w:p w14:paraId="19F5747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3C2798F7">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人次。</w:t>
      </w:r>
    </w:p>
    <w:p w14:paraId="7DBD7069">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w:t>
      </w:r>
      <w:r>
        <w:rPr>
          <w:rFonts w:hint="eastAsia" w:ascii="仿宋_GB2312" w:eastAsia="仿宋_GB2312"/>
          <w:b w:val="0"/>
          <w:bCs/>
          <w:sz w:val="30"/>
          <w:szCs w:val="30"/>
          <w:highlight w:val="none"/>
        </w:rPr>
        <w:t>辆。主要用于</w:t>
      </w:r>
      <w:r>
        <w:rPr>
          <w:rFonts w:hint="eastAsia" w:ascii="仿宋_GB2312" w:eastAsia="仿宋_GB2312"/>
          <w:b w:val="0"/>
          <w:bCs/>
          <w:color w:val="000000" w:themeColor="text1"/>
          <w:sz w:val="30"/>
          <w:szCs w:val="30"/>
          <w:highlight w:val="none"/>
          <w:lang w:eastAsia="zh-CN"/>
          <w14:textFill>
            <w14:solidFill>
              <w14:schemeClr w14:val="tx1"/>
            </w14:solidFill>
          </w14:textFill>
        </w:rPr>
        <w:t>文化旅游工作</w:t>
      </w:r>
      <w:r>
        <w:rPr>
          <w:rFonts w:hint="eastAsia" w:ascii="仿宋_GB2312" w:eastAsia="仿宋_GB2312"/>
          <w:b w:val="0"/>
          <w:bCs/>
          <w:sz w:val="30"/>
          <w:szCs w:val="30"/>
          <w:highlight w:val="none"/>
        </w:rPr>
        <w:t>所需车辆燃料费、维修费、过路过桥费、保险费等。</w:t>
      </w:r>
    </w:p>
    <w:p w14:paraId="6A1D1990">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13</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105</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人）。主要用于</w:t>
      </w:r>
      <w:r>
        <w:rPr>
          <w:rFonts w:hint="eastAsia" w:ascii="仿宋_GB2312" w:eastAsia="仿宋_GB2312"/>
          <w:sz w:val="30"/>
          <w:szCs w:val="30"/>
          <w:highlight w:val="none"/>
          <w:lang w:eastAsia="zh-CN"/>
        </w:rPr>
        <w:t>文化旅游工作</w:t>
      </w:r>
      <w:r>
        <w:rPr>
          <w:rFonts w:hint="eastAsia" w:ascii="仿宋_GB2312" w:eastAsia="仿宋_GB2312"/>
          <w:sz w:val="30"/>
          <w:szCs w:val="30"/>
          <w:highlight w:val="none"/>
        </w:rPr>
        <w:t>发生的接待支出。安排国（境）外公务接待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w:t>
      </w:r>
    </w:p>
    <w:p w14:paraId="1A0A11D5">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12660FE">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41119014">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330D35F3">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07C9C87">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易门县文化和旅游局（本级）</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155,229.31</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8,236.63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5.60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单位</w:t>
      </w:r>
      <w:r>
        <w:rPr>
          <w:rFonts w:hint="eastAsia" w:ascii="仿宋_GB2312" w:hAnsi="黑体" w:eastAsia="仿宋_GB2312" w:cs="方正小标宋简体"/>
          <w:sz w:val="30"/>
          <w:szCs w:val="30"/>
          <w:highlight w:val="none"/>
        </w:rPr>
        <w:t>机关运行经费主要用于</w:t>
      </w:r>
      <w:r>
        <w:rPr>
          <w:rFonts w:hint="eastAsia" w:ascii="仿宋_GB2312" w:hAnsi="黑体" w:eastAsia="仿宋_GB2312" w:cs="方正小标宋简体"/>
          <w:color w:val="000000" w:themeColor="text1"/>
          <w:sz w:val="30"/>
          <w:szCs w:val="30"/>
          <w:highlight w:val="none"/>
          <w:lang w:eastAsia="zh-CN"/>
          <w14:textFill>
            <w14:solidFill>
              <w14:schemeClr w14:val="tx1"/>
            </w14:solidFill>
          </w14:textFill>
        </w:rPr>
        <w:t>会议费、日常维修费、差旅费、公务用车运行维护费等费用的支出</w:t>
      </w:r>
      <w:r>
        <w:rPr>
          <w:rFonts w:hint="eastAsia" w:ascii="仿宋_GB2312" w:hAnsi="黑体" w:eastAsia="仿宋_GB2312" w:cs="方正小标宋简体"/>
          <w:sz w:val="30"/>
          <w:szCs w:val="30"/>
          <w:highlight w:val="none"/>
        </w:rPr>
        <w:t>。</w:t>
      </w:r>
    </w:p>
    <w:p w14:paraId="240B2001">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14D5F1DE">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易门县文化和旅游局（本级）</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5,786,849.96</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174,910.20</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4,328,457.52</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115,240.90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160,976.76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59EFD70C">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6C6D1F3F">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020E2B89">
            <w:pPr>
              <w:widowControl/>
              <w:jc w:val="left"/>
              <w:rPr>
                <w:rFonts w:ascii="宋体" w:hAnsi="宋体" w:cs="宋体"/>
                <w:color w:val="000000"/>
                <w:kern w:val="0"/>
                <w:sz w:val="17"/>
                <w:szCs w:val="17"/>
                <w:highlight w:val="none"/>
              </w:rPr>
            </w:pPr>
          </w:p>
        </w:tc>
      </w:tr>
      <w:tr w14:paraId="06B3E41E">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0555A8AB">
            <w:pPr>
              <w:widowControl/>
              <w:jc w:val="left"/>
              <w:rPr>
                <w:rFonts w:ascii="宋体" w:hAnsi="宋体" w:cs="宋体"/>
                <w:color w:val="000000"/>
                <w:kern w:val="0"/>
                <w:sz w:val="17"/>
                <w:szCs w:val="17"/>
                <w:highlight w:val="none"/>
              </w:rPr>
            </w:pPr>
          </w:p>
        </w:tc>
      </w:tr>
      <w:tr w14:paraId="78E5E6C7">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5F2A4AC5">
            <w:pPr>
              <w:widowControl/>
              <w:jc w:val="left"/>
              <w:rPr>
                <w:rFonts w:ascii="宋体" w:hAnsi="宋体" w:cs="宋体"/>
                <w:color w:val="000000"/>
                <w:kern w:val="0"/>
                <w:sz w:val="17"/>
                <w:szCs w:val="17"/>
                <w:highlight w:val="none"/>
              </w:rPr>
            </w:pPr>
          </w:p>
        </w:tc>
      </w:tr>
      <w:tr w14:paraId="3DEF0A4E">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761ED3B8">
            <w:pPr>
              <w:widowControl/>
              <w:jc w:val="left"/>
              <w:rPr>
                <w:rFonts w:ascii="宋体" w:hAnsi="宋体" w:cs="宋体"/>
                <w:color w:val="000000"/>
                <w:kern w:val="0"/>
                <w:sz w:val="17"/>
                <w:szCs w:val="17"/>
                <w:highlight w:val="none"/>
              </w:rPr>
            </w:pPr>
          </w:p>
        </w:tc>
      </w:tr>
      <w:tr w14:paraId="3715ABC7">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6FD569AD">
            <w:pPr>
              <w:widowControl/>
              <w:jc w:val="left"/>
              <w:rPr>
                <w:rFonts w:ascii="宋体" w:hAnsi="宋体" w:cs="宋体"/>
                <w:color w:val="000000"/>
                <w:kern w:val="0"/>
                <w:sz w:val="17"/>
                <w:szCs w:val="17"/>
                <w:highlight w:val="none"/>
              </w:rPr>
            </w:pPr>
          </w:p>
        </w:tc>
      </w:tr>
      <w:tr w14:paraId="438CCBDA">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1CD3B36B">
            <w:pPr>
              <w:widowControl/>
              <w:jc w:val="left"/>
              <w:rPr>
                <w:rFonts w:ascii="宋体" w:hAnsi="宋体" w:cs="宋体"/>
                <w:color w:val="000000"/>
                <w:kern w:val="0"/>
                <w:sz w:val="17"/>
                <w:szCs w:val="17"/>
                <w:highlight w:val="none"/>
              </w:rPr>
            </w:pPr>
          </w:p>
        </w:tc>
      </w:tr>
      <w:tr w14:paraId="5B39E2A5">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5EE78520">
            <w:pPr>
              <w:widowControl/>
              <w:jc w:val="left"/>
              <w:rPr>
                <w:rFonts w:ascii="宋体" w:hAnsi="宋体" w:cs="宋体"/>
                <w:color w:val="000000"/>
                <w:kern w:val="0"/>
                <w:sz w:val="17"/>
                <w:szCs w:val="17"/>
                <w:highlight w:val="none"/>
              </w:rPr>
            </w:pPr>
          </w:p>
        </w:tc>
      </w:tr>
      <w:tr w14:paraId="681D73AC">
        <w:tblPrEx>
          <w:tblCellMar>
            <w:top w:w="0" w:type="dxa"/>
            <w:left w:w="0" w:type="dxa"/>
            <w:bottom w:w="0" w:type="dxa"/>
            <w:right w:w="0" w:type="dxa"/>
          </w:tblCellMar>
        </w:tblPrEx>
        <w:trPr>
          <w:trHeight w:val="495" w:hRule="atLeast"/>
        </w:trPr>
        <w:tc>
          <w:tcPr>
            <w:tcW w:w="142" w:type="dxa"/>
            <w:noWrap w:val="0"/>
            <w:vAlign w:val="center"/>
          </w:tcPr>
          <w:p w14:paraId="10BFFBBD">
            <w:pPr>
              <w:widowControl/>
              <w:jc w:val="left"/>
              <w:rPr>
                <w:rFonts w:ascii="Times New Roman" w:hAnsi="Times New Roman" w:eastAsia="Times New Roman"/>
                <w:kern w:val="0"/>
                <w:sz w:val="20"/>
                <w:szCs w:val="20"/>
                <w:highlight w:val="none"/>
              </w:rPr>
            </w:pPr>
          </w:p>
        </w:tc>
      </w:tr>
    </w:tbl>
    <w:p w14:paraId="5392EBD7">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65EF141">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2CFE8A72">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0095ACE2">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6C3BA133">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FA8FBF1">
      <w:pPr>
        <w:widowControl/>
        <w:snapToGrid w:val="0"/>
        <w:spacing w:before="100" w:after="100" w:line="360" w:lineRule="auto"/>
        <w:ind w:firstLine="600" w:firstLineChars="200"/>
        <w:jc w:val="left"/>
        <w:outlineLvl w:val="1"/>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无其他重要事项情况说明</w:t>
      </w:r>
    </w:p>
    <w:p w14:paraId="6F13CA00">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7FDF09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6EA0D6D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30545BC3">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331C1773">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7FF66F6B">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2BC0B4BC">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C0B1A8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情况说明里涉及到需要解释说明的决算相关专用名词，在此进行说明解释。</w:t>
      </w:r>
      <w:r>
        <w:rPr>
          <w:rFonts w:hint="eastAsia" w:ascii="仿宋_GB2312" w:hAnsi="黑体" w:eastAsia="仿宋_GB2312" w:cs="方正小标宋简体"/>
          <w:sz w:val="30"/>
          <w:szCs w:val="30"/>
          <w:highlight w:val="none"/>
          <w:lang w:eastAsia="zh-CN"/>
        </w:rPr>
        <w:t>若没有涉及专用名词，</w:t>
      </w:r>
      <w:r>
        <w:rPr>
          <w:rFonts w:hint="eastAsia" w:ascii="仿宋_GB2312" w:hAnsi="黑体" w:eastAsia="仿宋_GB2312" w:cs="方正小标宋简体"/>
          <w:b/>
          <w:bCs/>
          <w:sz w:val="30"/>
          <w:szCs w:val="30"/>
          <w:highlight w:val="none"/>
          <w:lang w:eastAsia="zh-CN"/>
        </w:rPr>
        <w:t>应</w:t>
      </w:r>
      <w:r>
        <w:rPr>
          <w:rFonts w:hint="eastAsia" w:ascii="仿宋_GB2312" w:hAnsi="仿宋_GB2312" w:eastAsia="仿宋_GB2312" w:cs="仿宋_GB2312"/>
          <w:b/>
          <w:bCs/>
          <w:sz w:val="30"/>
          <w:szCs w:val="30"/>
          <w:highlight w:val="none"/>
          <w:u w:val="none"/>
          <w:lang w:val="en-US" w:eastAsia="zh-CN"/>
        </w:rPr>
        <w:t>至少公开一条与决算相关的财务专业名词解释，或</w:t>
      </w:r>
      <w:r>
        <w:rPr>
          <w:rFonts w:hint="eastAsia" w:ascii="仿宋_GB2312" w:hAnsi="黑体" w:eastAsia="仿宋_GB2312" w:cs="方正小标宋简体"/>
          <w:sz w:val="30"/>
          <w:szCs w:val="30"/>
          <w:highlight w:val="none"/>
          <w:lang w:eastAsia="zh-CN"/>
        </w:rPr>
        <w:t>请直接保留模板提供专用名词。</w:t>
      </w:r>
    </w:p>
    <w:p w14:paraId="0EEF78EC">
      <w:pPr>
        <w:rPr>
          <w:highlight w:val="none"/>
        </w:rPr>
      </w:pPr>
    </w:p>
    <w:p w14:paraId="38A25748">
      <w:pPr>
        <w:rPr>
          <w:rFonts w:ascii="Arial" w:hAnsi="Arial" w:eastAsia="Arial" w:cs="Arial"/>
          <w:b/>
          <w:sz w:val="36"/>
        </w:rPr>
      </w:pPr>
      <w:r>
        <w:rPr>
          <w:rFonts w:ascii="Arial" w:hAnsi="Arial" w:eastAsia="Arial" w:cs="Arial"/>
          <w:b/>
          <w:sz w:val="36"/>
        </w:rPr>
        <w:t>监督索引号53042500671800301111</w:t>
      </w:r>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22E5AB">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6B22E5AB">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3390">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6D650C8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F92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605B9"/>
    <w:multiLevelType w:val="singleLevel"/>
    <w:tmpl w:val="C47605B9"/>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32078"/>
    <w:rsid w:val="02587777"/>
    <w:rsid w:val="02BD2A6F"/>
    <w:rsid w:val="04041A74"/>
    <w:rsid w:val="046B19E4"/>
    <w:rsid w:val="046B5540"/>
    <w:rsid w:val="05D67331"/>
    <w:rsid w:val="065A552F"/>
    <w:rsid w:val="06FD74A5"/>
    <w:rsid w:val="07EF6488"/>
    <w:rsid w:val="09815806"/>
    <w:rsid w:val="0B90196E"/>
    <w:rsid w:val="0F8A4C70"/>
    <w:rsid w:val="0FCB1589"/>
    <w:rsid w:val="10A952FE"/>
    <w:rsid w:val="11247572"/>
    <w:rsid w:val="1598015F"/>
    <w:rsid w:val="175E69A5"/>
    <w:rsid w:val="186F555C"/>
    <w:rsid w:val="19194F23"/>
    <w:rsid w:val="1A586CAD"/>
    <w:rsid w:val="1AA43102"/>
    <w:rsid w:val="1B55264E"/>
    <w:rsid w:val="1C876837"/>
    <w:rsid w:val="1F1D7927"/>
    <w:rsid w:val="1F5C044F"/>
    <w:rsid w:val="233020BA"/>
    <w:rsid w:val="23CB16FF"/>
    <w:rsid w:val="25076767"/>
    <w:rsid w:val="26704BBE"/>
    <w:rsid w:val="26F86CAF"/>
    <w:rsid w:val="27072B67"/>
    <w:rsid w:val="29712D49"/>
    <w:rsid w:val="2BA70CA4"/>
    <w:rsid w:val="2C293CA3"/>
    <w:rsid w:val="2DDB69E3"/>
    <w:rsid w:val="2EB536D8"/>
    <w:rsid w:val="2EDD678B"/>
    <w:rsid w:val="2FB93BCD"/>
    <w:rsid w:val="2FE90983"/>
    <w:rsid w:val="3000389A"/>
    <w:rsid w:val="304545E8"/>
    <w:rsid w:val="31A01E8E"/>
    <w:rsid w:val="3660409F"/>
    <w:rsid w:val="36BD137C"/>
    <w:rsid w:val="377D4444"/>
    <w:rsid w:val="391248D3"/>
    <w:rsid w:val="394D5621"/>
    <w:rsid w:val="3AD21D51"/>
    <w:rsid w:val="3B1A08AC"/>
    <w:rsid w:val="3C805325"/>
    <w:rsid w:val="400B3158"/>
    <w:rsid w:val="40955117"/>
    <w:rsid w:val="40F57964"/>
    <w:rsid w:val="42756FAE"/>
    <w:rsid w:val="437C436D"/>
    <w:rsid w:val="47C1131D"/>
    <w:rsid w:val="47F44E19"/>
    <w:rsid w:val="487A531F"/>
    <w:rsid w:val="491E3EA1"/>
    <w:rsid w:val="4A5A02EF"/>
    <w:rsid w:val="4B5D7E59"/>
    <w:rsid w:val="4C5839A5"/>
    <w:rsid w:val="4D3A565C"/>
    <w:rsid w:val="4D690F3F"/>
    <w:rsid w:val="4DF0398D"/>
    <w:rsid w:val="516923D4"/>
    <w:rsid w:val="53AF7E46"/>
    <w:rsid w:val="54566FC8"/>
    <w:rsid w:val="57920062"/>
    <w:rsid w:val="57C77E54"/>
    <w:rsid w:val="5A2321A9"/>
    <w:rsid w:val="5A81078E"/>
    <w:rsid w:val="5B731AE1"/>
    <w:rsid w:val="5C7550A1"/>
    <w:rsid w:val="5D964551"/>
    <w:rsid w:val="60B62814"/>
    <w:rsid w:val="60BA2331"/>
    <w:rsid w:val="61860438"/>
    <w:rsid w:val="63DC07E4"/>
    <w:rsid w:val="63E43FF3"/>
    <w:rsid w:val="662A7F2C"/>
    <w:rsid w:val="66AF4E14"/>
    <w:rsid w:val="6A425119"/>
    <w:rsid w:val="6CB87914"/>
    <w:rsid w:val="6E6164B5"/>
    <w:rsid w:val="6FFF3CE8"/>
    <w:rsid w:val="73E9798B"/>
    <w:rsid w:val="756132FC"/>
    <w:rsid w:val="757B4C16"/>
    <w:rsid w:val="759E3B4B"/>
    <w:rsid w:val="765E4EEA"/>
    <w:rsid w:val="77EE0F28"/>
    <w:rsid w:val="7C224876"/>
    <w:rsid w:val="7D51166B"/>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正文-公1"/>
    <w:basedOn w:val="10"/>
    <w:next w:val="1"/>
    <w:qFormat/>
    <w:uiPriority w:val="0"/>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2063e-6ad4-4545-9338-a85e12861f5b}">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19</Pages>
  <Words>8072</Words>
  <Characters>9337</Characters>
  <Lines>0</Lines>
  <Paragraphs>0</Paragraphs>
  <TotalTime>12</TotalTime>
  <ScaleCrop>false</ScaleCrop>
  <LinksUpToDate>false</LinksUpToDate>
  <CharactersWithSpaces>9362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2025-09-24T06:50:25Z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279E7B79D5D448E29AE1949CE8408B16_12</vt:lpwstr>
  </property>
  <property fmtid="{D5CDD505-2E9C-101B-9397-08002B2CF9AE}" pid="3" name="KSOProductBuildVer">
    <vt:lpwstr>2052-12.8.2.18205</vt:lpwstr>
  </property>
  <property fmtid="{D5CDD505-2E9C-101B-9397-08002B2CF9AE}" pid="4" name="KSOTemplateDocerSaveRecord">
    <vt:lpwstr>eyJoZGlkIjoiN2E2ZGIyNzZkYjJhNmRmN2UxMWVhOWQzNjVkNjdhOTMiLCJ1c2VySWQiOiIxMTcyMDcxMzEzIn0=</vt:lpwstr>
  </property>
</Properties>
</file>