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9355">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易门县绿汁镇人民政府</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7962A0A">
      <w:pPr>
        <w:jc w:val="center"/>
        <w:rPr>
          <w:rFonts w:hint="eastAsia" w:ascii="方正小标宋简体" w:hAnsi="方正小标宋简体" w:eastAsia="方正小标宋简体" w:cs="方正小标宋简体"/>
          <w:sz w:val="36"/>
          <w:szCs w:val="36"/>
          <w:highlight w:val="none"/>
        </w:rPr>
      </w:pPr>
    </w:p>
    <w:p w14:paraId="517B3847">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444331DC">
      <w:pPr>
        <w:jc w:val="left"/>
        <w:rPr>
          <w:rFonts w:hint="eastAsia" w:ascii="黑体" w:hAnsi="黑体" w:eastAsia="黑体"/>
          <w:sz w:val="30"/>
          <w:szCs w:val="30"/>
          <w:highlight w:val="none"/>
        </w:rPr>
      </w:pPr>
    </w:p>
    <w:p w14:paraId="4EE2E05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5505510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1A8DC7B8">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7DD4927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5EBD5697">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3F63BA8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3EB41A0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161A2F2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33B2A85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2ADF4FE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0934258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6B35129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53F2C007">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46FFB28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40492A49">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2DD45E6C">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37DDD76B">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DAAB92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246195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54EE38C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73837D3">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7E6A8265">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7E72FB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8ED0BD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10336A8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1AD7D092">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52645F3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858F67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0B63714E">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3599289">
      <w:pPr>
        <w:jc w:val="center"/>
        <w:rPr>
          <w:rFonts w:hint="eastAsia" w:ascii="黑体" w:hAnsi="黑体" w:eastAsia="黑体"/>
          <w:sz w:val="32"/>
          <w:szCs w:val="32"/>
          <w:highlight w:val="none"/>
        </w:rPr>
      </w:pPr>
    </w:p>
    <w:p w14:paraId="1274E660">
      <w:pPr>
        <w:jc w:val="center"/>
        <w:rPr>
          <w:rFonts w:hint="eastAsia" w:ascii="黑体" w:hAnsi="黑体" w:eastAsia="黑体"/>
          <w:sz w:val="32"/>
          <w:szCs w:val="32"/>
          <w:highlight w:val="none"/>
        </w:rPr>
      </w:pPr>
    </w:p>
    <w:p w14:paraId="2A4D5189">
      <w:pPr>
        <w:jc w:val="center"/>
        <w:rPr>
          <w:rFonts w:hint="eastAsia" w:ascii="黑体" w:hAnsi="黑体" w:eastAsia="黑体"/>
          <w:sz w:val="32"/>
          <w:szCs w:val="32"/>
          <w:highlight w:val="none"/>
        </w:rPr>
      </w:pPr>
    </w:p>
    <w:p w14:paraId="6894E8A7">
      <w:pPr>
        <w:jc w:val="center"/>
        <w:rPr>
          <w:rFonts w:hint="eastAsia" w:ascii="黑体" w:hAnsi="黑体" w:eastAsia="黑体"/>
          <w:sz w:val="32"/>
          <w:szCs w:val="32"/>
          <w:highlight w:val="none"/>
        </w:rPr>
      </w:pPr>
    </w:p>
    <w:p w14:paraId="6892F557">
      <w:pPr>
        <w:jc w:val="center"/>
        <w:rPr>
          <w:rFonts w:hint="eastAsia" w:ascii="黑体" w:hAnsi="黑体" w:eastAsia="黑体"/>
          <w:sz w:val="32"/>
          <w:szCs w:val="32"/>
          <w:highlight w:val="none"/>
        </w:rPr>
      </w:pPr>
    </w:p>
    <w:p w14:paraId="7334039D">
      <w:pPr>
        <w:jc w:val="center"/>
        <w:rPr>
          <w:rFonts w:hint="eastAsia" w:ascii="黑体" w:hAnsi="黑体" w:eastAsia="黑体"/>
          <w:sz w:val="32"/>
          <w:szCs w:val="32"/>
          <w:highlight w:val="none"/>
        </w:rPr>
      </w:pPr>
    </w:p>
    <w:p w14:paraId="35A68B13">
      <w:pPr>
        <w:jc w:val="center"/>
        <w:rPr>
          <w:rFonts w:hint="eastAsia" w:ascii="黑体" w:hAnsi="黑体" w:eastAsia="黑体"/>
          <w:sz w:val="32"/>
          <w:szCs w:val="32"/>
          <w:highlight w:val="none"/>
        </w:rPr>
      </w:pPr>
    </w:p>
    <w:p w14:paraId="7A708DB4">
      <w:pPr>
        <w:jc w:val="both"/>
        <w:rPr>
          <w:rFonts w:hint="eastAsia" w:ascii="黑体" w:hAnsi="黑体" w:eastAsia="黑体"/>
          <w:sz w:val="32"/>
          <w:szCs w:val="32"/>
          <w:highlight w:val="none"/>
        </w:rPr>
      </w:pPr>
    </w:p>
    <w:p w14:paraId="1039F0C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264721BC">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BC47F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1.</w:t>
      </w:r>
      <w:r>
        <w:rPr>
          <w:rFonts w:hint="eastAsia" w:ascii="仿宋_GB2312" w:hAnsi="宋体" w:eastAsia="仿宋_GB2312" w:cs="Arial"/>
          <w:kern w:val="0"/>
          <w:sz w:val="30"/>
          <w:szCs w:val="30"/>
          <w:highlight w:val="none"/>
          <w:lang w:val="en-US" w:eastAsia="zh-CN" w:bidi="ar-SA"/>
        </w:rPr>
        <w:t>执行法律法规。贯彻落实党的路线、方针、政策和国家法律法规，贯彻执行上级国家机关的决议、决定、命令和指示，严格依法行政，规范自身行为，推行政务公开，提高行政效率。</w:t>
      </w:r>
    </w:p>
    <w:p w14:paraId="7198CC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2.</w:t>
      </w:r>
      <w:r>
        <w:rPr>
          <w:rFonts w:hint="eastAsia" w:ascii="仿宋_GB2312" w:hAnsi="宋体" w:eastAsia="仿宋_GB2312" w:cs="Arial"/>
          <w:kern w:val="0"/>
          <w:sz w:val="30"/>
          <w:szCs w:val="30"/>
          <w:highlight w:val="none"/>
          <w:lang w:val="en-US" w:eastAsia="zh-CN" w:bidi="ar-SA"/>
        </w:rPr>
        <w:t>促进经济发展。执行本级行政区域内的经济和社会发展计划、预算，改善环境，为企业发展、外来投资和经贸往来创造便利条件和提供优质服务。扶持和发展特色经济、优势产业，推进农村城镇化和农业产业化，促进农业增效、农民增收、确保农村稳定。组织引导农村富余劳动力转移就业，提高农村城镇化水平。引导和促进农民专业合作经济组织发展，推进建立新型农村合作经济形式，提高农业的集约化和组织化程度。</w:t>
      </w:r>
    </w:p>
    <w:p w14:paraId="340F5B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3.</w:t>
      </w:r>
      <w:r>
        <w:rPr>
          <w:rFonts w:hint="eastAsia" w:ascii="仿宋_GB2312" w:hAnsi="宋体" w:eastAsia="仿宋_GB2312" w:cs="Arial"/>
          <w:kern w:val="0"/>
          <w:sz w:val="30"/>
          <w:szCs w:val="30"/>
          <w:highlight w:val="none"/>
          <w:lang w:val="en-US" w:eastAsia="zh-CN" w:bidi="ar-SA"/>
        </w:rPr>
        <w:t>加强社会管理。按规定权限管理或协助上级政府部门管理本行政区域内的教育、民政、劳动保障、文化、卫生、环境保护、安全生产、镇总体规划建设、农村集体经济监督管理、新农村建设、森林防护、消防安全、食品安全、重大动物疫情预防等行政工作。协调社会利益关系，回应公众诉求，维护社会公正、公平、稳定。搞好社会治安综合治理，及时排查调处各种矛盾和纠纷，维护社会秩序，保持和谐稳定。</w:t>
      </w:r>
    </w:p>
    <w:p w14:paraId="25C5BE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4.</w:t>
      </w:r>
      <w:r>
        <w:rPr>
          <w:rFonts w:hint="eastAsia" w:ascii="仿宋_GB2312" w:hAnsi="宋体" w:eastAsia="仿宋_GB2312" w:cs="Arial"/>
          <w:kern w:val="0"/>
          <w:sz w:val="30"/>
          <w:szCs w:val="30"/>
          <w:highlight w:val="none"/>
          <w:lang w:val="en-US" w:eastAsia="zh-CN" w:bidi="ar-SA"/>
        </w:rPr>
        <w:t>完善公共服务。按规定权限负责或协助上级部门抓好农田水利、交通、道路、供水、供电、邮政等工作，改善群众生产生活条件和镇、村、居委整体面貌。大力发展就业、社会保障服务和教育、科技、文化、卫生、人口计生、体育、涉农服务、新型农村合作医疗等镇、村的公共事业，建立健全社会化服务，提高公共服务水平。</w:t>
      </w:r>
    </w:p>
    <w:p w14:paraId="606DA0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5.</w:t>
      </w:r>
      <w:r>
        <w:rPr>
          <w:rFonts w:hint="eastAsia" w:ascii="仿宋_GB2312" w:hAnsi="宋体" w:eastAsia="仿宋_GB2312" w:cs="Arial"/>
          <w:kern w:val="0"/>
          <w:sz w:val="30"/>
          <w:szCs w:val="30"/>
          <w:highlight w:val="none"/>
          <w:lang w:val="en-US" w:eastAsia="zh-CN" w:bidi="ar-SA"/>
        </w:rPr>
        <w:t>承办上级人民政府交办的其他事项。</w:t>
      </w:r>
    </w:p>
    <w:p w14:paraId="2FC3510B">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3AA203F8">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47C0D8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eastAsia" w:ascii="仿宋_GB2312" w:hAnsi="宋体" w:eastAsia="仿宋_GB2312" w:cs="Arial"/>
          <w:kern w:val="0"/>
          <w:sz w:val="30"/>
          <w:szCs w:val="30"/>
          <w:highlight w:val="none"/>
          <w:lang w:val="en-US" w:eastAsia="zh-CN" w:bidi="ar-SA"/>
        </w:rPr>
        <w:t>我部门共设置</w:t>
      </w:r>
      <w:r>
        <w:rPr>
          <w:rFonts w:hint="default" w:ascii="仿宋_GB2312" w:hAnsi="宋体" w:eastAsia="仿宋_GB2312" w:cs="Arial"/>
          <w:kern w:val="0"/>
          <w:sz w:val="30"/>
          <w:szCs w:val="30"/>
          <w:highlight w:val="none"/>
          <w:lang w:val="en-US" w:eastAsia="zh-CN" w:bidi="ar-SA"/>
        </w:rPr>
        <w:t>5</w:t>
      </w:r>
      <w:r>
        <w:rPr>
          <w:rFonts w:hint="eastAsia" w:ascii="仿宋_GB2312" w:hAnsi="宋体" w:eastAsia="仿宋_GB2312" w:cs="Arial"/>
          <w:kern w:val="0"/>
          <w:sz w:val="30"/>
          <w:szCs w:val="30"/>
          <w:highlight w:val="none"/>
          <w:lang w:val="en-US" w:eastAsia="zh-CN" w:bidi="ar-SA"/>
        </w:rPr>
        <w:t>个内设机构，包括：党政综合办公室、基层党建办公室、经济发展办公室、平安法治办公室、社会事务办公室。</w:t>
      </w:r>
    </w:p>
    <w:p w14:paraId="6E9BBF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eastAsia" w:ascii="仿宋_GB2312" w:hAnsi="宋体" w:eastAsia="仿宋_GB2312" w:cs="Arial"/>
          <w:kern w:val="0"/>
          <w:sz w:val="30"/>
          <w:szCs w:val="30"/>
          <w:highlight w:val="none"/>
          <w:lang w:val="en-US" w:eastAsia="zh-CN" w:bidi="ar-SA"/>
        </w:rPr>
        <w:t>所属单位</w:t>
      </w:r>
      <w:r>
        <w:rPr>
          <w:rFonts w:hint="default" w:ascii="仿宋_GB2312" w:hAnsi="宋体" w:eastAsia="仿宋_GB2312" w:cs="Arial"/>
          <w:kern w:val="0"/>
          <w:sz w:val="30"/>
          <w:szCs w:val="30"/>
          <w:highlight w:val="none"/>
          <w:lang w:val="en-US" w:eastAsia="zh-CN" w:bidi="ar-SA"/>
        </w:rPr>
        <w:t>4</w:t>
      </w:r>
      <w:r>
        <w:rPr>
          <w:rFonts w:hint="eastAsia" w:ascii="仿宋_GB2312" w:hAnsi="宋体" w:eastAsia="仿宋_GB2312" w:cs="Arial"/>
          <w:kern w:val="0"/>
          <w:sz w:val="30"/>
          <w:szCs w:val="30"/>
          <w:highlight w:val="none"/>
          <w:lang w:val="en-US" w:eastAsia="zh-CN" w:bidi="ar-SA"/>
        </w:rPr>
        <w:t>个，分别是：</w:t>
      </w:r>
    </w:p>
    <w:p w14:paraId="42819D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1.</w:t>
      </w:r>
      <w:r>
        <w:rPr>
          <w:rFonts w:hint="eastAsia" w:ascii="仿宋_GB2312" w:hAnsi="宋体" w:eastAsia="仿宋_GB2312" w:cs="Arial"/>
          <w:kern w:val="0"/>
          <w:sz w:val="30"/>
          <w:szCs w:val="30"/>
          <w:highlight w:val="none"/>
          <w:lang w:val="en-US" w:eastAsia="zh-CN" w:bidi="ar-SA"/>
        </w:rPr>
        <w:t>易门县绿汁镇人民政府（本级）；</w:t>
      </w:r>
    </w:p>
    <w:p w14:paraId="05A3C0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2.</w:t>
      </w:r>
      <w:r>
        <w:rPr>
          <w:rFonts w:hint="eastAsia" w:ascii="仿宋_GB2312" w:hAnsi="宋体" w:eastAsia="仿宋_GB2312" w:cs="Arial"/>
          <w:kern w:val="0"/>
          <w:sz w:val="30"/>
          <w:szCs w:val="30"/>
          <w:highlight w:val="none"/>
          <w:lang w:val="en-US" w:eastAsia="zh-CN" w:bidi="ar-SA"/>
        </w:rPr>
        <w:t>易门县绿汁镇党群服务中心；</w:t>
      </w:r>
    </w:p>
    <w:p w14:paraId="61932C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3.</w:t>
      </w:r>
      <w:r>
        <w:rPr>
          <w:rFonts w:hint="eastAsia" w:ascii="仿宋_GB2312" w:hAnsi="宋体" w:eastAsia="仿宋_GB2312" w:cs="Arial"/>
          <w:kern w:val="0"/>
          <w:sz w:val="30"/>
          <w:szCs w:val="30"/>
          <w:highlight w:val="none"/>
          <w:lang w:val="en-US" w:eastAsia="zh-CN" w:bidi="ar-SA"/>
        </w:rPr>
        <w:t>易门县绿汁镇农业农村发展中心；</w:t>
      </w:r>
    </w:p>
    <w:p w14:paraId="175552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eastAsia" w:ascii="仿宋_GB2312" w:hAnsi="宋体" w:eastAsia="仿宋_GB2312" w:cs="Arial"/>
          <w:kern w:val="0"/>
          <w:sz w:val="30"/>
          <w:szCs w:val="30"/>
          <w:highlight w:val="none"/>
          <w:lang w:val="en-US" w:eastAsia="zh-CN" w:bidi="ar-SA"/>
        </w:rPr>
      </w:pPr>
      <w:r>
        <w:rPr>
          <w:rFonts w:hint="default" w:ascii="仿宋_GB2312" w:hAnsi="宋体" w:eastAsia="仿宋_GB2312" w:cs="Arial"/>
          <w:kern w:val="0"/>
          <w:sz w:val="30"/>
          <w:szCs w:val="30"/>
          <w:highlight w:val="none"/>
          <w:lang w:val="en-US" w:eastAsia="zh-CN" w:bidi="ar-SA"/>
        </w:rPr>
        <w:t>4.</w:t>
      </w:r>
      <w:r>
        <w:rPr>
          <w:rFonts w:hint="eastAsia" w:ascii="仿宋_GB2312" w:hAnsi="宋体" w:eastAsia="仿宋_GB2312" w:cs="Arial"/>
          <w:kern w:val="0"/>
          <w:sz w:val="30"/>
          <w:szCs w:val="30"/>
          <w:highlight w:val="none"/>
          <w:lang w:val="en-US" w:eastAsia="zh-CN" w:bidi="ar-SA"/>
        </w:rPr>
        <w:t>易门县绿汁镇综合行政执法队（易门县绿汁镇消防工作站）。</w:t>
      </w:r>
    </w:p>
    <w:p w14:paraId="2AE9FAF7">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1C62FD1B">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24</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24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5C038DF1">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79D85869">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7</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w:t>
      </w:r>
    </w:p>
    <w:p w14:paraId="472E2F8F">
      <w:pPr>
        <w:spacing w:line="600" w:lineRule="exact"/>
        <w:ind w:firstLine="620" w:firstLineChars="200"/>
        <w:outlineLvl w:val="1"/>
        <w:rPr>
          <w:rFonts w:hint="eastAsia" w:ascii="方正仿宋_GBK" w:hAnsi="方正仿宋_GBK" w:eastAsia="方正仿宋_GBK" w:cs="方正仿宋_GBK"/>
          <w:i w:val="0"/>
          <w:iCs w:val="0"/>
          <w:caps w:val="0"/>
          <w:color w:val="auto"/>
          <w:spacing w:val="0"/>
          <w:sz w:val="31"/>
          <w:szCs w:val="31"/>
          <w:shd w:val="clear" w:fill="FFFFFF"/>
        </w:rPr>
      </w:pPr>
      <w:r>
        <w:rPr>
          <w:rFonts w:ascii="方正仿宋_GBK" w:hAnsi="方正仿宋_GBK" w:eastAsia="方正仿宋_GBK" w:cs="方正仿宋_GBK"/>
          <w:i w:val="0"/>
          <w:iCs w:val="0"/>
          <w:caps w:val="0"/>
          <w:color w:val="auto"/>
          <w:spacing w:val="0"/>
          <w:sz w:val="31"/>
          <w:szCs w:val="31"/>
          <w:shd w:val="clear" w:fill="FFFFFF"/>
        </w:rPr>
        <w:t>车辆编制</w:t>
      </w:r>
      <w:r>
        <w:rPr>
          <w:rFonts w:hint="eastAsia" w:cs="Times New Roman"/>
          <w:i w:val="0"/>
          <w:iCs w:val="0"/>
          <w:caps w:val="0"/>
          <w:color w:val="auto"/>
          <w:spacing w:val="0"/>
          <w:sz w:val="31"/>
          <w:szCs w:val="31"/>
          <w:shd w:val="clear" w:fill="FFFFFF"/>
          <w:lang w:val="en-US" w:eastAsia="zh-CN"/>
        </w:rPr>
        <w:t>5</w:t>
      </w:r>
      <w:r>
        <w:rPr>
          <w:rFonts w:hint="eastAsia" w:ascii="方正仿宋_GBK" w:hAnsi="方正仿宋_GBK" w:eastAsia="方正仿宋_GBK" w:cs="方正仿宋_GBK"/>
          <w:i w:val="0"/>
          <w:iCs w:val="0"/>
          <w:caps w:val="0"/>
          <w:color w:val="auto"/>
          <w:spacing w:val="0"/>
          <w:sz w:val="31"/>
          <w:szCs w:val="31"/>
          <w:shd w:val="clear" w:fill="FFFFFF"/>
        </w:rPr>
        <w:t>辆，实有车辆</w:t>
      </w:r>
      <w:r>
        <w:rPr>
          <w:rFonts w:hint="eastAsia" w:cs="Times New Roman"/>
          <w:i w:val="0"/>
          <w:iCs w:val="0"/>
          <w:caps w:val="0"/>
          <w:color w:val="auto"/>
          <w:spacing w:val="0"/>
          <w:sz w:val="31"/>
          <w:szCs w:val="31"/>
          <w:shd w:val="clear" w:fill="FFFFFF"/>
          <w:lang w:val="en-US" w:eastAsia="zh-CN"/>
        </w:rPr>
        <w:t>4</w:t>
      </w:r>
      <w:r>
        <w:rPr>
          <w:rFonts w:hint="eastAsia" w:ascii="方正仿宋_GBK" w:hAnsi="方正仿宋_GBK" w:eastAsia="方正仿宋_GBK" w:cs="方正仿宋_GBK"/>
          <w:i w:val="0"/>
          <w:iCs w:val="0"/>
          <w:caps w:val="0"/>
          <w:color w:val="auto"/>
          <w:spacing w:val="0"/>
          <w:sz w:val="31"/>
          <w:szCs w:val="31"/>
          <w:shd w:val="clear" w:fill="FFFFFF"/>
        </w:rPr>
        <w:t>辆，超编</w:t>
      </w:r>
      <w:r>
        <w:rPr>
          <w:rFonts w:hint="default" w:ascii="Times New Roman" w:hAnsi="Times New Roman" w:eastAsia="宋体" w:cs="Times New Roman"/>
          <w:i w:val="0"/>
          <w:iCs w:val="0"/>
          <w:caps w:val="0"/>
          <w:color w:val="auto"/>
          <w:spacing w:val="0"/>
          <w:sz w:val="31"/>
          <w:szCs w:val="31"/>
          <w:shd w:val="clear" w:fill="FFFFFF"/>
        </w:rPr>
        <w:t>0</w:t>
      </w:r>
      <w:r>
        <w:rPr>
          <w:rFonts w:hint="eastAsia" w:ascii="方正仿宋_GBK" w:hAnsi="方正仿宋_GBK" w:eastAsia="方正仿宋_GBK" w:cs="方正仿宋_GBK"/>
          <w:i w:val="0"/>
          <w:iCs w:val="0"/>
          <w:caps w:val="0"/>
          <w:color w:val="auto"/>
          <w:spacing w:val="0"/>
          <w:sz w:val="31"/>
          <w:szCs w:val="31"/>
          <w:shd w:val="clear" w:fill="FFFFFF"/>
        </w:rPr>
        <w:t>辆。</w:t>
      </w:r>
    </w:p>
    <w:p w14:paraId="6BB445F8">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1B794D2">
      <w:pPr>
        <w:ind w:firstLine="600" w:firstLineChars="200"/>
        <w:jc w:val="both"/>
        <w:outlineLvl w:val="0"/>
        <w:rPr>
          <w:rFonts w:hint="eastAsia" w:ascii="仿宋_GB2312" w:eastAsia="仿宋_GB2312" w:cs="Times New Roman"/>
          <w:sz w:val="30"/>
          <w:szCs w:val="30"/>
          <w:highlight w:val="none"/>
          <w:lang w:val="en-US" w:eastAsia="zh-CN"/>
        </w:rPr>
      </w:pPr>
      <w:r>
        <w:rPr>
          <w:rFonts w:hint="default" w:ascii="仿宋_GB2312" w:hAnsi="Times New Roman" w:eastAsia="仿宋_GB2312" w:cs="Times New Roman"/>
          <w:sz w:val="30"/>
          <w:szCs w:val="30"/>
          <w:highlight w:val="none"/>
          <w:lang w:val="en-US" w:eastAsia="zh-CN"/>
        </w:rPr>
        <w:t>202</w:t>
      </w:r>
      <w:r>
        <w:rPr>
          <w:rFonts w:hint="eastAsia" w:ascii="仿宋_GB2312" w:hAnsi="Times New Roman" w:eastAsia="仿宋_GB2312" w:cs="Times New Roman"/>
          <w:sz w:val="30"/>
          <w:szCs w:val="30"/>
          <w:highlight w:val="none"/>
          <w:lang w:val="en-US" w:eastAsia="zh-CN"/>
        </w:rPr>
        <w:t>4</w:t>
      </w:r>
      <w:r>
        <w:rPr>
          <w:rFonts w:hint="default" w:ascii="仿宋_GB2312" w:hAnsi="Times New Roman" w:eastAsia="仿宋_GB2312" w:cs="Times New Roman"/>
          <w:sz w:val="30"/>
          <w:szCs w:val="30"/>
          <w:highlight w:val="none"/>
          <w:lang w:val="en-US" w:eastAsia="zh-CN"/>
        </w:rPr>
        <w:t>年，绿汁镇人民政府坚定不移稳增长、挖潜能，经济发展</w:t>
      </w:r>
      <w:r>
        <w:rPr>
          <w:rFonts w:hint="eastAsia" w:ascii="仿宋_GB2312" w:hAnsi="Times New Roman" w:eastAsia="仿宋_GB2312" w:cs="Times New Roman"/>
          <w:sz w:val="30"/>
          <w:szCs w:val="30"/>
          <w:highlight w:val="none"/>
          <w:lang w:val="en-US" w:eastAsia="zh-CN"/>
        </w:rPr>
        <w:t>稳中有进,</w:t>
      </w:r>
      <w:r>
        <w:rPr>
          <w:rFonts w:hint="default" w:ascii="仿宋_GB2312" w:hAnsi="Times New Roman" w:eastAsia="仿宋_GB2312" w:cs="Times New Roman"/>
          <w:sz w:val="30"/>
          <w:szCs w:val="30"/>
          <w:highlight w:val="none"/>
          <w:lang w:val="en-US" w:eastAsia="zh-CN"/>
        </w:rPr>
        <w:t>坚持</w:t>
      </w:r>
      <w:r>
        <w:rPr>
          <w:rFonts w:hint="default" w:ascii="仿宋_GB2312" w:hAnsi="Times New Roman" w:eastAsia="仿宋_GB2312" w:cs="Times New Roman"/>
          <w:sz w:val="30"/>
          <w:szCs w:val="30"/>
          <w:highlight w:val="none"/>
        </w:rPr>
        <w:t>把抓经济促发展作为全镇头等大事，牢固树立经济思维、“一盘棋”思想</w:t>
      </w:r>
      <w:r>
        <w:rPr>
          <w:rFonts w:hint="default" w:ascii="仿宋_GB2312" w:hAnsi="Times New Roman" w:eastAsia="仿宋_GB2312" w:cs="Times New Roman"/>
          <w:sz w:val="30"/>
          <w:szCs w:val="30"/>
          <w:highlight w:val="none"/>
          <w:lang w:eastAsia="zh-CN"/>
        </w:rPr>
        <w:t>，</w:t>
      </w:r>
      <w:r>
        <w:rPr>
          <w:rFonts w:hint="default" w:ascii="仿宋_GB2312" w:hAnsi="Times New Roman" w:eastAsia="仿宋_GB2312" w:cs="Times New Roman"/>
          <w:sz w:val="30"/>
          <w:szCs w:val="30"/>
          <w:highlight w:val="none"/>
          <w:lang w:val="en-US" w:eastAsia="zh-CN"/>
        </w:rPr>
        <w:t>完成固定资产投资35378万元</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完成招商引资16476万元</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rPr>
        <w:t>新增企业</w:t>
      </w:r>
      <w:r>
        <w:rPr>
          <w:rFonts w:hint="default" w:ascii="仿宋_GB2312" w:hAnsi="Times New Roman" w:eastAsia="仿宋_GB2312" w:cs="Times New Roman"/>
          <w:sz w:val="30"/>
          <w:szCs w:val="30"/>
          <w:highlight w:val="none"/>
          <w:lang w:val="en-US" w:eastAsia="zh-CN"/>
        </w:rPr>
        <w:t>66</w:t>
      </w:r>
      <w:r>
        <w:rPr>
          <w:rFonts w:hint="default" w:ascii="仿宋_GB2312" w:hAnsi="Times New Roman" w:eastAsia="仿宋_GB2312" w:cs="Times New Roman"/>
          <w:sz w:val="30"/>
          <w:szCs w:val="30"/>
          <w:highlight w:val="none"/>
        </w:rPr>
        <w:t>户</w:t>
      </w:r>
      <w:r>
        <w:rPr>
          <w:rFonts w:hint="default"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eastAsia="zh-CN"/>
        </w:rPr>
        <w:t>成功申报</w:t>
      </w:r>
      <w:r>
        <w:rPr>
          <w:rFonts w:hint="default" w:ascii="仿宋_GB2312" w:hAnsi="Times New Roman" w:eastAsia="仿宋_GB2312" w:cs="Times New Roman"/>
          <w:sz w:val="30"/>
          <w:szCs w:val="30"/>
          <w:highlight w:val="none"/>
        </w:rPr>
        <w:t>认定县级基地</w:t>
      </w:r>
      <w:r>
        <w:rPr>
          <w:rFonts w:hint="default" w:ascii="仿宋_GB2312" w:hAnsi="Times New Roman" w:eastAsia="仿宋_GB2312" w:cs="Times New Roman"/>
          <w:sz w:val="30"/>
          <w:szCs w:val="30"/>
          <w:highlight w:val="none"/>
          <w:lang w:val="en-US" w:eastAsia="zh-CN"/>
        </w:rPr>
        <w:t>29</w:t>
      </w:r>
      <w:r>
        <w:rPr>
          <w:rFonts w:hint="default" w:ascii="仿宋_GB2312" w:hAnsi="Times New Roman" w:eastAsia="仿宋_GB2312" w:cs="Times New Roman"/>
          <w:sz w:val="30"/>
          <w:szCs w:val="30"/>
          <w:highlight w:val="none"/>
        </w:rPr>
        <w:t>个</w:t>
      </w:r>
      <w:r>
        <w:rPr>
          <w:rFonts w:hint="eastAsia" w:ascii="仿宋_GB2312" w:hAnsi="Times New Roman" w:eastAsia="仿宋_GB2312" w:cs="Times New Roman"/>
          <w:sz w:val="30"/>
          <w:szCs w:val="30"/>
          <w:highlight w:val="none"/>
          <w:lang w:eastAsia="zh-CN"/>
        </w:rPr>
        <w:t>、</w:t>
      </w:r>
      <w:r>
        <w:rPr>
          <w:rFonts w:hint="default" w:ascii="仿宋_GB2312" w:hAnsi="Times New Roman" w:eastAsia="仿宋_GB2312" w:cs="Times New Roman"/>
          <w:sz w:val="30"/>
          <w:szCs w:val="30"/>
          <w:highlight w:val="none"/>
        </w:rPr>
        <w:t>市级基地</w:t>
      </w:r>
      <w:r>
        <w:rPr>
          <w:rFonts w:hint="eastAsia" w:ascii="仿宋_GB2312" w:hAnsi="Times New Roman" w:eastAsia="仿宋_GB2312" w:cs="Times New Roman"/>
          <w:sz w:val="30"/>
          <w:szCs w:val="30"/>
          <w:highlight w:val="none"/>
          <w:lang w:val="en-US" w:eastAsia="zh-CN"/>
        </w:rPr>
        <w:t>7</w:t>
      </w:r>
      <w:r>
        <w:rPr>
          <w:rFonts w:hint="default" w:ascii="仿宋_GB2312" w:hAnsi="Times New Roman" w:eastAsia="仿宋_GB2312" w:cs="Times New Roman"/>
          <w:sz w:val="30"/>
          <w:szCs w:val="30"/>
          <w:highlight w:val="none"/>
        </w:rPr>
        <w:t>个</w:t>
      </w:r>
      <w:r>
        <w:rPr>
          <w:rFonts w:hint="default"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多方争取资金</w:t>
      </w:r>
      <w:r>
        <w:rPr>
          <w:rFonts w:hint="default" w:ascii="仿宋_GB2312" w:hAnsi="Times New Roman" w:eastAsia="仿宋_GB2312" w:cs="Times New Roman"/>
          <w:sz w:val="30"/>
          <w:szCs w:val="30"/>
          <w:highlight w:val="none"/>
          <w:lang w:val="en-US" w:eastAsia="zh-CN"/>
        </w:rPr>
        <w:t>强化要素保障，投资10万元新建芭蕉箐塔拉示范种植基地，投资45万元实施大绿汁村农村公益事业财政奖补项目，投资160万元实施绿汁镇乡村产业融合发展示范项目，投资161万元完成抗旱应急人饮工程、水库引水洪沟工程，</w:t>
      </w:r>
      <w:r>
        <w:rPr>
          <w:rFonts w:hint="eastAsia" w:ascii="仿宋_GB2312" w:hAnsi="Times New Roman" w:eastAsia="仿宋_GB2312" w:cs="Times New Roman"/>
          <w:sz w:val="30"/>
          <w:szCs w:val="30"/>
          <w:highlight w:val="none"/>
          <w:lang w:val="en-US" w:eastAsia="zh-CN"/>
        </w:rPr>
        <w:t>投资150万元实施集镇“梳头洗脸”人居环境整治提升项目，</w:t>
      </w:r>
      <w:r>
        <w:rPr>
          <w:rFonts w:hint="default" w:ascii="仿宋_GB2312" w:hAnsi="Times New Roman" w:eastAsia="仿宋_GB2312" w:cs="Times New Roman"/>
          <w:sz w:val="30"/>
          <w:szCs w:val="30"/>
          <w:highlight w:val="none"/>
          <w:lang w:val="en-US" w:eastAsia="zh-CN"/>
        </w:rPr>
        <w:t>投资170万元完成绿汁镇苗圃基地建设项目，</w:t>
      </w:r>
      <w:r>
        <w:rPr>
          <w:rFonts w:hint="eastAsia" w:ascii="仿宋_GB2312" w:hAnsi="Times New Roman" w:eastAsia="仿宋_GB2312" w:cs="Times New Roman"/>
          <w:sz w:val="30"/>
          <w:szCs w:val="30"/>
          <w:highlight w:val="none"/>
          <w:lang w:val="en-US" w:eastAsia="zh-CN"/>
        </w:rPr>
        <w:t>投资789万元建成绿汁粮点展示中心，</w:t>
      </w:r>
      <w:r>
        <w:rPr>
          <w:rFonts w:hint="default" w:ascii="仿宋_GB2312" w:hAnsi="Times New Roman" w:eastAsia="仿宋_GB2312" w:cs="Times New Roman"/>
          <w:sz w:val="30"/>
          <w:szCs w:val="30"/>
          <w:highlight w:val="none"/>
          <w:lang w:val="en-US" w:eastAsia="zh-CN"/>
        </w:rPr>
        <w:t>投资200.43万元实施小路箐一坝除险加固工程，投资</w:t>
      </w:r>
      <w:r>
        <w:rPr>
          <w:rFonts w:hint="eastAsia" w:ascii="仿宋_GB2312" w:hAnsi="Times New Roman" w:eastAsia="仿宋_GB2312" w:cs="Times New Roman"/>
          <w:sz w:val="30"/>
          <w:szCs w:val="30"/>
          <w:highlight w:val="none"/>
          <w:lang w:val="en-US" w:eastAsia="zh-CN"/>
        </w:rPr>
        <w:t>420</w:t>
      </w:r>
      <w:r>
        <w:rPr>
          <w:rFonts w:hint="default" w:ascii="仿宋_GB2312" w:hAnsi="Times New Roman" w:eastAsia="仿宋_GB2312" w:cs="Times New Roman"/>
          <w:sz w:val="30"/>
          <w:szCs w:val="30"/>
          <w:highlight w:val="none"/>
          <w:lang w:val="en-US" w:eastAsia="zh-CN"/>
        </w:rPr>
        <w:t>万元实施集镇农贸市场提档升级项目，投资1425万元</w:t>
      </w:r>
      <w:r>
        <w:rPr>
          <w:rFonts w:hint="eastAsia" w:ascii="仿宋_GB2312" w:hAnsi="Times New Roman" w:eastAsia="仿宋_GB2312" w:cs="Times New Roman"/>
          <w:sz w:val="30"/>
          <w:szCs w:val="30"/>
          <w:highlight w:val="none"/>
          <w:lang w:val="en-US" w:eastAsia="zh-CN"/>
        </w:rPr>
        <w:t>实施</w:t>
      </w:r>
      <w:r>
        <w:rPr>
          <w:rFonts w:hint="default" w:ascii="仿宋_GB2312" w:hAnsi="Times New Roman" w:eastAsia="仿宋_GB2312" w:cs="Times New Roman"/>
          <w:sz w:val="30"/>
          <w:szCs w:val="30"/>
          <w:highlight w:val="none"/>
          <w:lang w:val="en-US" w:eastAsia="zh-CN"/>
        </w:rPr>
        <w:t>马干田地质灾害避险搬迁项目</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投资1779万元实施腊品、棚苴村高标准农田建设项目</w:t>
      </w:r>
      <w:r>
        <w:rPr>
          <w:rFonts w:hint="eastAsia" w:ascii="仿宋_GB2312" w:hAnsi="Times New Roman" w:eastAsia="仿宋_GB2312" w:cs="Times New Roman"/>
          <w:sz w:val="30"/>
          <w:szCs w:val="30"/>
          <w:highlight w:val="none"/>
          <w:lang w:val="en-US" w:eastAsia="zh-CN"/>
        </w:rPr>
        <w:t>，投资6000万元实施分布式光伏发电开发建设项目，国家工业遗产活化保护利用相关项目正如火如荼施工建设。</w:t>
      </w:r>
      <w:r>
        <w:rPr>
          <w:rFonts w:hint="default" w:ascii="仿宋_GB2312" w:hAnsi="Times New Roman" w:eastAsia="仿宋_GB2312" w:cs="Times New Roman"/>
          <w:sz w:val="30"/>
          <w:szCs w:val="30"/>
          <w:highlight w:val="none"/>
          <w:lang w:val="en-US" w:eastAsia="zh-CN"/>
        </w:rPr>
        <w:t>稳定粮食种植2.38万亩，产量876.13万公斤。玉米种植1.31万亩，产量581.56万公斤；</w:t>
      </w:r>
      <w:r>
        <w:rPr>
          <w:rFonts w:hint="default" w:ascii="仿宋_GB2312" w:hAnsi="Times New Roman" w:eastAsia="仿宋_GB2312" w:cs="Times New Roman"/>
          <w:sz w:val="30"/>
          <w:szCs w:val="30"/>
          <w:highlight w:val="none"/>
          <w:lang w:eastAsia="zh-CN"/>
        </w:rPr>
        <w:t>水稻</w:t>
      </w:r>
      <w:r>
        <w:rPr>
          <w:rFonts w:hint="default" w:ascii="仿宋_GB2312" w:hAnsi="Times New Roman" w:eastAsia="仿宋_GB2312" w:cs="Times New Roman"/>
          <w:sz w:val="30"/>
          <w:szCs w:val="30"/>
          <w:highlight w:val="none"/>
          <w:lang w:val="en-US" w:eastAsia="zh-CN"/>
        </w:rPr>
        <w:t>种植2945亩</w:t>
      </w:r>
      <w:r>
        <w:rPr>
          <w:rFonts w:hint="default" w:ascii="仿宋_GB2312" w:hAnsi="Times New Roman" w:eastAsia="仿宋_GB2312" w:cs="Times New Roman"/>
          <w:sz w:val="30"/>
          <w:szCs w:val="30"/>
          <w:highlight w:val="none"/>
          <w:lang w:eastAsia="zh-CN"/>
        </w:rPr>
        <w:t>，产量</w:t>
      </w:r>
      <w:r>
        <w:rPr>
          <w:rFonts w:hint="default" w:ascii="仿宋_GB2312" w:hAnsi="Times New Roman" w:eastAsia="仿宋_GB2312" w:cs="Times New Roman"/>
          <w:sz w:val="30"/>
          <w:szCs w:val="30"/>
          <w:highlight w:val="none"/>
          <w:lang w:val="en-US" w:eastAsia="zh-CN"/>
        </w:rPr>
        <w:t>148万公斤。雪茄烟鲜烟叶交售33万公斤，实现收入230.64万元。蔬菜种植2.56万亩4006.93万公斤，冬春蔬菜种植1.6万亩2234.6万公斤</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开展环境卫生整治提升7000余㎡，</w:t>
      </w:r>
      <w:r>
        <w:rPr>
          <w:rFonts w:hint="default" w:ascii="仿宋_GB2312" w:hAnsi="Times New Roman" w:eastAsia="仿宋_GB2312" w:cs="Times New Roman"/>
          <w:sz w:val="30"/>
          <w:szCs w:val="30"/>
          <w:highlight w:val="none"/>
          <w:lang w:eastAsia="zh-CN"/>
        </w:rPr>
        <w:t>动员党员干部群众拆除</w:t>
      </w:r>
      <w:r>
        <w:rPr>
          <w:rFonts w:hint="default" w:ascii="仿宋_GB2312" w:hAnsi="Times New Roman" w:eastAsia="仿宋_GB2312" w:cs="Times New Roman"/>
          <w:sz w:val="30"/>
          <w:szCs w:val="30"/>
          <w:highlight w:val="none"/>
          <w:lang w:val="en-US" w:eastAsia="zh-CN"/>
        </w:rPr>
        <w:t>临危建筑725宗5800余㎡，拆除柴房和私搭乱建</w:t>
      </w:r>
      <w:r>
        <w:rPr>
          <w:rFonts w:hint="eastAsia" w:ascii="仿宋_GB2312" w:hAnsi="Times New Roman" w:eastAsia="仿宋_GB2312" w:cs="Times New Roman"/>
          <w:sz w:val="30"/>
          <w:szCs w:val="30"/>
          <w:highlight w:val="none"/>
          <w:lang w:val="en-US" w:eastAsia="zh-CN"/>
        </w:rPr>
        <w:t>536</w:t>
      </w:r>
      <w:r>
        <w:rPr>
          <w:rFonts w:hint="default" w:ascii="仿宋_GB2312" w:hAnsi="Times New Roman" w:eastAsia="仿宋_GB2312" w:cs="Times New Roman"/>
          <w:sz w:val="30"/>
          <w:szCs w:val="30"/>
          <w:highlight w:val="none"/>
          <w:lang w:val="en-US" w:eastAsia="zh-CN"/>
        </w:rPr>
        <w:t>处，</w:t>
      </w:r>
      <w:r>
        <w:rPr>
          <w:rFonts w:hint="eastAsia" w:ascii="仿宋_GB2312" w:hAnsi="Times New Roman" w:eastAsia="仿宋_GB2312" w:cs="Times New Roman"/>
          <w:sz w:val="30"/>
          <w:szCs w:val="30"/>
          <w:highlight w:val="none"/>
          <w:lang w:val="en-US" w:eastAsia="zh-CN"/>
        </w:rPr>
        <w:t>修砌花台2500㎡，</w:t>
      </w:r>
      <w:r>
        <w:rPr>
          <w:rFonts w:hint="default" w:ascii="仿宋_GB2312" w:hAnsi="Times New Roman" w:eastAsia="仿宋_GB2312" w:cs="Times New Roman"/>
          <w:sz w:val="30"/>
          <w:szCs w:val="30"/>
          <w:highlight w:val="none"/>
          <w:lang w:val="en-US" w:eastAsia="zh-CN"/>
        </w:rPr>
        <w:t>累计绿化面积</w:t>
      </w:r>
      <w:r>
        <w:rPr>
          <w:rFonts w:hint="eastAsia" w:ascii="仿宋_GB2312" w:hAnsi="Times New Roman" w:eastAsia="仿宋_GB2312" w:cs="Times New Roman"/>
          <w:sz w:val="30"/>
          <w:szCs w:val="30"/>
          <w:highlight w:val="none"/>
          <w:lang w:val="en-US" w:eastAsia="zh-CN"/>
        </w:rPr>
        <w:t>25910</w:t>
      </w:r>
      <w:r>
        <w:rPr>
          <w:rFonts w:hint="default" w:ascii="仿宋_GB2312" w:hAnsi="Times New Roman" w:eastAsia="仿宋_GB2312" w:cs="Times New Roman"/>
          <w:sz w:val="30"/>
          <w:szCs w:val="30"/>
          <w:highlight w:val="none"/>
          <w:lang w:val="en-US" w:eastAsia="zh-CN"/>
        </w:rPr>
        <w:t>㎡，集镇承载力和吸引力</w:t>
      </w:r>
      <w:r>
        <w:rPr>
          <w:rFonts w:hint="eastAsia" w:ascii="仿宋_GB2312" w:hAnsi="Times New Roman" w:eastAsia="仿宋_GB2312" w:cs="Times New Roman"/>
          <w:sz w:val="30"/>
          <w:szCs w:val="30"/>
          <w:highlight w:val="none"/>
          <w:lang w:val="en-US" w:eastAsia="zh-CN"/>
        </w:rPr>
        <w:t>稳步提升</w:t>
      </w:r>
      <w:r>
        <w:rPr>
          <w:rFonts w:hint="default" w:ascii="仿宋_GB2312" w:hAnsi="Times New Roman" w:eastAsia="仿宋_GB2312" w:cs="Times New Roman"/>
          <w:sz w:val="30"/>
          <w:szCs w:val="30"/>
          <w:highlight w:val="none"/>
          <w:lang w:val="en-US" w:eastAsia="zh-CN"/>
        </w:rPr>
        <w:t>。完成2轮防止返贫监测帮扶集中排查工作，全镇323户脱贫户和监测户人均收入24347.16元增长9.76%</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劳动力转移就业430人，开发就近就业公益性岗位139个，</w:t>
      </w:r>
      <w:r>
        <w:rPr>
          <w:rFonts w:hint="eastAsia" w:ascii="仿宋_GB2312" w:hAnsi="Times New Roman" w:eastAsia="仿宋_GB2312" w:cs="Times New Roman"/>
          <w:sz w:val="30"/>
          <w:szCs w:val="30"/>
          <w:highlight w:val="none"/>
          <w:lang w:val="en-US" w:eastAsia="zh-CN"/>
        </w:rPr>
        <w:t>发放各类</w:t>
      </w:r>
      <w:r>
        <w:rPr>
          <w:rFonts w:hint="default" w:ascii="仿宋_GB2312" w:hAnsi="Times New Roman" w:eastAsia="仿宋_GB2312" w:cs="Times New Roman"/>
          <w:sz w:val="30"/>
          <w:szCs w:val="30"/>
          <w:highlight w:val="none"/>
          <w:lang w:val="en-US" w:eastAsia="zh-CN"/>
        </w:rPr>
        <w:t>奖补</w:t>
      </w:r>
      <w:r>
        <w:rPr>
          <w:rFonts w:hint="eastAsia" w:ascii="仿宋_GB2312" w:hAnsi="Times New Roman" w:eastAsia="仿宋_GB2312" w:cs="Times New Roman"/>
          <w:sz w:val="30"/>
          <w:szCs w:val="30"/>
          <w:highlight w:val="none"/>
          <w:lang w:val="en-US" w:eastAsia="zh-CN"/>
        </w:rPr>
        <w:t>资金48.33万元，</w:t>
      </w:r>
      <w:r>
        <w:rPr>
          <w:rFonts w:hint="default" w:ascii="仿宋_GB2312" w:hAnsi="Times New Roman" w:eastAsia="仿宋_GB2312" w:cs="Times New Roman"/>
          <w:sz w:val="30"/>
          <w:szCs w:val="30"/>
          <w:highlight w:val="none"/>
          <w:lang w:val="en-US" w:eastAsia="zh-CN"/>
        </w:rPr>
        <w:t>脱贫人口及“三类”监测对象100%参加基本医保和大病保险，住院报销均达到95%。</w:t>
      </w:r>
      <w:r>
        <w:rPr>
          <w:rFonts w:hint="eastAsia" w:ascii="仿宋_GB2312" w:hAnsi="Times New Roman" w:eastAsia="仿宋_GB2312" w:cs="Times New Roman"/>
          <w:sz w:val="30"/>
          <w:szCs w:val="30"/>
          <w:highlight w:val="none"/>
          <w:lang w:val="en-US" w:eastAsia="zh-CN"/>
        </w:rPr>
        <w:t>扎实推动矛盾纠纷多元化解，</w:t>
      </w:r>
      <w:r>
        <w:rPr>
          <w:rFonts w:hint="default" w:ascii="仿宋_GB2312" w:hAnsi="Times New Roman" w:eastAsia="仿宋_GB2312" w:cs="Times New Roman"/>
          <w:sz w:val="30"/>
          <w:szCs w:val="30"/>
          <w:highlight w:val="none"/>
          <w:lang w:val="en-US" w:eastAsia="zh-CN"/>
        </w:rPr>
        <w:t>摸排矛盾纠纷</w:t>
      </w:r>
      <w:r>
        <w:rPr>
          <w:rFonts w:hint="eastAsia" w:ascii="仿宋_GB2312" w:hAnsi="Times New Roman" w:eastAsia="仿宋_GB2312" w:cs="Times New Roman"/>
          <w:sz w:val="30"/>
          <w:szCs w:val="30"/>
          <w:highlight w:val="none"/>
          <w:lang w:val="en-US" w:eastAsia="zh-CN"/>
        </w:rPr>
        <w:t>76</w:t>
      </w:r>
      <w:r>
        <w:rPr>
          <w:rFonts w:hint="default" w:ascii="仿宋_GB2312" w:hAnsi="Times New Roman" w:eastAsia="仿宋_GB2312" w:cs="Times New Roman"/>
          <w:sz w:val="30"/>
          <w:szCs w:val="30"/>
          <w:highlight w:val="none"/>
          <w:lang w:val="en-US" w:eastAsia="zh-CN"/>
        </w:rPr>
        <w:t>起，调处化解</w:t>
      </w:r>
      <w:r>
        <w:rPr>
          <w:rFonts w:hint="eastAsia" w:ascii="仿宋_GB2312" w:hAnsi="Times New Roman" w:eastAsia="仿宋_GB2312" w:cs="Times New Roman"/>
          <w:sz w:val="30"/>
          <w:szCs w:val="30"/>
          <w:highlight w:val="none"/>
          <w:lang w:val="en-US" w:eastAsia="zh-CN"/>
        </w:rPr>
        <w:t>69</w:t>
      </w:r>
      <w:r>
        <w:rPr>
          <w:rFonts w:hint="default" w:ascii="仿宋_GB2312" w:hAnsi="Times New Roman" w:eastAsia="仿宋_GB2312" w:cs="Times New Roman"/>
          <w:sz w:val="30"/>
          <w:szCs w:val="30"/>
          <w:highlight w:val="none"/>
          <w:lang w:val="en-US" w:eastAsia="zh-CN"/>
        </w:rPr>
        <w:t>起，调处率</w:t>
      </w:r>
      <w:r>
        <w:rPr>
          <w:rFonts w:hint="eastAsia" w:ascii="仿宋_GB2312" w:hAnsi="Times New Roman" w:eastAsia="仿宋_GB2312" w:cs="Times New Roman"/>
          <w:sz w:val="30"/>
          <w:szCs w:val="30"/>
          <w:highlight w:val="none"/>
          <w:lang w:val="en-US" w:eastAsia="zh-CN"/>
        </w:rPr>
        <w:t>100</w:t>
      </w:r>
      <w:r>
        <w:rPr>
          <w:rFonts w:hint="default"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，成功率90.79%</w:t>
      </w:r>
      <w:r>
        <w:rPr>
          <w:rFonts w:hint="default"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全面推进信访工作法制化，接待群众来信来访36</w:t>
      </w:r>
      <w:r>
        <w:rPr>
          <w:rFonts w:hint="default" w:ascii="仿宋_GB2312" w:hAnsi="Times New Roman" w:eastAsia="仿宋_GB2312" w:cs="Times New Roman"/>
          <w:sz w:val="30"/>
          <w:szCs w:val="30"/>
          <w:highlight w:val="none"/>
          <w:lang w:val="en-US" w:eastAsia="zh-CN"/>
        </w:rPr>
        <w:t>件，</w:t>
      </w:r>
      <w:r>
        <w:rPr>
          <w:rFonts w:hint="eastAsia" w:ascii="仿宋_GB2312" w:hAnsi="Times New Roman" w:eastAsia="仿宋_GB2312" w:cs="Times New Roman"/>
          <w:sz w:val="30"/>
          <w:szCs w:val="30"/>
          <w:highlight w:val="none"/>
          <w:lang w:val="en-US" w:eastAsia="zh-CN"/>
        </w:rPr>
        <w:t>办结率100%</w:t>
      </w:r>
      <w:r>
        <w:rPr>
          <w:rFonts w:hint="default" w:ascii="仿宋_GB2312" w:hAnsi="Times New Roman" w:eastAsia="仿宋_GB2312" w:cs="Times New Roman"/>
          <w:sz w:val="30"/>
          <w:szCs w:val="30"/>
          <w:highlight w:val="none"/>
          <w:lang w:val="en-US" w:eastAsia="zh-CN"/>
        </w:rPr>
        <w:t>。办结人大代表议案、建议21件，政协提案3件，满意率</w:t>
      </w:r>
      <w:r>
        <w:rPr>
          <w:rFonts w:hint="eastAsia" w:ascii="仿宋_GB2312" w:hAnsi="Times New Roman" w:eastAsia="仿宋_GB2312" w:cs="Times New Roman"/>
          <w:sz w:val="30"/>
          <w:szCs w:val="30"/>
          <w:highlight w:val="none"/>
          <w:lang w:val="en-US" w:eastAsia="zh-CN"/>
        </w:rPr>
        <w:t>均达</w:t>
      </w:r>
      <w:r>
        <w:rPr>
          <w:rFonts w:hint="default" w:ascii="仿宋_GB2312" w:hAnsi="Times New Roman" w:eastAsia="仿宋_GB2312" w:cs="Times New Roman"/>
          <w:sz w:val="30"/>
          <w:szCs w:val="30"/>
          <w:highlight w:val="none"/>
          <w:lang w:val="en-US" w:eastAsia="zh-CN"/>
        </w:rPr>
        <w:t>100%。</w:t>
      </w:r>
      <w:r>
        <w:rPr>
          <w:rFonts w:hint="eastAsia" w:ascii="仿宋_GB2312" w:eastAsia="仿宋_GB2312" w:cs="Times New Roman"/>
          <w:sz w:val="30"/>
          <w:szCs w:val="30"/>
          <w:highlight w:val="none"/>
          <w:lang w:val="en-US" w:eastAsia="zh-CN"/>
        </w:rPr>
        <w:t xml:space="preserve"> </w:t>
      </w:r>
    </w:p>
    <w:p w14:paraId="2C5D03B8">
      <w:pPr>
        <w:ind w:firstLine="600" w:firstLineChars="200"/>
        <w:jc w:val="both"/>
        <w:outlineLvl w:val="0"/>
        <w:rPr>
          <w:rFonts w:hint="eastAsia" w:ascii="仿宋_GB2312" w:eastAsia="仿宋_GB2312" w:cs="Times New Roman"/>
          <w:sz w:val="30"/>
          <w:szCs w:val="30"/>
          <w:highlight w:val="none"/>
          <w:lang w:val="en-US" w:eastAsia="zh-CN"/>
        </w:rPr>
      </w:pPr>
      <w:r>
        <w:rPr>
          <w:rFonts w:hint="default" w:ascii="仿宋_GB2312" w:hAnsi="Times New Roman" w:eastAsia="仿宋_GB2312" w:cs="Times New Roman"/>
          <w:sz w:val="30"/>
          <w:szCs w:val="30"/>
          <w:highlight w:val="none"/>
          <w:lang w:val="en-US" w:eastAsia="zh-CN"/>
        </w:rPr>
        <w:t>202</w:t>
      </w:r>
      <w:r>
        <w:rPr>
          <w:rFonts w:hint="eastAsia" w:ascii="仿宋_GB2312" w:hAnsi="Times New Roman" w:eastAsia="仿宋_GB2312" w:cs="Times New Roman"/>
          <w:sz w:val="30"/>
          <w:szCs w:val="30"/>
          <w:highlight w:val="none"/>
          <w:lang w:val="en-US" w:eastAsia="zh-CN"/>
        </w:rPr>
        <w:t>4</w:t>
      </w:r>
      <w:r>
        <w:rPr>
          <w:rFonts w:hint="default" w:ascii="仿宋_GB2312" w:hAnsi="Times New Roman" w:eastAsia="仿宋_GB2312" w:cs="Times New Roman"/>
          <w:sz w:val="30"/>
          <w:szCs w:val="30"/>
          <w:highlight w:val="none"/>
          <w:lang w:val="en-US" w:eastAsia="zh-CN"/>
        </w:rPr>
        <w:t>年，绿汁镇人民政府坚定不移稳增长、挖潜能，经济发展</w:t>
      </w:r>
      <w:r>
        <w:rPr>
          <w:rFonts w:hint="eastAsia" w:ascii="仿宋_GB2312" w:hAnsi="Times New Roman" w:eastAsia="仿宋_GB2312" w:cs="Times New Roman"/>
          <w:sz w:val="30"/>
          <w:szCs w:val="30"/>
          <w:highlight w:val="none"/>
          <w:lang w:val="en-US" w:eastAsia="zh-CN"/>
        </w:rPr>
        <w:t>稳中有进,</w:t>
      </w:r>
      <w:r>
        <w:rPr>
          <w:rFonts w:hint="default" w:ascii="仿宋_GB2312" w:hAnsi="Times New Roman" w:eastAsia="仿宋_GB2312" w:cs="Times New Roman"/>
          <w:sz w:val="30"/>
          <w:szCs w:val="30"/>
          <w:highlight w:val="none"/>
          <w:lang w:val="en-US" w:eastAsia="zh-CN"/>
        </w:rPr>
        <w:t>坚持</w:t>
      </w:r>
      <w:r>
        <w:rPr>
          <w:rFonts w:hint="default" w:ascii="仿宋_GB2312" w:hAnsi="Times New Roman" w:eastAsia="仿宋_GB2312" w:cs="Times New Roman"/>
          <w:sz w:val="30"/>
          <w:szCs w:val="30"/>
          <w:highlight w:val="none"/>
        </w:rPr>
        <w:t>把抓经济促发展作为全镇头等大事，牢固树立经济思维、“一盘棋”思想</w:t>
      </w:r>
      <w:r>
        <w:rPr>
          <w:rFonts w:hint="default" w:ascii="仿宋_GB2312" w:hAnsi="Times New Roman" w:eastAsia="仿宋_GB2312" w:cs="Times New Roman"/>
          <w:sz w:val="30"/>
          <w:szCs w:val="30"/>
          <w:highlight w:val="none"/>
          <w:lang w:eastAsia="zh-CN"/>
        </w:rPr>
        <w:t>，</w:t>
      </w:r>
      <w:r>
        <w:rPr>
          <w:rFonts w:hint="default" w:ascii="仿宋_GB2312" w:hAnsi="Times New Roman" w:eastAsia="仿宋_GB2312" w:cs="Times New Roman"/>
          <w:sz w:val="30"/>
          <w:szCs w:val="30"/>
          <w:highlight w:val="none"/>
          <w:lang w:val="en-US" w:eastAsia="zh-CN"/>
        </w:rPr>
        <w:t>完成固定资产投资35378万元</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完成招商引资16476万元</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rPr>
        <w:t>新增企业</w:t>
      </w:r>
      <w:r>
        <w:rPr>
          <w:rFonts w:hint="default" w:ascii="仿宋_GB2312" w:hAnsi="Times New Roman" w:eastAsia="仿宋_GB2312" w:cs="Times New Roman"/>
          <w:sz w:val="30"/>
          <w:szCs w:val="30"/>
          <w:highlight w:val="none"/>
          <w:lang w:val="en-US" w:eastAsia="zh-CN"/>
        </w:rPr>
        <w:t>66</w:t>
      </w:r>
      <w:r>
        <w:rPr>
          <w:rFonts w:hint="default" w:ascii="仿宋_GB2312" w:hAnsi="Times New Roman" w:eastAsia="仿宋_GB2312" w:cs="Times New Roman"/>
          <w:sz w:val="30"/>
          <w:szCs w:val="30"/>
          <w:highlight w:val="none"/>
        </w:rPr>
        <w:t>户</w:t>
      </w:r>
      <w:r>
        <w:rPr>
          <w:rFonts w:hint="default"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eastAsia="zh-CN"/>
        </w:rPr>
        <w:t>成功申报</w:t>
      </w:r>
      <w:r>
        <w:rPr>
          <w:rFonts w:hint="default" w:ascii="仿宋_GB2312" w:hAnsi="Times New Roman" w:eastAsia="仿宋_GB2312" w:cs="Times New Roman"/>
          <w:sz w:val="30"/>
          <w:szCs w:val="30"/>
          <w:highlight w:val="none"/>
        </w:rPr>
        <w:t>认定县级基地</w:t>
      </w:r>
      <w:r>
        <w:rPr>
          <w:rFonts w:hint="default" w:ascii="仿宋_GB2312" w:hAnsi="Times New Roman" w:eastAsia="仿宋_GB2312" w:cs="Times New Roman"/>
          <w:sz w:val="30"/>
          <w:szCs w:val="30"/>
          <w:highlight w:val="none"/>
          <w:lang w:val="en-US" w:eastAsia="zh-CN"/>
        </w:rPr>
        <w:t>29</w:t>
      </w:r>
      <w:r>
        <w:rPr>
          <w:rFonts w:hint="default" w:ascii="仿宋_GB2312" w:hAnsi="Times New Roman" w:eastAsia="仿宋_GB2312" w:cs="Times New Roman"/>
          <w:sz w:val="30"/>
          <w:szCs w:val="30"/>
          <w:highlight w:val="none"/>
        </w:rPr>
        <w:t>个</w:t>
      </w:r>
      <w:r>
        <w:rPr>
          <w:rFonts w:hint="eastAsia" w:ascii="仿宋_GB2312" w:hAnsi="Times New Roman" w:eastAsia="仿宋_GB2312" w:cs="Times New Roman"/>
          <w:sz w:val="30"/>
          <w:szCs w:val="30"/>
          <w:highlight w:val="none"/>
          <w:lang w:eastAsia="zh-CN"/>
        </w:rPr>
        <w:t>、</w:t>
      </w:r>
      <w:r>
        <w:rPr>
          <w:rFonts w:hint="default" w:ascii="仿宋_GB2312" w:hAnsi="Times New Roman" w:eastAsia="仿宋_GB2312" w:cs="Times New Roman"/>
          <w:sz w:val="30"/>
          <w:szCs w:val="30"/>
          <w:highlight w:val="none"/>
        </w:rPr>
        <w:t>市级基地</w:t>
      </w:r>
      <w:r>
        <w:rPr>
          <w:rFonts w:hint="eastAsia" w:ascii="仿宋_GB2312" w:hAnsi="Times New Roman" w:eastAsia="仿宋_GB2312" w:cs="Times New Roman"/>
          <w:sz w:val="30"/>
          <w:szCs w:val="30"/>
          <w:highlight w:val="none"/>
          <w:lang w:val="en-US" w:eastAsia="zh-CN"/>
        </w:rPr>
        <w:t>7</w:t>
      </w:r>
      <w:r>
        <w:rPr>
          <w:rFonts w:hint="default" w:ascii="仿宋_GB2312" w:hAnsi="Times New Roman" w:eastAsia="仿宋_GB2312" w:cs="Times New Roman"/>
          <w:sz w:val="30"/>
          <w:szCs w:val="30"/>
          <w:highlight w:val="none"/>
        </w:rPr>
        <w:t>个</w:t>
      </w:r>
      <w:r>
        <w:rPr>
          <w:rFonts w:hint="default"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val="en-US" w:eastAsia="zh-CN"/>
        </w:rPr>
        <w:t>多方争取资金</w:t>
      </w:r>
      <w:r>
        <w:rPr>
          <w:rFonts w:hint="default" w:ascii="仿宋_GB2312" w:hAnsi="Times New Roman" w:eastAsia="仿宋_GB2312" w:cs="Times New Roman"/>
          <w:sz w:val="30"/>
          <w:szCs w:val="30"/>
          <w:highlight w:val="none"/>
          <w:lang w:val="en-US" w:eastAsia="zh-CN"/>
        </w:rPr>
        <w:t>强化要素保障，投资10万元新建芭蕉箐塔拉示范种植基地，投资45万元实施大绿汁村农村公益事业财政奖补项目，投资160万元实施绿汁镇乡村产业融合发展示范项目，投资161万元完成抗旱应急人饮工程、水库引水洪沟工程，</w:t>
      </w:r>
      <w:r>
        <w:rPr>
          <w:rFonts w:hint="eastAsia" w:ascii="仿宋_GB2312" w:hAnsi="Times New Roman" w:eastAsia="仿宋_GB2312" w:cs="Times New Roman"/>
          <w:sz w:val="30"/>
          <w:szCs w:val="30"/>
          <w:highlight w:val="none"/>
          <w:lang w:val="en-US" w:eastAsia="zh-CN"/>
        </w:rPr>
        <w:t>投资150万元实施集镇“梳头洗脸”人居环境整治提升项目，</w:t>
      </w:r>
      <w:r>
        <w:rPr>
          <w:rFonts w:hint="default" w:ascii="仿宋_GB2312" w:hAnsi="Times New Roman" w:eastAsia="仿宋_GB2312" w:cs="Times New Roman"/>
          <w:sz w:val="30"/>
          <w:szCs w:val="30"/>
          <w:highlight w:val="none"/>
          <w:lang w:val="en-US" w:eastAsia="zh-CN"/>
        </w:rPr>
        <w:t>投资170万元完成绿汁镇苗圃基地建设项目，</w:t>
      </w:r>
      <w:r>
        <w:rPr>
          <w:rFonts w:hint="eastAsia" w:ascii="仿宋_GB2312" w:hAnsi="Times New Roman" w:eastAsia="仿宋_GB2312" w:cs="Times New Roman"/>
          <w:sz w:val="30"/>
          <w:szCs w:val="30"/>
          <w:highlight w:val="none"/>
          <w:lang w:val="en-US" w:eastAsia="zh-CN"/>
        </w:rPr>
        <w:t>投资789万元建成绿汁粮点展示中心，</w:t>
      </w:r>
      <w:r>
        <w:rPr>
          <w:rFonts w:hint="default" w:ascii="仿宋_GB2312" w:hAnsi="Times New Roman" w:eastAsia="仿宋_GB2312" w:cs="Times New Roman"/>
          <w:sz w:val="30"/>
          <w:szCs w:val="30"/>
          <w:highlight w:val="none"/>
          <w:lang w:val="en-US" w:eastAsia="zh-CN"/>
        </w:rPr>
        <w:t>投资200.43万元实施小路箐一坝除险加固工程，投资</w:t>
      </w:r>
      <w:r>
        <w:rPr>
          <w:rFonts w:hint="eastAsia" w:ascii="仿宋_GB2312" w:hAnsi="Times New Roman" w:eastAsia="仿宋_GB2312" w:cs="Times New Roman"/>
          <w:sz w:val="30"/>
          <w:szCs w:val="30"/>
          <w:highlight w:val="none"/>
          <w:lang w:val="en-US" w:eastAsia="zh-CN"/>
        </w:rPr>
        <w:t>420</w:t>
      </w:r>
      <w:r>
        <w:rPr>
          <w:rFonts w:hint="default" w:ascii="仿宋_GB2312" w:hAnsi="Times New Roman" w:eastAsia="仿宋_GB2312" w:cs="Times New Roman"/>
          <w:sz w:val="30"/>
          <w:szCs w:val="30"/>
          <w:highlight w:val="none"/>
          <w:lang w:val="en-US" w:eastAsia="zh-CN"/>
        </w:rPr>
        <w:t>万元实施集镇农贸市场提档升级项目，投资1425万元</w:t>
      </w:r>
      <w:r>
        <w:rPr>
          <w:rFonts w:hint="eastAsia" w:ascii="仿宋_GB2312" w:hAnsi="Times New Roman" w:eastAsia="仿宋_GB2312" w:cs="Times New Roman"/>
          <w:sz w:val="30"/>
          <w:szCs w:val="30"/>
          <w:highlight w:val="none"/>
          <w:lang w:val="en-US" w:eastAsia="zh-CN"/>
        </w:rPr>
        <w:t>实施</w:t>
      </w:r>
      <w:r>
        <w:rPr>
          <w:rFonts w:hint="default" w:ascii="仿宋_GB2312" w:hAnsi="Times New Roman" w:eastAsia="仿宋_GB2312" w:cs="Times New Roman"/>
          <w:sz w:val="30"/>
          <w:szCs w:val="30"/>
          <w:highlight w:val="none"/>
          <w:lang w:val="en-US" w:eastAsia="zh-CN"/>
        </w:rPr>
        <w:t>马干田地质灾害避险搬迁项目</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投资1779万元实施腊品、棚苴村高标准农田建设项目</w:t>
      </w:r>
      <w:r>
        <w:rPr>
          <w:rFonts w:hint="eastAsia" w:ascii="仿宋_GB2312" w:hAnsi="Times New Roman" w:eastAsia="仿宋_GB2312" w:cs="Times New Roman"/>
          <w:sz w:val="30"/>
          <w:szCs w:val="30"/>
          <w:highlight w:val="none"/>
          <w:lang w:val="en-US" w:eastAsia="zh-CN"/>
        </w:rPr>
        <w:t>，投资6000万元实施分布式光伏发电开发建设项目，国家工业遗产活化保护利用相关项目正如火如荼施工建设。</w:t>
      </w:r>
      <w:r>
        <w:rPr>
          <w:rFonts w:hint="default" w:ascii="仿宋_GB2312" w:hAnsi="Times New Roman" w:eastAsia="仿宋_GB2312" w:cs="Times New Roman"/>
          <w:sz w:val="30"/>
          <w:szCs w:val="30"/>
          <w:highlight w:val="none"/>
          <w:lang w:val="en-US" w:eastAsia="zh-CN"/>
        </w:rPr>
        <w:t>稳定粮食种植2.38万亩，产量876.13万公斤。玉米种植1.31万亩，产量581.56万公斤；</w:t>
      </w:r>
      <w:r>
        <w:rPr>
          <w:rFonts w:hint="default" w:ascii="仿宋_GB2312" w:hAnsi="Times New Roman" w:eastAsia="仿宋_GB2312" w:cs="Times New Roman"/>
          <w:sz w:val="30"/>
          <w:szCs w:val="30"/>
          <w:highlight w:val="none"/>
          <w:lang w:eastAsia="zh-CN"/>
        </w:rPr>
        <w:t>水稻</w:t>
      </w:r>
      <w:r>
        <w:rPr>
          <w:rFonts w:hint="default" w:ascii="仿宋_GB2312" w:hAnsi="Times New Roman" w:eastAsia="仿宋_GB2312" w:cs="Times New Roman"/>
          <w:sz w:val="30"/>
          <w:szCs w:val="30"/>
          <w:highlight w:val="none"/>
          <w:lang w:val="en-US" w:eastAsia="zh-CN"/>
        </w:rPr>
        <w:t>种植2945亩</w:t>
      </w:r>
      <w:r>
        <w:rPr>
          <w:rFonts w:hint="default" w:ascii="仿宋_GB2312" w:hAnsi="Times New Roman" w:eastAsia="仿宋_GB2312" w:cs="Times New Roman"/>
          <w:sz w:val="30"/>
          <w:szCs w:val="30"/>
          <w:highlight w:val="none"/>
          <w:lang w:eastAsia="zh-CN"/>
        </w:rPr>
        <w:t>，产量</w:t>
      </w:r>
      <w:r>
        <w:rPr>
          <w:rFonts w:hint="default" w:ascii="仿宋_GB2312" w:hAnsi="Times New Roman" w:eastAsia="仿宋_GB2312" w:cs="Times New Roman"/>
          <w:sz w:val="30"/>
          <w:szCs w:val="30"/>
          <w:highlight w:val="none"/>
          <w:lang w:val="en-US" w:eastAsia="zh-CN"/>
        </w:rPr>
        <w:t>148万公斤。雪茄烟鲜烟叶交售33万公斤，实现收入230.64万元。蔬菜种植2.56万亩4006.93万公斤，冬春蔬菜种植1.6万亩2234.6万公斤</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开展环境卫生整治提升7000余㎡，</w:t>
      </w:r>
      <w:r>
        <w:rPr>
          <w:rFonts w:hint="default" w:ascii="仿宋_GB2312" w:hAnsi="Times New Roman" w:eastAsia="仿宋_GB2312" w:cs="Times New Roman"/>
          <w:sz w:val="30"/>
          <w:szCs w:val="30"/>
          <w:highlight w:val="none"/>
          <w:lang w:eastAsia="zh-CN"/>
        </w:rPr>
        <w:t>动员党员干部群众拆除</w:t>
      </w:r>
      <w:r>
        <w:rPr>
          <w:rFonts w:hint="default" w:ascii="仿宋_GB2312" w:hAnsi="Times New Roman" w:eastAsia="仿宋_GB2312" w:cs="Times New Roman"/>
          <w:sz w:val="30"/>
          <w:szCs w:val="30"/>
          <w:highlight w:val="none"/>
          <w:lang w:val="en-US" w:eastAsia="zh-CN"/>
        </w:rPr>
        <w:t>临危建筑725宗5800余㎡，拆除柴房和私搭乱建</w:t>
      </w:r>
      <w:r>
        <w:rPr>
          <w:rFonts w:hint="eastAsia" w:ascii="仿宋_GB2312" w:hAnsi="Times New Roman" w:eastAsia="仿宋_GB2312" w:cs="Times New Roman"/>
          <w:sz w:val="30"/>
          <w:szCs w:val="30"/>
          <w:highlight w:val="none"/>
          <w:lang w:val="en-US" w:eastAsia="zh-CN"/>
        </w:rPr>
        <w:t>536</w:t>
      </w:r>
      <w:r>
        <w:rPr>
          <w:rFonts w:hint="default" w:ascii="仿宋_GB2312" w:hAnsi="Times New Roman" w:eastAsia="仿宋_GB2312" w:cs="Times New Roman"/>
          <w:sz w:val="30"/>
          <w:szCs w:val="30"/>
          <w:highlight w:val="none"/>
          <w:lang w:val="en-US" w:eastAsia="zh-CN"/>
        </w:rPr>
        <w:t>处，</w:t>
      </w:r>
      <w:r>
        <w:rPr>
          <w:rFonts w:hint="eastAsia" w:ascii="仿宋_GB2312" w:hAnsi="Times New Roman" w:eastAsia="仿宋_GB2312" w:cs="Times New Roman"/>
          <w:sz w:val="30"/>
          <w:szCs w:val="30"/>
          <w:highlight w:val="none"/>
          <w:lang w:val="en-US" w:eastAsia="zh-CN"/>
        </w:rPr>
        <w:t>修砌花台2500㎡，</w:t>
      </w:r>
      <w:r>
        <w:rPr>
          <w:rFonts w:hint="default" w:ascii="仿宋_GB2312" w:hAnsi="Times New Roman" w:eastAsia="仿宋_GB2312" w:cs="Times New Roman"/>
          <w:sz w:val="30"/>
          <w:szCs w:val="30"/>
          <w:highlight w:val="none"/>
          <w:lang w:val="en-US" w:eastAsia="zh-CN"/>
        </w:rPr>
        <w:t>累计绿化面积</w:t>
      </w:r>
      <w:r>
        <w:rPr>
          <w:rFonts w:hint="eastAsia" w:ascii="仿宋_GB2312" w:hAnsi="Times New Roman" w:eastAsia="仿宋_GB2312" w:cs="Times New Roman"/>
          <w:sz w:val="30"/>
          <w:szCs w:val="30"/>
          <w:highlight w:val="none"/>
          <w:lang w:val="en-US" w:eastAsia="zh-CN"/>
        </w:rPr>
        <w:t>25910</w:t>
      </w:r>
      <w:r>
        <w:rPr>
          <w:rFonts w:hint="default" w:ascii="仿宋_GB2312" w:hAnsi="Times New Roman" w:eastAsia="仿宋_GB2312" w:cs="Times New Roman"/>
          <w:sz w:val="30"/>
          <w:szCs w:val="30"/>
          <w:highlight w:val="none"/>
          <w:lang w:val="en-US" w:eastAsia="zh-CN"/>
        </w:rPr>
        <w:t>㎡，集镇承载力和吸引力</w:t>
      </w:r>
      <w:r>
        <w:rPr>
          <w:rFonts w:hint="eastAsia" w:ascii="仿宋_GB2312" w:hAnsi="Times New Roman" w:eastAsia="仿宋_GB2312" w:cs="Times New Roman"/>
          <w:sz w:val="30"/>
          <w:szCs w:val="30"/>
          <w:highlight w:val="none"/>
          <w:lang w:val="en-US" w:eastAsia="zh-CN"/>
        </w:rPr>
        <w:t>稳步提升</w:t>
      </w:r>
      <w:r>
        <w:rPr>
          <w:rFonts w:hint="default" w:ascii="仿宋_GB2312" w:hAnsi="Times New Roman" w:eastAsia="仿宋_GB2312" w:cs="Times New Roman"/>
          <w:sz w:val="30"/>
          <w:szCs w:val="30"/>
          <w:highlight w:val="none"/>
          <w:lang w:val="en-US" w:eastAsia="zh-CN"/>
        </w:rPr>
        <w:t>。完成2轮防止返贫监测帮扶集中排查工作，全镇323户脱贫户和监测户人均收入24347.16元增长9.76%</w:t>
      </w:r>
      <w:r>
        <w:rPr>
          <w:rFonts w:hint="eastAsia" w:ascii="仿宋_GB2312" w:hAnsi="Times New Roman" w:eastAsia="仿宋_GB2312" w:cs="Times New Roman"/>
          <w:sz w:val="30"/>
          <w:szCs w:val="30"/>
          <w:highlight w:val="none"/>
          <w:lang w:val="en-US" w:eastAsia="zh-CN"/>
        </w:rPr>
        <w:t>，</w:t>
      </w:r>
      <w:r>
        <w:rPr>
          <w:rFonts w:hint="default" w:ascii="仿宋_GB2312" w:hAnsi="Times New Roman" w:eastAsia="仿宋_GB2312" w:cs="Times New Roman"/>
          <w:sz w:val="30"/>
          <w:szCs w:val="30"/>
          <w:highlight w:val="none"/>
          <w:lang w:val="en-US" w:eastAsia="zh-CN"/>
        </w:rPr>
        <w:t>劳动力转移就业430人，开发就近就业公益性岗位139个，</w:t>
      </w:r>
      <w:r>
        <w:rPr>
          <w:rFonts w:hint="eastAsia" w:ascii="仿宋_GB2312" w:hAnsi="Times New Roman" w:eastAsia="仿宋_GB2312" w:cs="Times New Roman"/>
          <w:sz w:val="30"/>
          <w:szCs w:val="30"/>
          <w:highlight w:val="none"/>
          <w:lang w:val="en-US" w:eastAsia="zh-CN"/>
        </w:rPr>
        <w:t>发放各类</w:t>
      </w:r>
      <w:r>
        <w:rPr>
          <w:rFonts w:hint="default" w:ascii="仿宋_GB2312" w:hAnsi="Times New Roman" w:eastAsia="仿宋_GB2312" w:cs="Times New Roman"/>
          <w:sz w:val="30"/>
          <w:szCs w:val="30"/>
          <w:highlight w:val="none"/>
          <w:lang w:val="en-US" w:eastAsia="zh-CN"/>
        </w:rPr>
        <w:t>奖补</w:t>
      </w:r>
      <w:r>
        <w:rPr>
          <w:rFonts w:hint="eastAsia" w:ascii="仿宋_GB2312" w:hAnsi="Times New Roman" w:eastAsia="仿宋_GB2312" w:cs="Times New Roman"/>
          <w:sz w:val="30"/>
          <w:szCs w:val="30"/>
          <w:highlight w:val="none"/>
          <w:lang w:val="en-US" w:eastAsia="zh-CN"/>
        </w:rPr>
        <w:t>资金48.33万元，</w:t>
      </w:r>
      <w:r>
        <w:rPr>
          <w:rFonts w:hint="default" w:ascii="仿宋_GB2312" w:hAnsi="Times New Roman" w:eastAsia="仿宋_GB2312" w:cs="Times New Roman"/>
          <w:sz w:val="30"/>
          <w:szCs w:val="30"/>
          <w:highlight w:val="none"/>
          <w:lang w:val="en-US" w:eastAsia="zh-CN"/>
        </w:rPr>
        <w:t>脱贫人口及“三类”监测对象100%参加基本医保和大病保险，住院报销均达到95%。</w:t>
      </w:r>
      <w:r>
        <w:rPr>
          <w:rFonts w:hint="eastAsia" w:ascii="仿宋_GB2312" w:hAnsi="Times New Roman" w:eastAsia="仿宋_GB2312" w:cs="Times New Roman"/>
          <w:sz w:val="30"/>
          <w:szCs w:val="30"/>
          <w:highlight w:val="none"/>
          <w:lang w:val="en-US" w:eastAsia="zh-CN"/>
        </w:rPr>
        <w:t>扎实推动矛盾纠纷多元化解，</w:t>
      </w:r>
      <w:r>
        <w:rPr>
          <w:rFonts w:hint="default" w:ascii="仿宋_GB2312" w:hAnsi="Times New Roman" w:eastAsia="仿宋_GB2312" w:cs="Times New Roman"/>
          <w:sz w:val="30"/>
          <w:szCs w:val="30"/>
          <w:highlight w:val="none"/>
          <w:lang w:val="en-US" w:eastAsia="zh-CN"/>
        </w:rPr>
        <w:t>摸排矛盾纠纷</w:t>
      </w:r>
      <w:r>
        <w:rPr>
          <w:rFonts w:hint="eastAsia" w:ascii="仿宋_GB2312" w:hAnsi="Times New Roman" w:eastAsia="仿宋_GB2312" w:cs="Times New Roman"/>
          <w:sz w:val="30"/>
          <w:szCs w:val="30"/>
          <w:highlight w:val="none"/>
          <w:lang w:val="en-US" w:eastAsia="zh-CN"/>
        </w:rPr>
        <w:t>76</w:t>
      </w:r>
      <w:r>
        <w:rPr>
          <w:rFonts w:hint="default" w:ascii="仿宋_GB2312" w:hAnsi="Times New Roman" w:eastAsia="仿宋_GB2312" w:cs="Times New Roman"/>
          <w:sz w:val="30"/>
          <w:szCs w:val="30"/>
          <w:highlight w:val="none"/>
          <w:lang w:val="en-US" w:eastAsia="zh-CN"/>
        </w:rPr>
        <w:t>起，调处化解</w:t>
      </w:r>
      <w:r>
        <w:rPr>
          <w:rFonts w:hint="eastAsia" w:ascii="仿宋_GB2312" w:hAnsi="Times New Roman" w:eastAsia="仿宋_GB2312" w:cs="Times New Roman"/>
          <w:sz w:val="30"/>
          <w:szCs w:val="30"/>
          <w:highlight w:val="none"/>
          <w:lang w:val="en-US" w:eastAsia="zh-CN"/>
        </w:rPr>
        <w:t>69</w:t>
      </w:r>
      <w:r>
        <w:rPr>
          <w:rFonts w:hint="default" w:ascii="仿宋_GB2312" w:hAnsi="Times New Roman" w:eastAsia="仿宋_GB2312" w:cs="Times New Roman"/>
          <w:sz w:val="30"/>
          <w:szCs w:val="30"/>
          <w:highlight w:val="none"/>
          <w:lang w:val="en-US" w:eastAsia="zh-CN"/>
        </w:rPr>
        <w:t>起，调处率</w:t>
      </w:r>
      <w:r>
        <w:rPr>
          <w:rFonts w:hint="eastAsia" w:ascii="仿宋_GB2312" w:hAnsi="Times New Roman" w:eastAsia="仿宋_GB2312" w:cs="Times New Roman"/>
          <w:sz w:val="30"/>
          <w:szCs w:val="30"/>
          <w:highlight w:val="none"/>
          <w:lang w:val="en-US" w:eastAsia="zh-CN"/>
        </w:rPr>
        <w:t>100</w:t>
      </w:r>
      <w:r>
        <w:rPr>
          <w:rFonts w:hint="default"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，成功率90.79%</w:t>
      </w:r>
      <w:r>
        <w:rPr>
          <w:rFonts w:hint="default" w:ascii="仿宋_GB2312" w:hAnsi="Times New Roman" w:eastAsia="仿宋_GB2312" w:cs="Times New Roman"/>
          <w:sz w:val="30"/>
          <w:szCs w:val="30"/>
          <w:highlight w:val="none"/>
          <w:lang w:val="en-US" w:eastAsia="zh-CN"/>
        </w:rPr>
        <w:t>。</w:t>
      </w:r>
      <w:r>
        <w:rPr>
          <w:rFonts w:hint="eastAsia" w:ascii="仿宋_GB2312" w:hAnsi="Times New Roman" w:eastAsia="仿宋_GB2312" w:cs="Times New Roman"/>
          <w:sz w:val="30"/>
          <w:szCs w:val="30"/>
          <w:highlight w:val="none"/>
          <w:lang w:val="en-US" w:eastAsia="zh-CN"/>
        </w:rPr>
        <w:t>全面推进信访工作法制化，接待群众来信来访36</w:t>
      </w:r>
      <w:r>
        <w:rPr>
          <w:rFonts w:hint="default" w:ascii="仿宋_GB2312" w:hAnsi="Times New Roman" w:eastAsia="仿宋_GB2312" w:cs="Times New Roman"/>
          <w:sz w:val="30"/>
          <w:szCs w:val="30"/>
          <w:highlight w:val="none"/>
          <w:lang w:val="en-US" w:eastAsia="zh-CN"/>
        </w:rPr>
        <w:t>件，</w:t>
      </w:r>
      <w:r>
        <w:rPr>
          <w:rFonts w:hint="eastAsia" w:ascii="仿宋_GB2312" w:hAnsi="Times New Roman" w:eastAsia="仿宋_GB2312" w:cs="Times New Roman"/>
          <w:sz w:val="30"/>
          <w:szCs w:val="30"/>
          <w:highlight w:val="none"/>
          <w:lang w:val="en-US" w:eastAsia="zh-CN"/>
        </w:rPr>
        <w:t>办结率100%</w:t>
      </w:r>
      <w:r>
        <w:rPr>
          <w:rFonts w:hint="default" w:ascii="仿宋_GB2312" w:hAnsi="Times New Roman" w:eastAsia="仿宋_GB2312" w:cs="Times New Roman"/>
          <w:sz w:val="30"/>
          <w:szCs w:val="30"/>
          <w:highlight w:val="none"/>
          <w:lang w:val="en-US" w:eastAsia="zh-CN"/>
        </w:rPr>
        <w:t>。办结人大代表议案、建议21件，政协提案3件，满意率</w:t>
      </w:r>
      <w:r>
        <w:rPr>
          <w:rFonts w:hint="eastAsia" w:ascii="仿宋_GB2312" w:hAnsi="Times New Roman" w:eastAsia="仿宋_GB2312" w:cs="Times New Roman"/>
          <w:sz w:val="30"/>
          <w:szCs w:val="30"/>
          <w:highlight w:val="none"/>
          <w:lang w:val="en-US" w:eastAsia="zh-CN"/>
        </w:rPr>
        <w:t>均达</w:t>
      </w:r>
      <w:r>
        <w:rPr>
          <w:rFonts w:hint="default" w:ascii="仿宋_GB2312" w:hAnsi="Times New Roman" w:eastAsia="仿宋_GB2312" w:cs="Times New Roman"/>
          <w:sz w:val="30"/>
          <w:szCs w:val="30"/>
          <w:highlight w:val="none"/>
          <w:lang w:val="en-US" w:eastAsia="zh-CN"/>
        </w:rPr>
        <w:t>100%。</w:t>
      </w:r>
      <w:r>
        <w:rPr>
          <w:rFonts w:hint="eastAsia" w:ascii="仿宋_GB2312" w:eastAsia="仿宋_GB2312" w:cs="Times New Roman"/>
          <w:sz w:val="30"/>
          <w:szCs w:val="30"/>
          <w:highlight w:val="none"/>
          <w:lang w:val="en-US" w:eastAsia="zh-CN"/>
        </w:rPr>
        <w:t xml:space="preserve"> </w:t>
      </w:r>
    </w:p>
    <w:p w14:paraId="39BC060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07893027">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35F2E0C5">
      <w:pPr>
        <w:ind w:firstLine="600" w:firstLineChars="200"/>
        <w:jc w:val="left"/>
        <w:outlineLvl w:val="0"/>
        <w:rPr>
          <w:rFonts w:hint="eastAsia" w:ascii="仿宋_GB2312" w:eastAsia="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lang w:val="en-US" w:eastAsia="zh-CN"/>
        </w:rPr>
        <w:t>易门县绿汁镇人民政府2024年度无国有资本经营预算财政拨款收入和支出，因此《国有资本经营预算财政拨款收入支出决算表（公开09表）》为空表。</w:t>
      </w:r>
    </w:p>
    <w:p w14:paraId="51E85EE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9188532">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0D2456A8">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易门县绿汁镇人民政府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15538631.66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15424541.66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99.27</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114090.00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0.73</w:t>
      </w:r>
      <w:r>
        <w:rPr>
          <w:rFonts w:hint="eastAsia" w:ascii="仿宋_GB2312" w:eastAsia="仿宋_GB2312"/>
          <w:sz w:val="30"/>
          <w:szCs w:val="30"/>
          <w:highlight w:val="none"/>
        </w:rPr>
        <w:t>%。</w:t>
      </w:r>
    </w:p>
    <w:p w14:paraId="088B27E5">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5E3BFADE">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易门县绿汁镇人民政府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15526433.09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4207019.06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27.10</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11319414.03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72.90</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7E858C9F">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16916C1">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易门县绿汁镇人民政府</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4207019.06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3726429.71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88.58</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480589.35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11.42</w:t>
      </w:r>
      <w:r>
        <w:rPr>
          <w:rFonts w:hint="eastAsia" w:ascii="仿宋_GB2312" w:hAnsi="仿宋_GB2312" w:eastAsia="仿宋_GB2312" w:cs="仿宋_GB2312"/>
          <w:sz w:val="30"/>
          <w:szCs w:val="30"/>
          <w:highlight w:val="none"/>
        </w:rPr>
        <w:t>％。</w:t>
      </w:r>
    </w:p>
    <w:p w14:paraId="448ADE31">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08F2E73F">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b/>
          <w:bCs/>
          <w:color w:val="FF000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易门县绿汁镇人民政府</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11319414.03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p>
    <w:p w14:paraId="2AB48C20">
      <w:pPr>
        <w:widowControl/>
        <w:snapToGrid w:val="0"/>
        <w:spacing w:before="100" w:after="100" w:line="600" w:lineRule="exact"/>
        <w:ind w:firstLine="600" w:firstLineChars="200"/>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人大常委会办公室2023年人大代表活动经费项目经费10936.00元；人大代表意见建议办理项目经费80000.00元；绿汁镇业务经费、维稳经费81065.00元；绿汁镇发展专项资金223865.43元；第五次全国经济普查工作项目经费29738.25元；国家工业遗产项目集镇“梳头洗脸”工作项目经费1036865.37元；国家工业遗产易门铜矿保护活化利用宣传工作项目经费20000.00元；易门县人民武装部特定项目经费20000.00元；2024年28号特定项目资金项目经费50000.00元；2024年易门县绿汁镇国家工业遗产项目集镇“梳头洗脸”工作项目经费40000.00元；易门县退休人员社会化管理服务及领取社保待過资格认证工作项目经费23552.00元；省对下人力资源社会保障就业见习生活项目经费5000.00元；机关事业单位遗属生活补助资金25374.00元；2024年“八一”建军节农村优抚对象座谈会活动经费26120.00元；2024年烤烟生产工作资金19999.98元；玉财农2021年174号多规合一实用性村庄规划编制市级补助经费100000.00元；玉财环资2023年133号2022年年度城乡绿化美化标杆典型省级财政直接奖补资金1949660.00元；玉财环资2023年133号2022年年度城乡绿化美化标杆典型省级财政直接奖补资金1949660.00元；绿汁镇2024年一队一站建设补助资金163000.00元；2022年93号2020年行政村公厕改建设项目资金10000.00元；玉财环资〔2023〕7号2023年中央财政林业改革发展资金20000；易财字2024年1号绿汁镇2024年森林防火工作经费70000.00元；玉财环资2020年107号第五批森林植被恢复资金7700.00元；易财农2024年10号2024年中央财政衔接推进乡村振兴补助资金1700000.00元；玉财农改2018年21号2018年农村综合改革项目资金174500.00元；对村民委员会和村党支部的补助4553058；城乡社区岗位人员补助资金44296.00元；易门县第二批及追加2023年烤烟收购秩序维护工作经费540000.00元；国家工业遗产“易门铜矿”保护利用绿汁片区地热水勘察项目补助经费360000.00元；玉溪市2024年省级防汛应急救灾资金80000.00元；用于社会福利的彩票公益金支出5710.00元；用于其他社会公益事业的彩票公益金支出20000.00元；其他预算项目工作经费的支出11426.52.00元。</w:t>
      </w:r>
    </w:p>
    <w:p w14:paraId="49B79D89">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6D8E73A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1351638C">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易门县绿汁镇人民政府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15278831.68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98.41</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137.63</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09F644AB">
      <w:pPr>
        <w:widowControl/>
        <w:snapToGrid w:val="0"/>
        <w:spacing w:before="100" w:after="100" w:line="600" w:lineRule="exact"/>
        <w:ind w:firstLine="600" w:firstLineChars="200"/>
        <w:jc w:val="left"/>
        <w:outlineLvl w:val="2"/>
        <w:rPr>
          <w:rFonts w:hint="eastAsia" w:ascii="楷体" w:hAnsi="楷体" w:eastAsia="楷体"/>
          <w:b/>
          <w:bCs/>
          <w:color w:val="FF0000"/>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p>
    <w:p w14:paraId="7D87DE4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4664145.84</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30.53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113.98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ascii="仿宋_GB2312" w:hAnsi="仿宋_GB2312" w:eastAsia="仿宋_GB2312" w:cs="仿宋_GB2312"/>
          <w:sz w:val="30"/>
          <w:szCs w:val="30"/>
        </w:rPr>
        <w:t>主要用于工资、补贴等人员经费及办公、会议、培训等办公经费开支</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造成预决算差异的主要原因是新聘用人员增加，导致工资等支出增加。</w:t>
      </w:r>
    </w:p>
    <w:p w14:paraId="00F78964">
      <w:pPr>
        <w:pStyle w:val="11"/>
        <w:spacing w:before="0" w:after="200" w:line="560" w:lineRule="atLeast"/>
        <w:ind w:left="0" w:right="0" w:firstLine="600"/>
        <w:jc w:val="both"/>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2.国防（类）支出</w:t>
      </w:r>
      <w:r>
        <w:rPr>
          <w:rFonts w:hint="eastAsia" w:ascii="仿宋_GB2312" w:hAnsi="仿宋_GB2312" w:eastAsia="仿宋_GB2312" w:cs="仿宋_GB2312"/>
          <w:color w:val="auto"/>
          <w:kern w:val="0"/>
          <w:sz w:val="30"/>
          <w:lang w:val="zh-CN"/>
        </w:rPr>
        <w:t>20000.00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0.13</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sz w:val="30"/>
          <w:szCs w:val="30"/>
          <w:highlight w:val="none"/>
        </w:rPr>
        <w:t>。</w:t>
      </w:r>
      <w:r>
        <w:rPr>
          <w:rFonts w:ascii="仿宋_GB2312" w:hAnsi="仿宋_GB2312" w:eastAsia="仿宋_GB2312" w:cs="仿宋_GB2312"/>
          <w:sz w:val="30"/>
          <w:szCs w:val="30"/>
        </w:rPr>
        <w:t>主要用于维护社会和谐稳定、平安云南建设工作等开支；</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预算项目拨款减少</w:t>
      </w:r>
      <w:r>
        <w:rPr>
          <w:rFonts w:hint="eastAsia" w:ascii="仿宋_GB2312" w:hAnsi="宋体" w:eastAsia="仿宋_GB2312" w:cs="Arial"/>
          <w:kern w:val="0"/>
          <w:sz w:val="30"/>
          <w:szCs w:val="30"/>
          <w:highlight w:val="none"/>
          <w:lang w:eastAsia="zh-CN"/>
        </w:rPr>
        <w:t>。</w:t>
      </w:r>
    </w:p>
    <w:p w14:paraId="3AABBFF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3</w:t>
      </w:r>
      <w:r>
        <w:rPr>
          <w:rFonts w:hint="eastAsia" w:ascii="仿宋_GB2312" w:hAnsi="宋体" w:eastAsia="仿宋_GB2312" w:cs="Arial"/>
          <w:kern w:val="0"/>
          <w:sz w:val="30"/>
          <w:szCs w:val="30"/>
          <w:highlight w:val="none"/>
        </w:rPr>
        <w:t>.公共安全（类）支出</w:t>
      </w:r>
      <w:r>
        <w:rPr>
          <w:rFonts w:hint="eastAsia" w:ascii="仿宋_GB2312" w:hAnsi="仿宋_GB2312" w:eastAsia="仿宋_GB2312" w:cs="仿宋_GB2312"/>
          <w:color w:val="auto"/>
          <w:kern w:val="0"/>
          <w:sz w:val="30"/>
          <w:lang w:val="zh-CN"/>
        </w:rPr>
        <w:t>50000.00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0.33</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eastAsia="zh-CN"/>
        </w:rPr>
        <w:t>执法办案与监管业务、普法宣传与公众安全教育等开支。</w:t>
      </w:r>
    </w:p>
    <w:p w14:paraId="27A5F504">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4</w:t>
      </w:r>
      <w:r>
        <w:rPr>
          <w:rFonts w:hint="eastAsia" w:ascii="仿宋_GB2312" w:hAnsi="仿宋_GB2312" w:eastAsia="仿宋_GB2312" w:cs="仿宋_GB2312"/>
          <w:color w:val="auto"/>
          <w:kern w:val="0"/>
          <w:sz w:val="30"/>
          <w:lang w:val="en-US"/>
        </w:rPr>
        <w:t>.文化旅游体育与传媒（类）支出</w:t>
      </w:r>
      <w:r>
        <w:rPr>
          <w:rFonts w:hint="eastAsia" w:ascii="仿宋_GB2312" w:hAnsi="仿宋_GB2312" w:eastAsia="仿宋_GB2312" w:cs="仿宋_GB2312"/>
          <w:color w:val="auto"/>
          <w:kern w:val="0"/>
          <w:sz w:val="30"/>
          <w:lang w:val="en-US" w:eastAsia="zh-CN"/>
        </w:rPr>
        <w:t>40000.00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0.26</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ascii="仿宋_GB2312" w:hAnsi="仿宋_GB2312" w:eastAsia="仿宋_GB2312" w:cs="仿宋_GB2312"/>
          <w:sz w:val="30"/>
          <w:szCs w:val="30"/>
        </w:rPr>
        <w:t>主要用于文化、其他文化体育与传媒支出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专项资金增加</w:t>
      </w:r>
      <w:r>
        <w:rPr>
          <w:rFonts w:hint="eastAsia" w:ascii="仿宋_GB2312" w:hAnsi="宋体" w:eastAsia="仿宋_GB2312" w:cs="Arial"/>
          <w:kern w:val="0"/>
          <w:sz w:val="30"/>
          <w:szCs w:val="30"/>
          <w:highlight w:val="none"/>
          <w:lang w:eastAsia="zh-CN"/>
        </w:rPr>
        <w:t>。</w:t>
      </w:r>
    </w:p>
    <w:p w14:paraId="4E931D33">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5</w:t>
      </w:r>
      <w:r>
        <w:rPr>
          <w:rFonts w:hint="eastAsia" w:ascii="仿宋_GB2312" w:hAnsi="仿宋_GB2312" w:eastAsia="仿宋_GB2312" w:cs="仿宋_GB2312"/>
          <w:color w:val="auto"/>
          <w:kern w:val="0"/>
          <w:sz w:val="30"/>
          <w:lang w:val="en-US"/>
        </w:rPr>
        <w:t>.社会保障和就业（类）支出</w:t>
      </w:r>
      <w:r>
        <w:rPr>
          <w:rFonts w:hint="eastAsia" w:ascii="仿宋_GB2312" w:hAnsi="仿宋_GB2312" w:eastAsia="仿宋_GB2312" w:cs="仿宋_GB2312"/>
          <w:color w:val="auto"/>
          <w:kern w:val="0"/>
          <w:sz w:val="30"/>
          <w:lang w:val="en-US" w:eastAsia="zh-CN"/>
        </w:rPr>
        <w:t>430506.80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2.82</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107.38</w:t>
      </w:r>
      <w:r>
        <w:rPr>
          <w:rFonts w:hint="eastAsia" w:ascii="仿宋_GB2312" w:eastAsia="仿宋_GB2312"/>
          <w:sz w:val="30"/>
          <w:szCs w:val="30"/>
          <w:highlight w:val="none"/>
          <w:lang w:val="en-US" w:eastAsia="zh-CN"/>
        </w:rPr>
        <w:t>%。</w:t>
      </w:r>
      <w:r>
        <w:rPr>
          <w:rFonts w:ascii="仿宋_GB2312" w:hAnsi="仿宋_GB2312" w:eastAsia="仿宋_GB2312" w:cs="仿宋_GB2312"/>
          <w:sz w:val="30"/>
          <w:szCs w:val="30"/>
        </w:rPr>
        <w:t>主要用于人力资源和社会保障事务、民政管理事务、行政单位离退休、社会福利等支出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新聘人员增加</w:t>
      </w:r>
      <w:r>
        <w:rPr>
          <w:rFonts w:hint="eastAsia" w:ascii="仿宋_GB2312" w:hAnsi="宋体" w:eastAsia="仿宋_GB2312" w:cs="Arial"/>
          <w:kern w:val="0"/>
          <w:sz w:val="30"/>
          <w:szCs w:val="30"/>
          <w:highlight w:val="none"/>
          <w:lang w:eastAsia="zh-CN"/>
        </w:rPr>
        <w:t>。</w:t>
      </w:r>
    </w:p>
    <w:p w14:paraId="231FA38A">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6</w:t>
      </w:r>
      <w:r>
        <w:rPr>
          <w:rFonts w:hint="eastAsia" w:ascii="仿宋_GB2312" w:hAnsi="仿宋_GB2312" w:eastAsia="仿宋_GB2312" w:cs="仿宋_GB2312"/>
          <w:color w:val="auto"/>
          <w:kern w:val="0"/>
          <w:sz w:val="30"/>
          <w:lang w:val="en-US"/>
        </w:rPr>
        <w:t>.卫生健康（类）支出</w:t>
      </w:r>
      <w:r>
        <w:rPr>
          <w:rFonts w:hint="eastAsia" w:ascii="仿宋_GB2312" w:hAnsi="仿宋_GB2312" w:eastAsia="仿宋_GB2312" w:cs="仿宋_GB2312"/>
          <w:color w:val="auto"/>
          <w:kern w:val="0"/>
          <w:sz w:val="30"/>
          <w:lang w:val="zh-CN"/>
        </w:rPr>
        <w:t>273812.04</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1.79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88.74</w:t>
      </w:r>
      <w:r>
        <w:rPr>
          <w:rFonts w:hint="eastAsia" w:ascii="仿宋_GB2312" w:eastAsia="仿宋_GB2312"/>
          <w:sz w:val="30"/>
          <w:szCs w:val="30"/>
          <w:highlight w:val="none"/>
          <w:lang w:val="en-US" w:eastAsia="zh-CN"/>
        </w:rPr>
        <w:t>%。</w:t>
      </w:r>
      <w:r>
        <w:rPr>
          <w:rFonts w:ascii="仿宋_GB2312" w:hAnsi="仿宋_GB2312" w:eastAsia="仿宋_GB2312" w:cs="仿宋_GB2312"/>
          <w:sz w:val="30"/>
          <w:szCs w:val="30"/>
        </w:rPr>
        <w:t>主要用于医疗保障、计划生育事务支出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预算资金未及时下拨</w:t>
      </w:r>
      <w:r>
        <w:rPr>
          <w:rFonts w:hint="eastAsia" w:ascii="仿宋_GB2312" w:hAnsi="宋体" w:eastAsia="仿宋_GB2312" w:cs="Arial"/>
          <w:kern w:val="0"/>
          <w:sz w:val="30"/>
          <w:szCs w:val="30"/>
          <w:highlight w:val="none"/>
          <w:lang w:eastAsia="zh-CN"/>
        </w:rPr>
        <w:t>。</w:t>
      </w:r>
    </w:p>
    <w:p w14:paraId="2AE2BA20">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7</w:t>
      </w:r>
      <w:r>
        <w:rPr>
          <w:rFonts w:hint="eastAsia" w:ascii="仿宋_GB2312" w:hAnsi="仿宋_GB2312" w:eastAsia="仿宋_GB2312" w:cs="仿宋_GB2312"/>
          <w:color w:val="auto"/>
          <w:kern w:val="0"/>
          <w:sz w:val="30"/>
          <w:lang w:val="en-US"/>
        </w:rPr>
        <w:t>.城乡社区（类）支出</w:t>
      </w:r>
      <w:r>
        <w:rPr>
          <w:rFonts w:hint="eastAsia" w:ascii="仿宋_GB2312" w:hAnsi="仿宋_GB2312" w:eastAsia="仿宋_GB2312" w:cs="仿宋_GB2312"/>
          <w:color w:val="auto"/>
          <w:kern w:val="0"/>
          <w:sz w:val="30"/>
          <w:lang w:val="zh-CN"/>
        </w:rPr>
        <w:t>1949660.00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12.76</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lang w:val="en-US" w:eastAsia="zh-CN"/>
        </w:rPr>
        <w:t>。</w:t>
      </w:r>
      <w:r>
        <w:rPr>
          <w:rFonts w:ascii="仿宋_GB2312" w:hAnsi="仿宋_GB2312" w:eastAsia="仿宋_GB2312" w:cs="仿宋_GB2312"/>
          <w:sz w:val="30"/>
          <w:szCs w:val="30"/>
        </w:rPr>
        <w:t>主要用于城乡社区规划与管理、城乡社区公共设施、城乡社区环境卫生支出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专项资金增加</w:t>
      </w:r>
      <w:r>
        <w:rPr>
          <w:rFonts w:hint="eastAsia" w:ascii="仿宋_GB2312" w:hAnsi="宋体" w:eastAsia="仿宋_GB2312" w:cs="Arial"/>
          <w:kern w:val="0"/>
          <w:sz w:val="30"/>
          <w:szCs w:val="30"/>
          <w:highlight w:val="none"/>
          <w:lang w:eastAsia="zh-CN"/>
        </w:rPr>
        <w:t>。</w:t>
      </w:r>
    </w:p>
    <w:p w14:paraId="0FFD2B12">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8</w:t>
      </w:r>
      <w:r>
        <w:rPr>
          <w:rFonts w:hint="eastAsia" w:ascii="仿宋_GB2312" w:hAnsi="仿宋_GB2312" w:eastAsia="仿宋_GB2312" w:cs="仿宋_GB2312"/>
          <w:color w:val="auto"/>
          <w:kern w:val="0"/>
          <w:sz w:val="30"/>
          <w:lang w:val="en-US"/>
        </w:rPr>
        <w:t>.农林水（类）支出</w:t>
      </w:r>
      <w:r>
        <w:rPr>
          <w:rFonts w:hint="eastAsia" w:ascii="仿宋_GB2312" w:hAnsi="仿宋_GB2312" w:eastAsia="仿宋_GB2312" w:cs="仿宋_GB2312"/>
          <w:color w:val="auto"/>
          <w:kern w:val="0"/>
          <w:sz w:val="30"/>
          <w:lang w:val="zh-CN"/>
        </w:rPr>
        <w:t>7152554.00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46.81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120.95</w:t>
      </w:r>
      <w:r>
        <w:rPr>
          <w:rFonts w:hint="eastAsia" w:ascii="仿宋_GB2312" w:eastAsia="仿宋_GB2312"/>
          <w:sz w:val="30"/>
          <w:szCs w:val="30"/>
          <w:highlight w:val="none"/>
          <w:lang w:val="en-US" w:eastAsia="zh-CN"/>
        </w:rPr>
        <w:t>%</w:t>
      </w:r>
      <w:r>
        <w:rPr>
          <w:rFonts w:hint="eastAsia" w:ascii="仿宋_GB2312" w:hAnsi="仿宋_GB2312" w:eastAsia="仿宋_GB2312" w:cs="仿宋_GB2312"/>
          <w:sz w:val="30"/>
          <w:szCs w:val="30"/>
          <w:lang w:eastAsia="zh-CN"/>
        </w:rPr>
        <w:t>。</w:t>
      </w:r>
      <w:r>
        <w:rPr>
          <w:rFonts w:ascii="仿宋_GB2312" w:hAnsi="仿宋_GB2312" w:eastAsia="仿宋_GB2312" w:cs="仿宋_GB2312"/>
          <w:sz w:val="30"/>
          <w:szCs w:val="30"/>
        </w:rPr>
        <w:t>用于农业、林业、水利、扶贫、农村综合改革、其他农林水支出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专项资金增加</w:t>
      </w:r>
      <w:r>
        <w:rPr>
          <w:rFonts w:hint="eastAsia" w:ascii="仿宋_GB2312" w:hAnsi="宋体" w:eastAsia="仿宋_GB2312" w:cs="Arial"/>
          <w:kern w:val="0"/>
          <w:sz w:val="30"/>
          <w:szCs w:val="30"/>
          <w:highlight w:val="none"/>
          <w:lang w:eastAsia="zh-CN"/>
        </w:rPr>
        <w:t>。</w:t>
      </w:r>
    </w:p>
    <w:p w14:paraId="0963B74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9</w:t>
      </w:r>
      <w:r>
        <w:rPr>
          <w:rFonts w:hint="eastAsia" w:ascii="仿宋_GB2312" w:hAnsi="仿宋_GB2312" w:eastAsia="仿宋_GB2312" w:cs="仿宋_GB2312"/>
          <w:color w:val="auto"/>
          <w:kern w:val="0"/>
          <w:sz w:val="30"/>
          <w:lang w:val="en-US"/>
        </w:rPr>
        <w:t>.自然资源海洋气象等（类）支出</w:t>
      </w:r>
      <w:r>
        <w:rPr>
          <w:rFonts w:hint="eastAsia" w:ascii="仿宋_GB2312" w:hAnsi="仿宋_GB2312" w:eastAsia="仿宋_GB2312" w:cs="仿宋_GB2312"/>
          <w:color w:val="auto"/>
          <w:kern w:val="0"/>
          <w:sz w:val="30"/>
          <w:lang w:val="zh-CN"/>
        </w:rPr>
        <w:t>360000.00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2.36</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w:t>
      </w:r>
      <w:r>
        <w:rPr>
          <w:rFonts w:hint="eastAsia" w:ascii="仿宋_GB2312" w:hAnsi="宋体" w:eastAsia="仿宋_GB2312" w:cs="Arial"/>
          <w:kern w:val="0"/>
          <w:sz w:val="30"/>
          <w:szCs w:val="30"/>
          <w:highlight w:val="none"/>
        </w:rPr>
        <w:t>于</w:t>
      </w:r>
      <w:r>
        <w:rPr>
          <w:rFonts w:hint="eastAsia" w:ascii="仿宋_GB2312" w:hAnsi="宋体" w:eastAsia="仿宋_GB2312" w:cs="Arial"/>
          <w:kern w:val="0"/>
          <w:sz w:val="30"/>
          <w:szCs w:val="30"/>
          <w:highlight w:val="none"/>
          <w:lang w:eastAsia="zh-CN"/>
        </w:rPr>
        <w:t>自然资源事务、海洋管理事务、气象事务等支出。</w:t>
      </w:r>
    </w:p>
    <w:p w14:paraId="72098273">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10</w:t>
      </w:r>
      <w:r>
        <w:rPr>
          <w:rFonts w:hint="eastAsia" w:ascii="仿宋_GB2312" w:hAnsi="仿宋_GB2312" w:eastAsia="仿宋_GB2312" w:cs="仿宋_GB2312"/>
          <w:color w:val="auto"/>
          <w:kern w:val="0"/>
          <w:sz w:val="30"/>
          <w:lang w:val="en-US"/>
        </w:rPr>
        <w:t>.住房保障（类）支出</w:t>
      </w:r>
      <w:r>
        <w:rPr>
          <w:rFonts w:hint="eastAsia" w:ascii="仿宋_GB2312" w:hAnsi="仿宋_GB2312" w:eastAsia="仿宋_GB2312" w:cs="仿宋_GB2312"/>
          <w:color w:val="auto"/>
          <w:kern w:val="0"/>
          <w:sz w:val="30"/>
          <w:lang w:val="zh-CN"/>
        </w:rPr>
        <w:t>258153.00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1.69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66.82</w:t>
      </w:r>
      <w:r>
        <w:rPr>
          <w:rFonts w:hint="eastAsia" w:ascii="仿宋_GB2312" w:eastAsia="仿宋_GB2312"/>
          <w:sz w:val="30"/>
          <w:szCs w:val="30"/>
          <w:highlight w:val="none"/>
          <w:lang w:val="en-US" w:eastAsia="zh-CN"/>
        </w:rPr>
        <w:t>%。</w:t>
      </w:r>
      <w:r>
        <w:rPr>
          <w:rFonts w:ascii="仿宋_GB2312" w:hAnsi="仿宋_GB2312" w:eastAsia="仿宋_GB2312" w:cs="仿宋_GB2312"/>
          <w:sz w:val="30"/>
          <w:szCs w:val="30"/>
        </w:rPr>
        <w:t>主要用于保障性安居工程、住房改革支出；</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eastAsia="zh-CN"/>
        </w:rPr>
        <w:t>预算资金未及时下拨</w:t>
      </w:r>
      <w:r>
        <w:rPr>
          <w:rFonts w:hint="eastAsia" w:ascii="仿宋_GB2312" w:hAnsi="宋体" w:eastAsia="仿宋_GB2312" w:cs="Arial"/>
          <w:kern w:val="0"/>
          <w:sz w:val="30"/>
          <w:szCs w:val="30"/>
          <w:highlight w:val="none"/>
          <w:lang w:eastAsia="zh-CN"/>
        </w:rPr>
        <w:t>。</w:t>
      </w:r>
    </w:p>
    <w:p w14:paraId="27C774CC">
      <w:pPr>
        <w:pStyle w:val="11"/>
        <w:spacing w:before="0" w:after="200" w:line="560" w:lineRule="atLeast"/>
        <w:ind w:left="0" w:right="0" w:firstLine="6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eastAsia="zh-CN"/>
        </w:rPr>
        <w:t>11.</w:t>
      </w:r>
      <w:r>
        <w:rPr>
          <w:rFonts w:hint="eastAsia" w:ascii="仿宋_GB2312" w:hAnsi="仿宋_GB2312" w:eastAsia="仿宋_GB2312" w:cs="仿宋_GB2312"/>
          <w:color w:val="auto"/>
          <w:kern w:val="0"/>
          <w:sz w:val="30"/>
          <w:lang w:val="en-US"/>
        </w:rPr>
        <w:t>灾害防治及应急管理（类）支出</w:t>
      </w:r>
      <w:r>
        <w:rPr>
          <w:rFonts w:hint="eastAsia" w:ascii="仿宋_GB2312" w:hAnsi="仿宋_GB2312" w:eastAsia="仿宋_GB2312" w:cs="仿宋_GB2312"/>
          <w:color w:val="auto"/>
          <w:kern w:val="0"/>
          <w:sz w:val="30"/>
          <w:lang w:val="zh-CN"/>
        </w:rPr>
        <w:t>80000.00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0.52</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主要</w:t>
      </w:r>
      <w:r>
        <w:rPr>
          <w:rFonts w:hint="eastAsia" w:ascii="仿宋_GB2312" w:hAnsi="宋体" w:eastAsia="仿宋_GB2312" w:cs="Arial"/>
          <w:kern w:val="0"/>
          <w:sz w:val="30"/>
          <w:szCs w:val="30"/>
          <w:highlight w:val="none"/>
          <w:lang w:eastAsia="zh-CN"/>
        </w:rPr>
        <w:t>用于</w:t>
      </w:r>
      <w:r>
        <w:rPr>
          <w:rFonts w:ascii="仿宋_GB2312" w:hAnsi="仿宋_GB2312" w:eastAsia="仿宋_GB2312" w:cs="仿宋_GB2312"/>
          <w:sz w:val="30"/>
          <w:szCs w:val="30"/>
        </w:rPr>
        <w:t>保障性安居工程、住房改革支出</w:t>
      </w:r>
      <w:r>
        <w:rPr>
          <w:rFonts w:hint="eastAsia" w:ascii="仿宋_GB2312" w:hAnsi="宋体" w:eastAsia="仿宋_GB2312" w:cs="Arial"/>
          <w:kern w:val="0"/>
          <w:sz w:val="30"/>
          <w:szCs w:val="30"/>
          <w:highlight w:val="none"/>
          <w:lang w:eastAsia="zh-CN"/>
        </w:rPr>
        <w:t>。</w:t>
      </w:r>
    </w:p>
    <w:p w14:paraId="321BE41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p>
    <w:p w14:paraId="0ACFE7A4">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66652E0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0C5FEF0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72360.00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76535.00</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105.77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p>
    <w:p w14:paraId="31119CC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color w:val="auto"/>
          <w:kern w:val="0"/>
          <w:sz w:val="30"/>
          <w:szCs w:val="30"/>
          <w:highlight w:val="none"/>
        </w:rPr>
        <w:t>；公务用车购置费支出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w:t>
      </w:r>
      <w:r>
        <w:rPr>
          <w:rFonts w:hint="eastAsia" w:ascii="仿宋_GB2312" w:hAnsi="宋体" w:eastAsia="仿宋_GB2312" w:cs="Arial"/>
          <w:color w:val="auto"/>
          <w:kern w:val="0"/>
          <w:sz w:val="30"/>
          <w:szCs w:val="30"/>
          <w:highlight w:val="none"/>
        </w:rPr>
        <w:t>；公务用车</w:t>
      </w:r>
      <w:r>
        <w:rPr>
          <w:rFonts w:hint="eastAsia" w:ascii="仿宋_GB2312" w:hAnsi="宋体" w:eastAsia="仿宋_GB2312" w:cs="Arial"/>
          <w:color w:val="auto"/>
          <w:kern w:val="0"/>
          <w:sz w:val="30"/>
          <w:szCs w:val="30"/>
          <w:highlight w:val="none"/>
          <w:lang w:eastAsia="zh-CN"/>
        </w:rPr>
        <w:t>运行维护</w:t>
      </w:r>
      <w:r>
        <w:rPr>
          <w:rFonts w:hint="eastAsia" w:ascii="仿宋_GB2312" w:hAnsi="宋体" w:eastAsia="仿宋_GB2312" w:cs="Arial"/>
          <w:color w:val="auto"/>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58200.00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55000.00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71.86</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94.50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14160.00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21535.00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28.14</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152.0</w:t>
      </w:r>
      <w:r>
        <w:rPr>
          <w:rFonts w:hint="eastAsia" w:ascii="仿宋_GB2312" w:hAnsi="仿宋_GB2312" w:eastAsia="仿宋_GB2312" w:cs="仿宋_GB2312"/>
          <w:color w:val="auto"/>
          <w:sz w:val="30"/>
          <w:lang w:val="zh-CN"/>
        </w:rPr>
        <w:t>8</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14:paraId="0709FB5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659E7F3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76535.00</w:t>
      </w:r>
      <w:r>
        <w:rPr>
          <w:rFonts w:hint="eastAsia" w:ascii="仿宋_GB2312" w:eastAsia="仿宋_GB2312"/>
          <w:sz w:val="30"/>
          <w:szCs w:val="30"/>
          <w:highlight w:val="none"/>
          <w:lang w:eastAsia="zh-CN"/>
        </w:rPr>
        <w:t>元</w:t>
      </w:r>
      <w:r>
        <w:rPr>
          <w:rFonts w:hint="eastAsia" w:ascii="仿宋_GB2312" w:hAnsi="宋体" w:eastAsia="仿宋_GB2312" w:cs="Arial"/>
          <w:kern w:val="0"/>
          <w:sz w:val="30"/>
          <w:szCs w:val="30"/>
          <w:highlight w:val="none"/>
          <w:lang w:eastAsia="zh-CN"/>
        </w:rPr>
        <w:t>。</w:t>
      </w:r>
    </w:p>
    <w:p w14:paraId="604EF532">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en-US" w:eastAsia="zh-CN"/>
        </w:rPr>
        <w:t>58200.00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55000.00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94.50</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en-US" w:eastAsia="zh-CN"/>
        </w:rPr>
        <w:t>14160.00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21535.00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152.08</w:t>
      </w:r>
      <w:r>
        <w:rPr>
          <w:rFonts w:hint="eastAsia" w:ascii="仿宋_GB2312" w:eastAsia="仿宋_GB2312"/>
          <w:sz w:val="30"/>
          <w:szCs w:val="30"/>
          <w:highlight w:val="none"/>
        </w:rPr>
        <w:t>%。</w:t>
      </w:r>
    </w:p>
    <w:p w14:paraId="72A711E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57700CE3">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人次。开展内容包括：具体出国开支及开展工作情况等……。</w:t>
      </w:r>
    </w:p>
    <w:p w14:paraId="1C82452F">
      <w:pPr>
        <w:widowControl/>
        <w:numPr>
          <w:ilvl w:val="0"/>
          <w:numId w:val="0"/>
        </w:numPr>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辆。具体购置车辆原因、情况等……。开支一般公共预算财政拨款的公务用车保有量为</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w:t>
      </w:r>
      <w:r>
        <w:rPr>
          <w:rFonts w:hint="eastAsia" w:ascii="仿宋_GB2312" w:hAnsi="仿宋_GB2312" w:eastAsia="仿宋_GB2312" w:cs="仿宋_GB2312"/>
          <w:b w:val="0"/>
          <w:bCs/>
          <w:sz w:val="30"/>
          <w:szCs w:val="30"/>
          <w:highlight w:val="none"/>
        </w:rPr>
        <w:t>主要用于相关工作范围所需车辆燃料费、维修费、过路过桥费、保险费等。</w:t>
      </w:r>
    </w:p>
    <w:p w14:paraId="72ACBE45">
      <w:pPr>
        <w:widowControl/>
        <w:snapToGrid w:val="0"/>
        <w:spacing w:before="100" w:after="100" w:line="360" w:lineRule="auto"/>
        <w:ind w:firstLine="600" w:firstLineChars="200"/>
        <w:jc w:val="left"/>
        <w:rPr>
          <w:rFonts w:hint="eastAsia" w:ascii="仿宋_GB2312" w:eastAsia="仿宋_GB2312"/>
          <w:b w:val="0"/>
          <w:bCs/>
          <w:color w:val="FF0000"/>
          <w:sz w:val="30"/>
          <w:szCs w:val="30"/>
          <w:highlight w:val="none"/>
          <w:lang w:eastAsia="zh-CN"/>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56.0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384.0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r>
        <w:rPr>
          <w:rFonts w:hint="eastAsia" w:ascii="仿宋_GB2312" w:hAnsi="仿宋_GB2312" w:eastAsia="仿宋_GB2312" w:cs="仿宋_GB2312"/>
          <w:sz w:val="30"/>
          <w:szCs w:val="30"/>
          <w:highlight w:val="none"/>
        </w:rPr>
        <w:t>主要用于</w:t>
      </w:r>
      <w:r>
        <w:rPr>
          <w:rFonts w:ascii="仿宋_GB2312" w:hAnsi="仿宋_GB2312" w:eastAsia="仿宋_GB2312" w:cs="仿宋_GB2312"/>
          <w:sz w:val="30"/>
          <w:szCs w:val="30"/>
        </w:rPr>
        <w:t>接待上级单位下乡调研考察检查工作、同级单位工作交流发生的接待支出</w:t>
      </w:r>
      <w:r>
        <w:rPr>
          <w:rFonts w:hint="eastAsia" w:ascii="仿宋_GB2312" w:hAnsi="仿宋_GB2312" w:eastAsia="仿宋_GB2312" w:cs="仿宋_GB2312"/>
          <w:sz w:val="30"/>
          <w:szCs w:val="30"/>
          <w:highlight w:val="none"/>
        </w:rPr>
        <w:t>。</w:t>
      </w:r>
      <w:r>
        <w:rPr>
          <w:rFonts w:hint="eastAsia" w:ascii="仿宋_GB2312" w:eastAsia="仿宋_GB2312"/>
          <w:sz w:val="30"/>
          <w:szCs w:val="30"/>
          <w:highlight w:val="none"/>
        </w:rPr>
        <w:t>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r>
        <w:rPr>
          <w:rFonts w:hint="eastAsia" w:ascii="仿宋_GB2312" w:eastAsia="仿宋_GB2312"/>
          <w:sz w:val="30"/>
          <w:szCs w:val="30"/>
          <w:highlight w:val="none"/>
          <w:lang w:eastAsia="zh-CN"/>
        </w:rPr>
        <w:t>。</w:t>
      </w:r>
    </w:p>
    <w:p w14:paraId="18B80166">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69B5DA4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02AC7C4F">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716FA3AE">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2B4C3400">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易门县绿汁镇人民政府</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480589.35</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p>
    <w:p w14:paraId="455B9FB9">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1AC3480A">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易门县绿汁镇人民政府</w:t>
      </w:r>
      <w:r>
        <w:rPr>
          <w:rFonts w:hint="eastAsia" w:ascii="仿宋_GB2312" w:hAnsi="仿宋_GB2312" w:eastAsia="仿宋_GB2312" w:cs="仿宋_GB2312"/>
          <w:sz w:val="30"/>
          <w:szCs w:val="30"/>
          <w:highlight w:val="none"/>
          <w:lang w:eastAsia="zh-CN"/>
        </w:rPr>
        <w:t>资产总额10,117,344.27元，其中，流动资产9,613,846.26元，固定资产503,497.01元（净值），无形资产</w:t>
      </w:r>
      <w:r>
        <w:rPr>
          <w:rFonts w:hint="eastAsia" w:ascii="仿宋_GB2312" w:hAnsi="仿宋_GB2312" w:eastAsia="仿宋_GB2312" w:cs="仿宋_GB2312"/>
          <w:sz w:val="30"/>
          <w:szCs w:val="30"/>
          <w:highlight w:val="none"/>
          <w:lang w:val="en-US" w:eastAsia="zh-CN"/>
        </w:rPr>
        <w:t>1</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w:t>
      </w:r>
      <w:r>
        <w:rPr>
          <w:rFonts w:hint="eastAsia" w:ascii="仿宋_GB2312" w:hAnsi="黑体" w:eastAsia="仿宋_GB2312" w:cs="方正小标宋简体"/>
          <w:color w:val="000000"/>
          <w:kern w:val="0"/>
          <w:sz w:val="30"/>
          <w:szCs w:val="30"/>
          <w:highlight w:val="none"/>
        </w:rPr>
        <w:t>。</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9B28729">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2F59C2B5">
            <w:pPr>
              <w:widowControl/>
              <w:jc w:val="left"/>
              <w:rPr>
                <w:rFonts w:ascii="宋体" w:hAnsi="宋体" w:cs="宋体"/>
                <w:color w:val="000000"/>
                <w:kern w:val="0"/>
                <w:sz w:val="17"/>
                <w:szCs w:val="17"/>
                <w:highlight w:val="none"/>
              </w:rPr>
            </w:pPr>
          </w:p>
        </w:tc>
      </w:tr>
      <w:tr w14:paraId="6B207A92">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6872D18">
            <w:pPr>
              <w:widowControl/>
              <w:jc w:val="left"/>
              <w:rPr>
                <w:rFonts w:ascii="宋体" w:hAnsi="宋体" w:cs="宋体"/>
                <w:color w:val="000000"/>
                <w:kern w:val="0"/>
                <w:sz w:val="17"/>
                <w:szCs w:val="17"/>
                <w:highlight w:val="none"/>
              </w:rPr>
            </w:pPr>
          </w:p>
        </w:tc>
      </w:tr>
      <w:tr w14:paraId="061730CD">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60D4495C">
            <w:pPr>
              <w:widowControl/>
              <w:jc w:val="left"/>
              <w:rPr>
                <w:rFonts w:ascii="宋体" w:hAnsi="宋体" w:cs="宋体"/>
                <w:color w:val="000000"/>
                <w:kern w:val="0"/>
                <w:sz w:val="17"/>
                <w:szCs w:val="17"/>
                <w:highlight w:val="none"/>
              </w:rPr>
            </w:pPr>
          </w:p>
        </w:tc>
      </w:tr>
      <w:tr w14:paraId="7A31D315">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5CE2F445">
            <w:pPr>
              <w:widowControl/>
              <w:jc w:val="left"/>
              <w:rPr>
                <w:rFonts w:ascii="宋体" w:hAnsi="宋体" w:cs="宋体"/>
                <w:color w:val="000000"/>
                <w:kern w:val="0"/>
                <w:sz w:val="17"/>
                <w:szCs w:val="17"/>
                <w:highlight w:val="none"/>
              </w:rPr>
            </w:pPr>
          </w:p>
        </w:tc>
      </w:tr>
      <w:tr w14:paraId="6F2BF30D">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3F605650">
            <w:pPr>
              <w:widowControl/>
              <w:jc w:val="left"/>
              <w:rPr>
                <w:rFonts w:ascii="宋体" w:hAnsi="宋体" w:cs="宋体"/>
                <w:color w:val="000000"/>
                <w:kern w:val="0"/>
                <w:sz w:val="17"/>
                <w:szCs w:val="17"/>
                <w:highlight w:val="none"/>
              </w:rPr>
            </w:pPr>
          </w:p>
        </w:tc>
      </w:tr>
      <w:tr w14:paraId="7F79EFD0">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68C1713B">
            <w:pPr>
              <w:widowControl/>
              <w:jc w:val="left"/>
              <w:rPr>
                <w:rFonts w:ascii="宋体" w:hAnsi="宋体" w:cs="宋体"/>
                <w:color w:val="000000"/>
                <w:kern w:val="0"/>
                <w:sz w:val="17"/>
                <w:szCs w:val="17"/>
                <w:highlight w:val="none"/>
              </w:rPr>
            </w:pPr>
          </w:p>
        </w:tc>
      </w:tr>
      <w:tr w14:paraId="7166786F">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50B79996">
            <w:pPr>
              <w:widowControl/>
              <w:jc w:val="left"/>
              <w:rPr>
                <w:rFonts w:ascii="宋体" w:hAnsi="宋体" w:cs="宋体"/>
                <w:color w:val="000000"/>
                <w:kern w:val="0"/>
                <w:sz w:val="17"/>
                <w:szCs w:val="17"/>
                <w:highlight w:val="none"/>
              </w:rPr>
            </w:pPr>
          </w:p>
        </w:tc>
      </w:tr>
      <w:tr w14:paraId="61FB103D">
        <w:tblPrEx>
          <w:tblCellMar>
            <w:top w:w="0" w:type="dxa"/>
            <w:left w:w="0" w:type="dxa"/>
            <w:bottom w:w="0" w:type="dxa"/>
            <w:right w:w="0" w:type="dxa"/>
          </w:tblCellMar>
        </w:tblPrEx>
        <w:trPr>
          <w:trHeight w:val="495" w:hRule="atLeast"/>
        </w:trPr>
        <w:tc>
          <w:tcPr>
            <w:tcW w:w="142" w:type="dxa"/>
            <w:noWrap w:val="0"/>
            <w:vAlign w:val="center"/>
          </w:tcPr>
          <w:p w14:paraId="6CBE64FA">
            <w:pPr>
              <w:widowControl/>
              <w:jc w:val="left"/>
              <w:rPr>
                <w:rFonts w:ascii="Times New Roman" w:hAnsi="Times New Roman" w:eastAsia="Times New Roman"/>
                <w:kern w:val="0"/>
                <w:sz w:val="20"/>
                <w:szCs w:val="20"/>
                <w:highlight w:val="none"/>
              </w:rPr>
            </w:pPr>
          </w:p>
        </w:tc>
      </w:tr>
    </w:tbl>
    <w:p w14:paraId="7D8331B7">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3AE73F63">
      <w:pPr>
        <w:ind w:firstLine="600" w:firstLineChars="200"/>
        <w:rPr>
          <w:rFonts w:hint="default" w:ascii="仿宋_GB2312" w:hAnsi="仿宋_GB2312" w:eastAsia="仿宋_GB2312" w:cs="仿宋_GB2312"/>
          <w:b/>
          <w:bCs/>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highlight w:val="none"/>
          <w:lang w:val="en-US" w:eastAsia="zh-CN"/>
        </w:rPr>
        <w:t>185407.69</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highlight w:val="none"/>
          <w:lang w:val="en-US" w:eastAsia="zh-CN"/>
        </w:rPr>
        <w:t>46310</w:t>
      </w:r>
      <w:r>
        <w:rPr>
          <w:rFonts w:hint="eastAsia" w:ascii="仿宋_GB2312" w:hAnsi="仿宋_GB2312" w:eastAsia="仿宋_GB2312" w:cs="仿宋_GB2312"/>
          <w:sz w:val="30"/>
          <w:szCs w:val="30"/>
          <w:highlight w:val="none"/>
          <w:lang w:val="en-US" w:eastAsia="zh-CN"/>
        </w:rPr>
        <w:t>元；政府采购服务支出14</w:t>
      </w:r>
      <w:r>
        <w:rPr>
          <w:rFonts w:hint="eastAsia" w:ascii="仿宋_GB2312" w:hAnsi="仿宋_GB2312" w:eastAsia="仿宋_GB2312" w:cs="仿宋_GB2312"/>
          <w:color w:val="auto"/>
          <w:sz w:val="30"/>
          <w:highlight w:val="none"/>
          <w:lang w:val="en-US" w:eastAsia="zh-CN"/>
        </w:rPr>
        <w:t>1797.69</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highlight w:val="none"/>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highlight w:val="none"/>
          <w:lang w:val="zh-CN"/>
        </w:rPr>
        <w:t>0.00</w:t>
      </w:r>
      <w:r>
        <w:rPr>
          <w:rFonts w:hint="eastAsia" w:ascii="仿宋_GB2312" w:hAnsi="仿宋_GB2312" w:eastAsia="仿宋_GB2312" w:cs="仿宋_GB2312"/>
          <w:sz w:val="30"/>
          <w:szCs w:val="30"/>
          <w:highlight w:val="none"/>
          <w:lang w:val="en-US" w:eastAsia="zh-CN"/>
        </w:rPr>
        <w:t>元。</w:t>
      </w:r>
    </w:p>
    <w:p w14:paraId="2049AA2C">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5721B4AF">
      <w:pPr>
        <w:widowControl/>
        <w:snapToGrid w:val="0"/>
        <w:spacing w:before="100" w:after="100" w:line="360" w:lineRule="auto"/>
        <w:ind w:firstLine="600"/>
        <w:jc w:val="left"/>
        <w:rPr>
          <w:rFonts w:hint="eastAsia" w:ascii="仿宋_GB2312" w:hAnsi="仿宋_GB2312" w:eastAsia="仿宋_GB2312" w:cs="仿宋_GB2312"/>
          <w:b/>
          <w:bCs/>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72559A8F">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CE92C60">
      <w:pPr>
        <w:pStyle w:val="11"/>
        <w:spacing w:before="0" w:after="200" w:line="560" w:lineRule="atLeast"/>
        <w:ind w:left="0" w:right="0" w:firstLine="600"/>
        <w:jc w:val="both"/>
        <w:rPr>
          <w:rFonts w:hint="eastAsia" w:ascii="宋体" w:hAnsi="宋体" w:eastAsia="仿宋_GB2312" w:cs="宋体"/>
          <w:lang w:eastAsia="zh-CN"/>
        </w:rPr>
      </w:pPr>
      <w:r>
        <w:rPr>
          <w:rFonts w:ascii="仿宋_GB2312" w:hAnsi="仿宋_GB2312" w:eastAsia="仿宋_GB2312" w:cs="仿宋_GB2312"/>
          <w:sz w:val="30"/>
          <w:szCs w:val="30"/>
        </w:rPr>
        <w:t>我单位本年无其他重要事项情况说明</w:t>
      </w:r>
      <w:r>
        <w:rPr>
          <w:rFonts w:hint="eastAsia" w:ascii="仿宋_GB2312" w:hAnsi="仿宋_GB2312" w:eastAsia="仿宋_GB2312" w:cs="仿宋_GB2312"/>
          <w:sz w:val="30"/>
          <w:szCs w:val="30"/>
          <w:lang w:eastAsia="zh-CN"/>
        </w:rPr>
        <w:t>。</w:t>
      </w:r>
    </w:p>
    <w:p w14:paraId="1BD126DC">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25611957">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069936E9">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43D4D6FE">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6E3F4FDE">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27532DF4">
      <w:pPr>
        <w:jc w:val="center"/>
        <w:outlineLvl w:val="0"/>
        <w:rPr>
          <w:rFonts w:hint="eastAsia" w:ascii="黑体" w:hAnsi="黑体" w:eastAsia="黑体" w:cs="方正小标宋简体"/>
          <w:b/>
          <w:bCs/>
          <w:color w:val="FF0000"/>
          <w:sz w:val="32"/>
          <w:szCs w:val="32"/>
          <w:highlight w:val="none"/>
          <w:lang w:eastAsia="zh-CN"/>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4B57D57">
      <w:pPr>
        <w:pStyle w:val="11"/>
        <w:spacing w:before="0" w:after="200" w:line="560" w:lineRule="atLeast"/>
        <w:ind w:left="0" w:right="0" w:firstLine="600"/>
        <w:jc w:val="both"/>
        <w:rPr>
          <w:rFonts w:ascii="宋体" w:hAnsi="宋体" w:eastAsia="宋体" w:cs="宋体"/>
          <w:sz w:val="30"/>
          <w:szCs w:val="30"/>
        </w:rPr>
      </w:pPr>
      <w:r>
        <w:rPr>
          <w:rFonts w:ascii="仿宋_GB2312" w:hAnsi="仿宋_GB2312" w:eastAsia="仿宋_GB2312" w:cs="仿宋_GB2312"/>
          <w:sz w:val="30"/>
          <w:szCs w:val="30"/>
        </w:rPr>
        <w:t>一般公共预算：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14:paraId="5DAE021C">
      <w:pPr>
        <w:pStyle w:val="11"/>
        <w:spacing w:before="0" w:after="200" w:line="560" w:lineRule="atLeast"/>
        <w:ind w:left="0" w:right="0" w:firstLine="600"/>
        <w:jc w:val="both"/>
        <w:rPr>
          <w:rFonts w:ascii="宋体" w:hAnsi="宋体" w:eastAsia="宋体" w:cs="宋体"/>
          <w:sz w:val="30"/>
          <w:szCs w:val="30"/>
        </w:rPr>
      </w:pPr>
      <w:r>
        <w:rPr>
          <w:rFonts w:ascii="仿宋_GB2312" w:hAns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986CB2D">
      <w:pPr>
        <w:pStyle w:val="11"/>
        <w:spacing w:before="0" w:after="200" w:line="560" w:lineRule="atLeast"/>
        <w:ind w:left="0" w:right="0" w:firstLine="600"/>
        <w:jc w:val="both"/>
        <w:rPr>
          <w:rFonts w:hint="eastAsia" w:ascii="仿宋_GB2312" w:hAnsi="黑体" w:eastAsia="仿宋_GB2312" w:cs="方正小标宋简体"/>
          <w:sz w:val="30"/>
          <w:szCs w:val="30"/>
          <w:highlight w:val="none"/>
          <w:lang w:eastAsia="zh-CN"/>
        </w:rPr>
      </w:pPr>
      <w:r>
        <w:rPr>
          <w:rFonts w:ascii="仿宋_GB2312" w:hAnsi="仿宋_GB2312" w:eastAsia="仿宋_GB2312" w:cs="仿宋_GB2312"/>
          <w:sz w:val="30"/>
          <w:szCs w:val="30"/>
        </w:rPr>
        <w:t>政府性基金预算：是对依照法律、行政法规的规定在一定期限内向特定对象征收、收取或者以其他方式筹集的资金，专项用于特定公共事业发展的收支预算。</w:t>
      </w:r>
    </w:p>
    <w:p w14:paraId="67EE833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bookmarkStart w:id="0" w:name="_GoBack"/>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E2EF73-04CC-4486-B5F4-B1ED99E71EE9}"/>
  </w:font>
  <w:font w:name="黑体">
    <w:panose1 w:val="02010609060101010101"/>
    <w:charset w:val="86"/>
    <w:family w:val="auto"/>
    <w:pitch w:val="default"/>
    <w:sig w:usb0="800002BF" w:usb1="38CF7CFA" w:usb2="00000016" w:usb3="00000000" w:csb0="00040001" w:csb1="00000000"/>
    <w:embedRegular r:id="rId2" w:fontKey="{02F21AB2-518C-43F4-97C2-D5C530DDC8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224E33E4-0999-41C5-993C-AE82530B46AE}"/>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embedRegular r:id="rId4" w:fontKey="{85400DAE-47AF-4131-8151-04617F009B74}"/>
  </w:font>
  <w:font w:name="楷体">
    <w:panose1 w:val="02010609060101010101"/>
    <w:charset w:val="86"/>
    <w:family w:val="modern"/>
    <w:pitch w:val="default"/>
    <w:sig w:usb0="800002BF" w:usb1="38CF7CFA" w:usb2="00000016" w:usb3="00000000" w:csb0="00040001" w:csb1="00000000"/>
    <w:embedRegular r:id="rId5" w:fontKey="{516DEF57-6A9B-4FD2-9CDE-89209B12C05F}"/>
  </w:font>
  <w:font w:name="方正仿宋_GBK">
    <w:panose1 w:val="02000000000000000000"/>
    <w:charset w:val="86"/>
    <w:family w:val="auto"/>
    <w:pitch w:val="default"/>
    <w:sig w:usb0="00000001" w:usb1="080E0000" w:usb2="00000000" w:usb3="00000000" w:csb0="00040000" w:csb1="00000000"/>
    <w:embedRegular r:id="rId6" w:fontKey="{408723D7-29F8-4D1F-B19E-013BF1CFD23F}"/>
  </w:font>
  <w:font w:name="楷体_GB2312">
    <w:altName w:val="楷体"/>
    <w:panose1 w:val="02010609030101010101"/>
    <w:charset w:val="86"/>
    <w:family w:val="auto"/>
    <w:pitch w:val="default"/>
    <w:sig w:usb0="00000000" w:usb1="00000000" w:usb2="00000000" w:usb3="00000000" w:csb0="00040000" w:csb1="00000000"/>
    <w:embedRegular r:id="rId7" w:fontKey="{047CFDB5-ECD0-44A5-B741-DB397C689A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7C8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5B7DFCA">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55B7DFCA">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71A6">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0377880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690C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3FB8"/>
    <w:rsid w:val="00F34C29"/>
    <w:rsid w:val="015E0632"/>
    <w:rsid w:val="01AB7368"/>
    <w:rsid w:val="01DF79C5"/>
    <w:rsid w:val="03016061"/>
    <w:rsid w:val="034F0B7A"/>
    <w:rsid w:val="03B7227C"/>
    <w:rsid w:val="04740E05"/>
    <w:rsid w:val="06E31D05"/>
    <w:rsid w:val="08624EAC"/>
    <w:rsid w:val="09023F99"/>
    <w:rsid w:val="093966C8"/>
    <w:rsid w:val="098B0432"/>
    <w:rsid w:val="0B8213C1"/>
    <w:rsid w:val="0BB97912"/>
    <w:rsid w:val="0DBF4B4E"/>
    <w:rsid w:val="106043C7"/>
    <w:rsid w:val="10817E99"/>
    <w:rsid w:val="10D32DF6"/>
    <w:rsid w:val="11360C84"/>
    <w:rsid w:val="11CB1987"/>
    <w:rsid w:val="12B409FA"/>
    <w:rsid w:val="13B660AC"/>
    <w:rsid w:val="144638D4"/>
    <w:rsid w:val="18506ACF"/>
    <w:rsid w:val="193E071D"/>
    <w:rsid w:val="1A89451A"/>
    <w:rsid w:val="1B744685"/>
    <w:rsid w:val="1B862808"/>
    <w:rsid w:val="1BFE6842"/>
    <w:rsid w:val="1DE5046B"/>
    <w:rsid w:val="1E2C58E8"/>
    <w:rsid w:val="1F274302"/>
    <w:rsid w:val="2059498F"/>
    <w:rsid w:val="21676C37"/>
    <w:rsid w:val="21F91F85"/>
    <w:rsid w:val="24BD373E"/>
    <w:rsid w:val="24FB7DC2"/>
    <w:rsid w:val="258E50DA"/>
    <w:rsid w:val="260158AC"/>
    <w:rsid w:val="26CA3C8D"/>
    <w:rsid w:val="27576948"/>
    <w:rsid w:val="282C4737"/>
    <w:rsid w:val="289A78F2"/>
    <w:rsid w:val="292B00E6"/>
    <w:rsid w:val="2B035C23"/>
    <w:rsid w:val="2CDF2599"/>
    <w:rsid w:val="2E156399"/>
    <w:rsid w:val="2E3D5A99"/>
    <w:rsid w:val="328E671A"/>
    <w:rsid w:val="32CF5169"/>
    <w:rsid w:val="33C4477D"/>
    <w:rsid w:val="397D4DF2"/>
    <w:rsid w:val="39C46EC5"/>
    <w:rsid w:val="3C335C3C"/>
    <w:rsid w:val="3D66234A"/>
    <w:rsid w:val="3D6A38DF"/>
    <w:rsid w:val="3DA05553"/>
    <w:rsid w:val="3DB334D8"/>
    <w:rsid w:val="3F7728BF"/>
    <w:rsid w:val="405E1634"/>
    <w:rsid w:val="40B03CFF"/>
    <w:rsid w:val="43635059"/>
    <w:rsid w:val="43A23DD3"/>
    <w:rsid w:val="43A318F9"/>
    <w:rsid w:val="44FF34A7"/>
    <w:rsid w:val="460D74FE"/>
    <w:rsid w:val="461B7E6D"/>
    <w:rsid w:val="480037BE"/>
    <w:rsid w:val="48B67D0B"/>
    <w:rsid w:val="4A225C6E"/>
    <w:rsid w:val="4A556883"/>
    <w:rsid w:val="4E3B5550"/>
    <w:rsid w:val="4E6C4A9C"/>
    <w:rsid w:val="4ECE3A54"/>
    <w:rsid w:val="4FA928FD"/>
    <w:rsid w:val="517D19C3"/>
    <w:rsid w:val="51CB2747"/>
    <w:rsid w:val="51F6353C"/>
    <w:rsid w:val="52224331"/>
    <w:rsid w:val="52C15887"/>
    <w:rsid w:val="53654E1D"/>
    <w:rsid w:val="540B7773"/>
    <w:rsid w:val="54BB2F47"/>
    <w:rsid w:val="55696358"/>
    <w:rsid w:val="557D644E"/>
    <w:rsid w:val="564D31A3"/>
    <w:rsid w:val="57BD5228"/>
    <w:rsid w:val="57D52571"/>
    <w:rsid w:val="582C415B"/>
    <w:rsid w:val="585B059D"/>
    <w:rsid w:val="586B4C84"/>
    <w:rsid w:val="58AE2DC2"/>
    <w:rsid w:val="5963595B"/>
    <w:rsid w:val="5A36306F"/>
    <w:rsid w:val="5B5828EC"/>
    <w:rsid w:val="5C064A59"/>
    <w:rsid w:val="5EEC01A1"/>
    <w:rsid w:val="5EF157B7"/>
    <w:rsid w:val="5F9379CC"/>
    <w:rsid w:val="60B66CB8"/>
    <w:rsid w:val="60CE4002"/>
    <w:rsid w:val="63612F0B"/>
    <w:rsid w:val="64CB3F5B"/>
    <w:rsid w:val="64DD0CB7"/>
    <w:rsid w:val="65956E9C"/>
    <w:rsid w:val="66A6332B"/>
    <w:rsid w:val="683D205B"/>
    <w:rsid w:val="68B24D52"/>
    <w:rsid w:val="69164798"/>
    <w:rsid w:val="69DF4B8A"/>
    <w:rsid w:val="6A0E34B9"/>
    <w:rsid w:val="6CE1330F"/>
    <w:rsid w:val="6D0E3FAE"/>
    <w:rsid w:val="6EEC30A3"/>
    <w:rsid w:val="71E573FD"/>
    <w:rsid w:val="71E73175"/>
    <w:rsid w:val="722F7E1B"/>
    <w:rsid w:val="723B1991"/>
    <w:rsid w:val="725620A9"/>
    <w:rsid w:val="726245AA"/>
    <w:rsid w:val="72776B1C"/>
    <w:rsid w:val="728A3B01"/>
    <w:rsid w:val="754602FA"/>
    <w:rsid w:val="7A556C0C"/>
    <w:rsid w:val="7DBA6C5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BodyText"/>
    <w:basedOn w:val="1"/>
    <w:qFormat/>
    <w:uiPriority w:val="0"/>
    <w:pPr>
      <w:jc w:val="left"/>
    </w:pPr>
    <w:rPr>
      <w:rFonts w:ascii="仿宋_GB2312" w:hAnsi="仿宋_GB2312" w:eastAsia="仿宋_GB2312" w:cs="仿宋_GB2312"/>
      <w:sz w:val="30"/>
      <w:szCs w:val="30"/>
    </w:rPr>
  </w:style>
  <w:style w:type="paragraph" w:customStyle="1" w:styleId="11">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64c0c3-1bac-4205-8139-9ea5635654b0}">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7666</Words>
  <Characters>8969</Characters>
  <Lines>0</Lines>
  <Paragraphs>0</Paragraphs>
  <TotalTime>3</TotalTime>
  <ScaleCrop>false</ScaleCrop>
  <LinksUpToDate>false</LinksUpToDate>
  <CharactersWithSpaces>8992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左瞳.Remnant</cp:lastModifiedBy>
  <cp:lastPrinted>2024-07-30T06:24:00Z</cp:lastPrinted>
  <dcterms:modified xsi:type="dcterms:W3CDTF">2025-09-26T01:57:47Z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AC26701BA18B48A9BB16E7F71D764032_13</vt:lpwstr>
  </property>
  <property fmtid="{D5CDD505-2E9C-101B-9397-08002B2CF9AE}" pid="4" name="KSOTemplateDocerSaveRecord">
    <vt:lpwstr>eyJoZGlkIjoiMjAyYWYwOTFiYzViMjg4NWI1MWU3NTdmMzdiOWYwNWYiLCJ1c2VySWQiOiIzNDcyMTMzOTIifQ==</vt:lpwstr>
  </property>
</Properties>
</file>