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易门县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年“三公”经费预算情况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易门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</w:rPr>
        <w:t>县</w:t>
      </w:r>
      <w:r>
        <w:rPr>
          <w:rFonts w:hint="eastAsia" w:eastAsia="方正仿宋_GBK" w:cs="Times New Roman"/>
          <w:spacing w:val="-4"/>
          <w:sz w:val="32"/>
          <w:szCs w:val="32"/>
          <w:highlight w:val="none"/>
          <w:lang w:eastAsia="zh-CN"/>
        </w:rPr>
        <w:t>202</w:t>
      </w:r>
      <w:r>
        <w:rPr>
          <w:rFonts w:hint="eastAsia" w:eastAsia="方正仿宋_GBK" w:cs="Times New Roman"/>
          <w:spacing w:val="-4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:lang w:eastAsia="zh-CN"/>
        </w:rPr>
        <w:t>“三公”经费预算安排情况如下：</w:t>
      </w:r>
    </w:p>
    <w:p>
      <w:pPr>
        <w:keepNext w:val="0"/>
        <w:keepLines w:val="0"/>
        <w:pageBreakBefore w:val="0"/>
        <w:widowControl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一是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易门县财政预算未安排因公出国（境）经费。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二是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年易门县财政预算安排的公务接待费为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142.64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与上年一致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三是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年易门县财政预算安排公务用车购置及运行维护费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433.06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与上年一致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。其中：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年安排公务用车购置费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144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与上年一致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安排公务车辆运行维护费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289.06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与上年一致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tbl>
      <w:tblPr>
        <w:tblStyle w:val="5"/>
        <w:tblW w:w="8368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1149"/>
        <w:gridCol w:w="1032"/>
        <w:gridCol w:w="1200"/>
        <w:gridCol w:w="13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_GBK" w:cs="Times New Roman"/>
                <w:b/>
                <w:bCs/>
                <w:kern w:val="0"/>
                <w:sz w:val="32"/>
                <w:szCs w:val="32"/>
                <w:lang w:eastAsia="zh-CN"/>
              </w:rPr>
              <w:t>202</w:t>
            </w:r>
            <w:r>
              <w:rPr>
                <w:rFonts w:hint="eastAsia" w:eastAsia="方正仿宋_GBK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年“三公”经费预算安排情况表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</w:rPr>
              <w:t>项   目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</w:rPr>
              <w:t>年预算数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eastAsia" w:eastAsia="方正仿宋_GBK" w:cs="Times New Roman"/>
                <w:b/>
                <w:bCs/>
                <w:kern w:val="0"/>
                <w:sz w:val="24"/>
                <w:lang w:eastAsia="zh-CN"/>
              </w:rPr>
              <w:t>202</w:t>
            </w:r>
            <w:r>
              <w:rPr>
                <w:rFonts w:hint="eastAsia" w:eastAsia="方正仿宋_GBK" w:cs="Times New Roman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</w:rPr>
              <w:t>年预算数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</w:rPr>
              <w:t>比上年增减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lang w:eastAsia="zh-CN"/>
              </w:rPr>
              <w:t>金额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575.7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575.7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   1、因公出国（境）费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   2、公务接待费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142.64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142.64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   3、公务用车费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433.06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433.06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其中：（1）公务用车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购置费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144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144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     （2）公务用车运行维护费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289.06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289.06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—</w:t>
            </w:r>
          </w:p>
        </w:tc>
      </w:tr>
    </w:tbl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D7876"/>
    <w:rsid w:val="03656EC7"/>
    <w:rsid w:val="05C53767"/>
    <w:rsid w:val="07A31C8D"/>
    <w:rsid w:val="07CE25D4"/>
    <w:rsid w:val="08B05B35"/>
    <w:rsid w:val="0BDB2881"/>
    <w:rsid w:val="12434EA7"/>
    <w:rsid w:val="13E84754"/>
    <w:rsid w:val="16593F64"/>
    <w:rsid w:val="1688697C"/>
    <w:rsid w:val="21FA7B1F"/>
    <w:rsid w:val="251A1329"/>
    <w:rsid w:val="2F1F3A37"/>
    <w:rsid w:val="32501854"/>
    <w:rsid w:val="35751026"/>
    <w:rsid w:val="399250E8"/>
    <w:rsid w:val="3C7D257E"/>
    <w:rsid w:val="40CA58D2"/>
    <w:rsid w:val="47CB68C6"/>
    <w:rsid w:val="4BBC27E0"/>
    <w:rsid w:val="4F94280A"/>
    <w:rsid w:val="4F9A03F8"/>
    <w:rsid w:val="511547A6"/>
    <w:rsid w:val="541111CE"/>
    <w:rsid w:val="57054544"/>
    <w:rsid w:val="57C06F6C"/>
    <w:rsid w:val="5A5C67F6"/>
    <w:rsid w:val="5F6E1089"/>
    <w:rsid w:val="63F77394"/>
    <w:rsid w:val="6F5274CD"/>
    <w:rsid w:val="77FD787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2021-02-09T03:03:00Z</dcterms:created>
  <dc:creator>Administrator</dc:creator>
  <cp:lastModifiedBy>Administrator</cp:lastModifiedBy>
  <dcterms:modified xsi:type="dcterms:W3CDTF">2026-02-27T06:28:20Z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