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snapToGrid/>
        <w:spacing w:before="0" w:after="0" w:line="240" w:lineRule="auto"/>
        <w:ind w:left="0" w:leftChars="0" w:right="0" w:righ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玉溪市</w:t>
      </w:r>
      <w:r>
        <w:rPr>
          <w:rFonts w:hint="eastAsia" w:ascii="方正小标宋_GBK" w:hAnsi="方正小标宋_GBK" w:eastAsia="方正小标宋_GBK" w:cs="方正小标宋_GBK"/>
          <w:sz w:val="44"/>
          <w:szCs w:val="44"/>
        </w:rPr>
        <w:t>国有产权</w:t>
      </w:r>
      <w:r>
        <w:rPr>
          <w:rFonts w:hint="eastAsia" w:ascii="方正小标宋_GBK" w:hAnsi="方正小标宋_GBK" w:eastAsia="方正小标宋_GBK" w:cs="方正小标宋_GBK"/>
          <w:sz w:val="44"/>
          <w:szCs w:val="44"/>
          <w:lang w:eastAsia="zh-CN"/>
        </w:rPr>
        <w:t>电子化交易竞价人</w:t>
      </w:r>
      <w:r>
        <w:rPr>
          <w:rFonts w:hint="eastAsia" w:ascii="方正小标宋_GBK" w:hAnsi="方正小标宋_GBK" w:eastAsia="方正小标宋_GBK" w:cs="方正小标宋_GBK"/>
          <w:sz w:val="44"/>
          <w:szCs w:val="44"/>
          <w:lang w:val="en-US" w:eastAsia="zh-CN"/>
        </w:rPr>
        <w:t>操作手册</w:t>
      </w:r>
    </w:p>
    <w:p>
      <w:pPr>
        <w:pStyle w:val="4"/>
        <w:keepNext w:val="0"/>
        <w:keepLines w:val="0"/>
        <w:pageBreakBefore w:val="0"/>
        <w:kinsoku/>
        <w:wordWrap/>
        <w:overflowPunct/>
        <w:topLinePunct w:val="0"/>
        <w:bidi w:val="0"/>
        <w:adjustRightInd/>
        <w:snapToGrid/>
        <w:spacing w:before="0" w:after="0"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lang w:val="en-US" w:eastAsia="zh-CN" w:bidi="zh-CN"/>
        </w:rPr>
      </w:pPr>
      <w:r>
        <w:rPr>
          <w:rFonts w:hint="eastAsia" w:ascii="方正仿宋_GBK" w:hAnsi="方正仿宋_GBK" w:eastAsia="方正仿宋_GBK" w:cs="方正仿宋_GBK"/>
          <w:sz w:val="32"/>
          <w:szCs w:val="32"/>
          <w:lang w:val="en-US" w:eastAsia="zh-CN" w:bidi="zh-CN"/>
        </w:rPr>
        <w:t>（建议使用最新谷歌浏览器正式版本）</w:t>
      </w:r>
    </w:p>
    <w:p>
      <w:pPr>
        <w:pStyle w:val="4"/>
        <w:keepNext w:val="0"/>
        <w:keepLines w:val="0"/>
        <w:pageBreakBefore w:val="0"/>
        <w:kinsoku/>
        <w:wordWrap/>
        <w:overflowPunct/>
        <w:topLinePunct w:val="0"/>
        <w:bidi w:val="0"/>
        <w:adjustRightInd/>
        <w:snapToGrid/>
        <w:spacing w:before="0" w:after="0" w:line="240" w:lineRule="auto"/>
        <w:ind w:left="0" w:leftChars="0" w:right="0" w:rightChars="0" w:firstLine="0" w:firstLineChars="0"/>
        <w:jc w:val="center"/>
        <w:textAlignment w:val="auto"/>
        <w:rPr>
          <w:rFonts w:hint="eastAsia" w:ascii="方正仿宋_GBK" w:hAnsi="方正仿宋_GBK" w:eastAsia="方正仿宋_GBK" w:cs="方正仿宋_GBK"/>
          <w:sz w:val="32"/>
          <w:szCs w:val="32"/>
          <w:lang w:val="en-US" w:eastAsia="zh-CN" w:bidi="zh-CN"/>
        </w:rPr>
      </w:pP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0" w:firstLineChars="0"/>
        <w:jc w:val="left"/>
        <w:textAlignment w:val="auto"/>
        <w:rPr>
          <w:rFonts w:hint="eastAsia" w:ascii="方正仿宋_GBK" w:hAnsi="方正仿宋_GBK" w:eastAsia="方正仿宋_GBK" w:cs="方正仿宋_GBK"/>
          <w:b/>
          <w:sz w:val="32"/>
          <w:szCs w:val="32"/>
          <w:lang w:val="zh-CN" w:eastAsia="zh-CN"/>
        </w:rPr>
      </w:pPr>
      <w:r>
        <w:rPr>
          <w:rFonts w:hint="eastAsia" w:ascii="方正仿宋_GBK" w:hAnsi="方正仿宋_GBK" w:eastAsia="方正仿宋_GBK" w:cs="方正仿宋_GBK"/>
          <w:b/>
          <w:sz w:val="32"/>
          <w:szCs w:val="32"/>
          <w:lang w:val="en-US" w:eastAsia="zh-CN"/>
        </w:rPr>
        <w:t>一、</w:t>
      </w:r>
      <w:r>
        <w:rPr>
          <w:rFonts w:hint="eastAsia" w:ascii="方正仿宋_GBK" w:hAnsi="方正仿宋_GBK" w:eastAsia="方正仿宋_GBK" w:cs="方正仿宋_GBK"/>
          <w:b/>
          <w:sz w:val="32"/>
          <w:szCs w:val="32"/>
          <w:lang w:val="en-US"/>
        </w:rPr>
        <w:t>CA 数字证书办理</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43" w:firstLineChars="200"/>
        <w:jc w:val="left"/>
        <w:textAlignment w:val="auto"/>
        <w:rPr>
          <w:rFonts w:hint="eastAsia" w:ascii="方正仿宋_GBK" w:hAnsi="方正仿宋_GBK" w:eastAsia="方正仿宋_GBK" w:cs="方正仿宋_GBK"/>
          <w:sz w:val="32"/>
          <w:szCs w:val="32"/>
          <w:lang w:val="en-US" w:eastAsia="zh-CN" w:bidi="zh-CN"/>
        </w:rPr>
      </w:pPr>
      <w:r>
        <w:rPr>
          <w:rFonts w:hint="eastAsia" w:ascii="方正仿宋_GBK" w:hAnsi="方正仿宋_GBK" w:eastAsia="方正仿宋_GBK" w:cs="方正仿宋_GBK"/>
          <w:b/>
          <w:sz w:val="32"/>
          <w:szCs w:val="32"/>
          <w:lang w:eastAsia="zh-CN"/>
        </w:rPr>
        <w:t>第一种方式：网上办理（长期</w:t>
      </w:r>
      <w:r>
        <w:rPr>
          <w:rFonts w:hint="eastAsia" w:ascii="方正仿宋_GBK" w:hAnsi="方正仿宋_GBK" w:eastAsia="方正仿宋_GBK" w:cs="方正仿宋_GBK"/>
          <w:b/>
          <w:sz w:val="32"/>
          <w:szCs w:val="32"/>
          <w:lang w:val="en-US" w:eastAsia="zh-CN"/>
        </w:rPr>
        <w:t>用户</w:t>
      </w:r>
      <w:r>
        <w:rPr>
          <w:rFonts w:hint="eastAsia" w:ascii="方正仿宋_GBK" w:hAnsi="方正仿宋_GBK" w:eastAsia="方正仿宋_GBK" w:cs="方正仿宋_GBK"/>
          <w:b/>
          <w:sz w:val="32"/>
          <w:szCs w:val="32"/>
          <w:lang w:eastAsia="zh-CN"/>
        </w:rPr>
        <w:t>建议选择此种方式）</w:t>
      </w:r>
    </w:p>
    <w:p>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b/>
          <w:sz w:val="32"/>
          <w:szCs w:val="32"/>
          <w:lang w:val="en-US" w:eastAsia="zh-CN"/>
        </w:rPr>
      </w:pPr>
      <w:r>
        <w:rPr>
          <w:rFonts w:hint="eastAsia" w:ascii="方正仿宋_GBK" w:hAnsi="方正仿宋_GBK" w:eastAsia="方正仿宋_GBK" w:cs="方正仿宋_GBK"/>
          <w:sz w:val="32"/>
          <w:szCs w:val="32"/>
          <w:lang w:val="en-US" w:eastAsia="zh-CN" w:bidi="zh-CN"/>
        </w:rPr>
        <w:t>竞价用</w:t>
      </w:r>
      <w:r>
        <w:rPr>
          <w:rFonts w:hint="eastAsia" w:ascii="方正仿宋_GBK" w:hAnsi="方正仿宋_GBK" w:eastAsia="方正仿宋_GBK" w:cs="方正仿宋_GBK"/>
          <w:sz w:val="32"/>
          <w:szCs w:val="32"/>
          <w:lang w:val="en-US" w:eastAsia="zh-CN"/>
        </w:rPr>
        <w:t>户</w:t>
      </w:r>
      <w:r>
        <w:rPr>
          <w:rFonts w:hint="eastAsia" w:ascii="方正仿宋_GBK" w:hAnsi="方正仿宋_GBK" w:eastAsia="方正仿宋_GBK" w:cs="方正仿宋_GBK"/>
          <w:sz w:val="32"/>
          <w:szCs w:val="32"/>
          <w:lang w:val="zh-CN" w:eastAsia="zh-CN"/>
        </w:rPr>
        <w:t>可在</w:t>
      </w:r>
      <w:r>
        <w:rPr>
          <w:rFonts w:hint="eastAsia" w:ascii="方正仿宋_GBK" w:hAnsi="方正仿宋_GBK" w:eastAsia="方正仿宋_GBK" w:cs="方正仿宋_GBK"/>
          <w:sz w:val="32"/>
          <w:szCs w:val="32"/>
          <w:lang w:val="en-US" w:eastAsia="zh-CN"/>
        </w:rPr>
        <w:t>玉溪市公共资源交易电子服务系统</w:t>
      </w:r>
      <w:r>
        <w:rPr>
          <w:rFonts w:hint="eastAsia" w:ascii="方正仿宋_GBK" w:hAnsi="方正仿宋_GBK" w:eastAsia="方正仿宋_GBK" w:cs="方正仿宋_GBK"/>
          <w:sz w:val="32"/>
          <w:szCs w:val="32"/>
          <w:lang w:val="en-US"/>
        </w:rPr>
        <w:t>全国公共资源交易平台(云南省·</w:t>
      </w:r>
      <w:r>
        <w:rPr>
          <w:rFonts w:hint="eastAsia" w:ascii="方正仿宋_GBK" w:hAnsi="方正仿宋_GBK" w:eastAsia="方正仿宋_GBK" w:cs="方正仿宋_GBK"/>
          <w:sz w:val="32"/>
          <w:szCs w:val="32"/>
          <w:lang w:val="en-US" w:eastAsia="zh-CN"/>
        </w:rPr>
        <w:t>玉溪市</w:t>
      </w:r>
      <w:r>
        <w:rPr>
          <w:rFonts w:hint="eastAsia" w:ascii="方正仿宋_GBK" w:hAnsi="方正仿宋_GBK" w:eastAsia="方正仿宋_GBK" w:cs="方正仿宋_GBK"/>
          <w:sz w:val="32"/>
          <w:szCs w:val="32"/>
          <w:lang w:val="en-US"/>
        </w:rPr>
        <w:t>)</w:t>
      </w:r>
      <w:r>
        <w:rPr>
          <w:rFonts w:hint="eastAsia" w:ascii="方正仿宋_GBK" w:hAnsi="方正仿宋_GBK" w:eastAsia="方正仿宋_GBK" w:cs="方正仿宋_GBK"/>
          <w:sz w:val="32"/>
          <w:szCs w:val="32"/>
          <w:lang w:val="zh-CN" w:eastAsia="zh-CN"/>
        </w:rPr>
        <w:t xml:space="preserve"> “</w:t>
      </w:r>
      <w:r>
        <w:rPr>
          <w:rFonts w:hint="eastAsia" w:ascii="方正仿宋_GBK" w:hAnsi="方正仿宋_GBK" w:eastAsia="方正仿宋_GBK" w:cs="方正仿宋_GBK"/>
          <w:sz w:val="32"/>
          <w:szCs w:val="32"/>
          <w:lang w:val="en-US" w:eastAsia="zh-CN"/>
        </w:rPr>
        <w:t>办事指南</w:t>
      </w:r>
      <w:r>
        <w:rPr>
          <w:rFonts w:hint="eastAsia" w:ascii="方正仿宋_GBK" w:hAnsi="方正仿宋_GBK" w:eastAsia="方正仿宋_GBK" w:cs="方正仿宋_GBK"/>
          <w:spacing w:val="-18"/>
          <w:sz w:val="32"/>
          <w:szCs w:val="32"/>
          <w:lang w:val="zh-CN" w:eastAsia="zh-CN" w:bidi="zh-CN"/>
        </w:rPr>
        <w:t>”栏</w:t>
      </w:r>
      <w:r>
        <w:rPr>
          <w:rFonts w:hint="eastAsia" w:ascii="方正仿宋_GBK" w:hAnsi="方正仿宋_GBK" w:eastAsia="方正仿宋_GBK" w:cs="方正仿宋_GBK"/>
          <w:spacing w:val="-10"/>
          <w:w w:val="95"/>
          <w:sz w:val="32"/>
          <w:szCs w:val="32"/>
          <w:lang w:val="zh-CN" w:eastAsia="zh-CN" w:bidi="zh-CN"/>
        </w:rPr>
        <w:t>目下“</w:t>
      </w:r>
      <w:r>
        <w:rPr>
          <w:rFonts w:hint="eastAsia" w:ascii="方正仿宋_GBK" w:hAnsi="方正仿宋_GBK" w:eastAsia="方正仿宋_GBK" w:cs="方正仿宋_GBK"/>
          <w:spacing w:val="-10"/>
          <w:w w:val="95"/>
          <w:sz w:val="32"/>
          <w:szCs w:val="32"/>
          <w:lang w:val="en-US" w:eastAsia="zh-CN" w:bidi="zh-CN"/>
        </w:rPr>
        <w:t>CA</w:t>
      </w:r>
      <w:r>
        <w:rPr>
          <w:rFonts w:hint="eastAsia" w:ascii="方正仿宋_GBK" w:hAnsi="方正仿宋_GBK" w:eastAsia="方正仿宋_GBK" w:cs="方正仿宋_GBK"/>
          <w:spacing w:val="-10"/>
          <w:w w:val="95"/>
          <w:sz w:val="32"/>
          <w:szCs w:val="32"/>
          <w:lang w:val="zh-CN" w:eastAsia="zh-CN" w:bidi="zh-CN"/>
        </w:rPr>
        <w:t>数字证书办理”中查看相关流程及注意事项，</w:t>
      </w:r>
      <w:r>
        <w:rPr>
          <w:rFonts w:hint="eastAsia" w:ascii="方正仿宋_GBK" w:hAnsi="方正仿宋_GBK" w:eastAsia="方正仿宋_GBK" w:cs="方正仿宋_GBK"/>
          <w:color w:val="FF0000"/>
          <w:sz w:val="32"/>
          <w:szCs w:val="32"/>
          <w:lang w:val="zh-CN" w:eastAsia="zh-CN" w:bidi="zh-CN"/>
        </w:rPr>
        <w:t>按照</w:t>
      </w:r>
      <w:r>
        <w:rPr>
          <w:rFonts w:hint="eastAsia" w:ascii="方正仿宋_GBK" w:hAnsi="方正仿宋_GBK" w:eastAsia="方正仿宋_GBK" w:cs="方正仿宋_GBK"/>
          <w:sz w:val="32"/>
          <w:szCs w:val="32"/>
          <w:lang w:val="en-US" w:eastAsia="zh-CN" w:bidi="zh-CN"/>
        </w:rPr>
        <w:t>《CA 数字证书办理流程》进行办理</w:t>
      </w:r>
      <w:r>
        <w:rPr>
          <w:rFonts w:hint="eastAsia" w:ascii="方正仿宋_GBK" w:hAnsi="方正仿宋_GBK" w:eastAsia="方正仿宋_GBK" w:cs="方正仿宋_GBK"/>
          <w:spacing w:val="-10"/>
          <w:w w:val="95"/>
          <w:sz w:val="32"/>
          <w:szCs w:val="32"/>
          <w:lang w:val="zh-CN" w:eastAsia="zh-CN" w:bidi="zh-CN"/>
        </w:rPr>
        <w:t xml:space="preserve">。如有疑问，请致 </w:t>
      </w:r>
      <w:r>
        <w:rPr>
          <w:rFonts w:hint="eastAsia" w:ascii="方正仿宋_GBK" w:hAnsi="方正仿宋_GBK" w:eastAsia="方正仿宋_GBK" w:cs="方正仿宋_GBK"/>
          <w:spacing w:val="-1"/>
          <w:sz w:val="32"/>
          <w:szCs w:val="32"/>
          <w:lang w:val="zh-CN" w:eastAsia="zh-CN" w:bidi="zh-CN"/>
        </w:rPr>
        <w:t>电：数字证书运维服务热线:</w:t>
      </w:r>
      <w:r>
        <w:rPr>
          <w:rFonts w:hint="eastAsia" w:ascii="方正仿宋_GBK" w:hAnsi="方正仿宋_GBK" w:eastAsia="方正仿宋_GBK" w:cs="方正仿宋_GBK"/>
          <w:spacing w:val="-1"/>
          <w:sz w:val="32"/>
          <w:szCs w:val="32"/>
          <w:lang w:val="en-US" w:eastAsia="zh-CN" w:bidi="zh-CN"/>
        </w:rPr>
        <w:t>4006727666</w:t>
      </w:r>
      <w:bookmarkStart w:id="0" w:name="_GoBack"/>
      <w:bookmarkEnd w:id="0"/>
      <w:r>
        <w:rPr>
          <w:rFonts w:hint="eastAsia" w:ascii="方正仿宋_GBK" w:hAnsi="方正仿宋_GBK" w:eastAsia="方正仿宋_GBK" w:cs="方正仿宋_GBK"/>
          <w:spacing w:val="4"/>
          <w:sz w:val="32"/>
          <w:szCs w:val="32"/>
          <w:lang w:val="zh-CN" w:eastAsia="zh-CN" w:bidi="zh-CN"/>
        </w:rPr>
        <w:t xml:space="preserve"> </w:t>
      </w:r>
      <w:r>
        <w:rPr>
          <w:rFonts w:hint="eastAsia" w:ascii="方正仿宋_GBK" w:hAnsi="方正仿宋_GBK" w:eastAsia="方正仿宋_GBK" w:cs="方正仿宋_GBK"/>
          <w:w w:val="99"/>
          <w:sz w:val="32"/>
          <w:szCs w:val="32"/>
          <w:lang w:val="zh-CN" w:eastAsia="zh-CN" w:bidi="zh-CN"/>
        </w:rPr>
        <w:t xml:space="preserve"> </w:t>
      </w:r>
      <w:r>
        <w:rPr>
          <w:rFonts w:hint="eastAsia" w:ascii="方正仿宋_GBK" w:hAnsi="方正仿宋_GBK" w:eastAsia="方正仿宋_GBK" w:cs="方正仿宋_GBK"/>
          <w:sz w:val="32"/>
          <w:szCs w:val="32"/>
          <w:lang w:val="zh-CN" w:eastAsia="zh-CN" w:bidi="zh-CN"/>
        </w:rPr>
        <w:t xml:space="preserve">24小时客服热线: 0871-65315589 </w:t>
      </w:r>
      <w:r>
        <w:rPr>
          <w:rFonts w:hint="eastAsia" w:ascii="方正仿宋_GBK" w:hAnsi="方正仿宋_GBK" w:eastAsia="方正仿宋_GBK" w:cs="方正仿宋_GBK"/>
          <w:color w:val="FF0000"/>
          <w:sz w:val="32"/>
          <w:szCs w:val="32"/>
          <w:lang w:val="en-US" w:eastAsia="zh-CN" w:bidi="zh-CN"/>
        </w:rPr>
        <w:t>邮箱986526500@qq.com</w:t>
      </w:r>
      <w:r>
        <w:rPr>
          <w:rFonts w:hint="eastAsia" w:ascii="方正仿宋_GBK" w:hAnsi="方正仿宋_GBK" w:eastAsia="方正仿宋_GBK" w:cs="方正仿宋_GBK"/>
          <w:sz w:val="32"/>
          <w:szCs w:val="32"/>
          <w:lang w:val="zh-CN" w:eastAsia="zh-CN" w:bidi="zh-CN"/>
        </w:rPr>
        <w:t>。</w:t>
      </w:r>
    </w:p>
    <w:p>
      <w:pPr>
        <w:keepNext w:val="0"/>
        <w:keepLines w:val="0"/>
        <w:pageBreakBefore w:val="0"/>
        <w:kinsoku/>
        <w:wordWrap/>
        <w:overflowPunct/>
        <w:topLinePunct w:val="0"/>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sz w:val="32"/>
          <w:szCs w:val="32"/>
          <w:lang w:val="en-US" w:eastAsia="zh-CN"/>
        </w:rPr>
      </w:pPr>
      <w:r>
        <w:rPr>
          <w:rFonts w:hint="eastAsia" w:ascii="方正仿宋_GBK" w:hAnsi="方正仿宋_GBK" w:eastAsia="方正仿宋_GBK" w:cs="方正仿宋_GBK"/>
          <w:b/>
          <w:sz w:val="32"/>
          <w:szCs w:val="32"/>
          <w:lang w:val="en-US" w:eastAsia="zh-CN"/>
        </w:rPr>
        <w:t>第二种</w:t>
      </w:r>
      <w:r>
        <w:rPr>
          <w:rFonts w:hint="eastAsia" w:ascii="方正仿宋_GBK" w:hAnsi="方正仿宋_GBK" w:eastAsia="方正仿宋_GBK" w:cs="方正仿宋_GBK"/>
          <w:b/>
          <w:sz w:val="32"/>
          <w:szCs w:val="32"/>
          <w:lang w:eastAsia="zh-CN"/>
        </w:rPr>
        <w:t>方式</w:t>
      </w:r>
      <w:r>
        <w:rPr>
          <w:rFonts w:hint="eastAsia" w:ascii="方正仿宋_GBK" w:hAnsi="方正仿宋_GBK" w:eastAsia="方正仿宋_GBK" w:cs="方正仿宋_GBK"/>
          <w:b/>
          <w:sz w:val="32"/>
          <w:szCs w:val="32"/>
          <w:lang w:val="en-US" w:eastAsia="zh-CN"/>
        </w:rPr>
        <w:t>：线下办理（临时用户建议</w:t>
      </w:r>
      <w:r>
        <w:rPr>
          <w:rFonts w:hint="eastAsia" w:ascii="方正仿宋_GBK" w:hAnsi="方正仿宋_GBK" w:eastAsia="方正仿宋_GBK" w:cs="方正仿宋_GBK"/>
          <w:b/>
          <w:sz w:val="32"/>
          <w:szCs w:val="32"/>
          <w:lang w:eastAsia="zh-CN"/>
        </w:rPr>
        <w:t>选择此种方式</w:t>
      </w:r>
      <w:r>
        <w:rPr>
          <w:rFonts w:hint="eastAsia" w:ascii="方正仿宋_GBK" w:hAnsi="方正仿宋_GBK" w:eastAsia="方正仿宋_GBK" w:cs="方正仿宋_GBK"/>
          <w:b/>
          <w:sz w:val="32"/>
          <w:szCs w:val="32"/>
          <w:lang w:val="en-US" w:eastAsia="zh-CN"/>
        </w:rPr>
        <w:t>）</w:t>
      </w:r>
    </w:p>
    <w:p>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sz w:val="32"/>
          <w:szCs w:val="32"/>
          <w:lang w:val="en-US" w:eastAsia="zh-CN" w:bidi="zh-CN"/>
        </w:rPr>
      </w:pPr>
      <w:r>
        <w:rPr>
          <w:rFonts w:hint="eastAsia" w:ascii="方正仿宋_GBK" w:hAnsi="方正仿宋_GBK" w:eastAsia="方正仿宋_GBK" w:cs="方正仿宋_GBK"/>
          <w:sz w:val="32"/>
          <w:szCs w:val="32"/>
          <w:lang w:val="en-US" w:eastAsia="zh-CN" w:bidi="zh-CN"/>
        </w:rPr>
        <w:t>玉溪红塔城区竞价用户携带身份证及银行卡到玉溪市公共资源交易中心6楼（红塔区玉龙路2号）CA证书现场办理，县（市、区）竞价用户携带身份证及银行卡到就近公共资源交易中心找CA办理工作人员办理线下证书，收费方式为免费（CA证书办理收取100元押金，竞价完成后归还CA证书时退还押金）。</w:t>
      </w:r>
    </w:p>
    <w:p>
      <w:pPr>
        <w:keepNext w:val="0"/>
        <w:keepLines w:val="0"/>
        <w:pageBreakBefore w:val="0"/>
        <w:widowControl w:val="0"/>
        <w:numPr>
          <w:ilvl w:val="0"/>
          <w:numId w:val="0"/>
        </w:numPr>
        <w:tabs>
          <w:tab w:val="left" w:pos="966"/>
        </w:tabs>
        <w:kinsoku/>
        <w:wordWrap/>
        <w:overflowPunct/>
        <w:topLinePunct w:val="0"/>
        <w:autoSpaceDE w:val="0"/>
        <w:autoSpaceDN w:val="0"/>
        <w:bidi w:val="0"/>
        <w:adjustRightInd/>
        <w:snapToGrid/>
        <w:spacing w:before="0" w:after="0" w:line="240" w:lineRule="auto"/>
        <w:ind w:right="0" w:rightChars="0"/>
        <w:jc w:val="both"/>
        <w:textAlignment w:val="auto"/>
        <w:rPr>
          <w:rFonts w:hint="eastAsia" w:ascii="方正仿宋_GBK" w:hAnsi="方正仿宋_GBK" w:eastAsia="方正仿宋_GBK" w:cs="方正仿宋_GBK"/>
          <w:w w:val="99"/>
          <w:sz w:val="32"/>
          <w:szCs w:val="32"/>
          <w:lang w:val="zh-CN" w:eastAsia="zh-CN" w:bidi="zh-CN"/>
        </w:rPr>
      </w:pPr>
      <w:r>
        <w:rPr>
          <w:rFonts w:hint="eastAsia" w:ascii="方正仿宋_GBK" w:hAnsi="方正仿宋_GBK" w:eastAsia="方正仿宋_GBK" w:cs="方正仿宋_GBK"/>
          <w:b/>
          <w:sz w:val="32"/>
          <w:szCs w:val="32"/>
          <w:lang w:val="en-US" w:eastAsia="zh-CN"/>
        </w:rPr>
        <w:t>二</w:t>
      </w:r>
      <w:r>
        <w:rPr>
          <w:rFonts w:hint="eastAsia" w:ascii="方正仿宋_GBK" w:hAnsi="方正仿宋_GBK" w:eastAsia="方正仿宋_GBK" w:cs="方正仿宋_GBK"/>
          <w:b/>
          <w:sz w:val="32"/>
          <w:szCs w:val="32"/>
          <w:lang w:val="zh-CN" w:eastAsia="zh-CN"/>
        </w:rPr>
        <w:t>、下载安装驱动程序</w:t>
      </w:r>
    </w:p>
    <w:p>
      <w:pPr>
        <w:keepNext w:val="0"/>
        <w:keepLines w:val="0"/>
        <w:pageBreakBefore w:val="0"/>
        <w:widowControl w:val="0"/>
        <w:numPr>
          <w:ilvl w:val="0"/>
          <w:numId w:val="0"/>
        </w:numPr>
        <w:tabs>
          <w:tab w:val="left" w:pos="966"/>
        </w:tabs>
        <w:kinsoku/>
        <w:wordWrap/>
        <w:overflowPunct/>
        <w:topLinePunct w:val="0"/>
        <w:autoSpaceDE w:val="0"/>
        <w:autoSpaceDN w:val="0"/>
        <w:bidi w:val="0"/>
        <w:adjustRightInd/>
        <w:snapToGrid/>
        <w:spacing w:before="0" w:after="0" w:line="240" w:lineRule="auto"/>
        <w:ind w:left="0" w:leftChars="0" w:right="0" w:rightChars="0" w:firstLine="632" w:firstLineChars="200"/>
        <w:jc w:val="both"/>
        <w:textAlignment w:val="auto"/>
        <w:rPr>
          <w:rFonts w:hint="eastAsia" w:ascii="方正仿宋_GBK" w:hAnsi="方正仿宋_GBK" w:eastAsia="方正仿宋_GBK" w:cs="方正仿宋_GBK"/>
          <w:sz w:val="32"/>
          <w:szCs w:val="32"/>
          <w:lang w:val="zh-CN" w:eastAsia="zh-CN" w:bidi="zh-CN"/>
        </w:rPr>
      </w:pPr>
      <w:r>
        <w:rPr>
          <w:rFonts w:hint="eastAsia" w:ascii="方正仿宋_GBK" w:hAnsi="方正仿宋_GBK" w:eastAsia="方正仿宋_GBK" w:cs="方正仿宋_GBK"/>
          <w:w w:val="99"/>
          <w:sz w:val="32"/>
          <w:szCs w:val="32"/>
          <w:lang w:val="zh-CN" w:eastAsia="zh-CN" w:bidi="zh-CN"/>
        </w:rPr>
        <w:t>CA</w:t>
      </w:r>
      <w:r>
        <w:rPr>
          <w:rFonts w:hint="eastAsia" w:ascii="方正仿宋_GBK" w:hAnsi="方正仿宋_GBK" w:eastAsia="方正仿宋_GBK" w:cs="方正仿宋_GBK"/>
          <w:spacing w:val="-68"/>
          <w:sz w:val="32"/>
          <w:szCs w:val="32"/>
          <w:lang w:val="zh-CN" w:eastAsia="zh-CN" w:bidi="zh-CN"/>
        </w:rPr>
        <w:t xml:space="preserve"> </w:t>
      </w:r>
      <w:r>
        <w:rPr>
          <w:rFonts w:hint="eastAsia" w:ascii="方正仿宋_GBK" w:hAnsi="方正仿宋_GBK" w:eastAsia="方正仿宋_GBK" w:cs="方正仿宋_GBK"/>
          <w:spacing w:val="-8"/>
          <w:w w:val="99"/>
          <w:sz w:val="32"/>
          <w:szCs w:val="32"/>
          <w:lang w:val="zh-CN" w:eastAsia="zh-CN" w:bidi="zh-CN"/>
        </w:rPr>
        <w:t>数字证书使用前，请一定要下载</w:t>
      </w:r>
      <w:r>
        <w:rPr>
          <w:rFonts w:hint="eastAsia" w:ascii="方正仿宋_GBK" w:hAnsi="方正仿宋_GBK" w:eastAsia="方正仿宋_GBK" w:cs="方正仿宋_GBK"/>
          <w:sz w:val="32"/>
          <w:szCs w:val="32"/>
          <w:lang w:val="zh-CN" w:eastAsia="zh-CN" w:bidi="zh-CN"/>
        </w:rPr>
        <w:t>安装驱动程序。</w:t>
      </w:r>
      <w:r>
        <w:rPr>
          <w:rFonts w:hint="eastAsia" w:ascii="方正仿宋_GBK" w:hAnsi="方正仿宋_GBK" w:eastAsia="方正仿宋_GBK" w:cs="方正仿宋_GBK"/>
          <w:sz w:val="32"/>
          <w:szCs w:val="32"/>
          <w:lang w:val="en-US" w:eastAsia="zh-CN"/>
        </w:rPr>
        <w:t>下载驱动请登陆</w:t>
      </w:r>
      <w:r>
        <w:rPr>
          <w:rFonts w:hint="eastAsia" w:ascii="方正仿宋_GBK" w:hAnsi="方正仿宋_GBK" w:eastAsia="方正仿宋_GBK" w:cs="方正仿宋_GBK"/>
          <w:sz w:val="32"/>
          <w:szCs w:val="32"/>
          <w:lang w:val="en-US"/>
        </w:rPr>
        <w:t>云南省公共资源交易信息网全国公共资源交易平台(</w:t>
      </w:r>
      <w:r>
        <w:rPr>
          <w:rFonts w:hint="eastAsia" w:ascii="方正仿宋_GBK" w:hAnsi="方正仿宋_GBK" w:eastAsia="方正仿宋_GBK" w:cs="方正仿宋_GBK"/>
          <w:sz w:val="32"/>
          <w:szCs w:val="32"/>
          <w:lang w:val="en-US" w:eastAsia="zh-CN"/>
        </w:rPr>
        <w:t>云</w:t>
      </w:r>
      <w:r>
        <w:rPr>
          <w:rFonts w:hint="eastAsia" w:ascii="方正仿宋_GBK" w:hAnsi="方正仿宋_GBK" w:eastAsia="方正仿宋_GBK" w:cs="方正仿宋_GBK"/>
          <w:spacing w:val="-8"/>
          <w:w w:val="99"/>
          <w:sz w:val="32"/>
          <w:szCs w:val="32"/>
          <w:lang w:val="en-US" w:eastAsia="zh-CN" w:bidi="zh-CN"/>
        </w:rPr>
        <w:t>南省)（https://ggzy.yn.gov.cn），选择地区：玉溪市，进入玉溪市公共资源交易电子服务系统全国公共资源交易平台(云南省·玉溪市)，在导航栏上点击“办事指南”进入页面</w:t>
      </w:r>
      <w:r>
        <w:rPr>
          <w:rFonts w:hint="eastAsia" w:ascii="方正仿宋_GBK" w:hAnsi="方正仿宋_GBK" w:eastAsia="方正仿宋_GBK" w:cs="方正仿宋_GBK"/>
          <w:spacing w:val="-8"/>
          <w:w w:val="99"/>
          <w:sz w:val="32"/>
          <w:szCs w:val="32"/>
          <w:lang w:val="zh-CN" w:eastAsia="zh-CN" w:bidi="zh-CN"/>
        </w:rPr>
        <w:t>，</w:t>
      </w:r>
      <w:r>
        <w:rPr>
          <w:rFonts w:hint="eastAsia" w:ascii="方正仿宋_GBK" w:hAnsi="方正仿宋_GBK" w:eastAsia="方正仿宋_GBK" w:cs="方正仿宋_GBK"/>
          <w:spacing w:val="-8"/>
          <w:w w:val="99"/>
          <w:sz w:val="32"/>
          <w:szCs w:val="32"/>
          <w:lang w:val="en-US" w:eastAsia="zh-CN" w:bidi="zh-CN"/>
        </w:rPr>
        <w:t>找到</w:t>
      </w:r>
      <w:r>
        <w:rPr>
          <w:rFonts w:hint="eastAsia" w:ascii="方正仿宋_GBK" w:hAnsi="方正仿宋_GBK" w:eastAsia="方正仿宋_GBK" w:cs="方正仿宋_GBK"/>
          <w:spacing w:val="-8"/>
          <w:w w:val="99"/>
          <w:sz w:val="32"/>
          <w:szCs w:val="32"/>
          <w:lang w:val="zh-CN" w:eastAsia="zh-CN" w:bidi="zh-CN"/>
        </w:rPr>
        <w:t>“下载</w:t>
      </w:r>
      <w:r>
        <w:rPr>
          <w:rFonts w:hint="eastAsia" w:ascii="方正仿宋_GBK" w:hAnsi="方正仿宋_GBK" w:eastAsia="方正仿宋_GBK" w:cs="方正仿宋_GBK"/>
          <w:spacing w:val="-8"/>
          <w:w w:val="99"/>
          <w:sz w:val="32"/>
          <w:szCs w:val="32"/>
          <w:lang w:val="en-US" w:eastAsia="zh-CN" w:bidi="zh-CN"/>
        </w:rPr>
        <w:t>专区</w:t>
      </w:r>
      <w:r>
        <w:rPr>
          <w:rFonts w:hint="eastAsia" w:ascii="方正仿宋_GBK" w:hAnsi="方正仿宋_GBK" w:eastAsia="方正仿宋_GBK" w:cs="方正仿宋_GBK"/>
          <w:spacing w:val="-8"/>
          <w:w w:val="99"/>
          <w:sz w:val="32"/>
          <w:szCs w:val="32"/>
          <w:lang w:val="zh-CN" w:eastAsia="zh-CN" w:bidi="zh-CN"/>
        </w:rPr>
        <w:t>”，点击“</w:t>
      </w:r>
      <w:r>
        <w:rPr>
          <w:rFonts w:hint="eastAsia" w:ascii="方正仿宋_GBK" w:hAnsi="方正仿宋_GBK" w:eastAsia="方正仿宋_GBK" w:cs="方正仿宋_GBK"/>
          <w:spacing w:val="-8"/>
          <w:w w:val="99"/>
          <w:sz w:val="32"/>
          <w:szCs w:val="32"/>
          <w:lang w:val="en-US" w:eastAsia="zh-CN" w:bidi="zh-CN"/>
        </w:rPr>
        <w:t>工具下载</w:t>
      </w:r>
      <w:r>
        <w:rPr>
          <w:rFonts w:hint="eastAsia" w:ascii="方正仿宋_GBK" w:hAnsi="方正仿宋_GBK" w:eastAsia="方正仿宋_GBK" w:cs="方正仿宋_GBK"/>
          <w:spacing w:val="-8"/>
          <w:w w:val="99"/>
          <w:sz w:val="32"/>
          <w:szCs w:val="32"/>
          <w:lang w:val="zh-CN" w:eastAsia="zh-CN" w:bidi="zh-CN"/>
        </w:rPr>
        <w:t>”，</w:t>
      </w:r>
      <w:r>
        <w:rPr>
          <w:rFonts w:hint="eastAsia" w:ascii="方正仿宋_GBK" w:hAnsi="方正仿宋_GBK" w:eastAsia="方正仿宋_GBK" w:cs="方正仿宋_GBK"/>
          <w:spacing w:val="-8"/>
          <w:w w:val="99"/>
          <w:sz w:val="32"/>
          <w:szCs w:val="32"/>
          <w:lang w:val="en-US" w:eastAsia="zh-CN" w:bidi="zh-CN"/>
        </w:rPr>
        <w:t>下载</w:t>
      </w:r>
      <w:r>
        <w:rPr>
          <w:rFonts w:hint="eastAsia" w:ascii="方正仿宋_GBK" w:hAnsi="方正仿宋_GBK" w:eastAsia="方正仿宋_GBK" w:cs="方正仿宋_GBK"/>
          <w:spacing w:val="-8"/>
          <w:w w:val="99"/>
          <w:sz w:val="32"/>
          <w:szCs w:val="32"/>
          <w:lang w:val="zh-CN" w:eastAsia="zh-CN" w:bidi="zh-CN"/>
        </w:rPr>
        <w:t>《云南省招投标系列文件驱动程序安装包》</w:t>
      </w:r>
      <w:r>
        <w:rPr>
          <w:rFonts w:hint="eastAsia" w:ascii="方正仿宋_GBK" w:hAnsi="方正仿宋_GBK" w:eastAsia="方正仿宋_GBK" w:cs="方正仿宋_GBK"/>
          <w:spacing w:val="-8"/>
          <w:w w:val="99"/>
          <w:sz w:val="32"/>
          <w:szCs w:val="32"/>
          <w:lang w:val="en-US" w:eastAsia="zh-CN" w:bidi="zh-CN"/>
        </w:rPr>
        <w:t>进行</w:t>
      </w:r>
      <w:r>
        <w:rPr>
          <w:rFonts w:hint="eastAsia" w:ascii="方正仿宋_GBK" w:hAnsi="方正仿宋_GBK" w:eastAsia="方正仿宋_GBK" w:cs="方正仿宋_GBK"/>
          <w:sz w:val="32"/>
          <w:szCs w:val="32"/>
          <w:lang w:val="zh-CN" w:eastAsia="zh-CN" w:bidi="zh-CN"/>
        </w:rPr>
        <w:t>驱动程序</w:t>
      </w:r>
      <w:r>
        <w:rPr>
          <w:rFonts w:hint="eastAsia" w:ascii="方正仿宋_GBK" w:hAnsi="方正仿宋_GBK" w:eastAsia="方正仿宋_GBK" w:cs="方正仿宋_GBK"/>
          <w:spacing w:val="-8"/>
          <w:w w:val="99"/>
          <w:sz w:val="32"/>
          <w:szCs w:val="32"/>
          <w:lang w:val="zh-CN" w:eastAsia="zh-CN" w:bidi="zh-CN"/>
        </w:rPr>
        <w:t>安装</w:t>
      </w:r>
      <w:r>
        <w:rPr>
          <w:rFonts w:hint="eastAsia" w:ascii="方正仿宋_GBK" w:hAnsi="方正仿宋_GBK" w:eastAsia="方正仿宋_GBK" w:cs="方正仿宋_GBK"/>
          <w:sz w:val="32"/>
          <w:szCs w:val="32"/>
          <w:lang w:val="zh-CN" w:eastAsia="zh-CN" w:bidi="zh-CN"/>
        </w:rPr>
        <w:t>。</w:t>
      </w:r>
    </w:p>
    <w:p>
      <w:pPr>
        <w:keepNext w:val="0"/>
        <w:keepLines w:val="0"/>
        <w:pageBreakBefore w:val="0"/>
        <w:widowControl w:val="0"/>
        <w:numPr>
          <w:ilvl w:val="0"/>
          <w:numId w:val="0"/>
        </w:numPr>
        <w:tabs>
          <w:tab w:val="left" w:pos="967"/>
        </w:tabs>
        <w:kinsoku/>
        <w:wordWrap/>
        <w:overflowPunct/>
        <w:topLinePunct w:val="0"/>
        <w:autoSpaceDE w:val="0"/>
        <w:autoSpaceDN w:val="0"/>
        <w:bidi w:val="0"/>
        <w:adjustRightInd/>
        <w:snapToGrid/>
        <w:spacing w:before="0" w:after="0" w:line="240" w:lineRule="auto"/>
        <w:ind w:left="0" w:leftChars="0" w:right="0" w:rightChars="0" w:firstLine="623" w:firstLineChars="200"/>
        <w:jc w:val="both"/>
        <w:textAlignment w:val="auto"/>
        <w:rPr>
          <w:rFonts w:hint="default" w:ascii="方正仿宋_GBK" w:hAnsi="方正仿宋_GBK" w:eastAsia="方正仿宋_GBK" w:cs="方正仿宋_GBK"/>
          <w:b/>
          <w:bCs/>
          <w:spacing w:val="-5"/>
          <w:sz w:val="32"/>
          <w:szCs w:val="32"/>
          <w:lang w:val="en-US" w:eastAsia="zh-CN" w:bidi="zh-CN"/>
        </w:rPr>
      </w:pPr>
      <w:r>
        <w:rPr>
          <w:rFonts w:hint="eastAsia" w:ascii="方正仿宋_GBK" w:hAnsi="方正仿宋_GBK" w:eastAsia="方正仿宋_GBK" w:cs="方正仿宋_GBK"/>
          <w:b/>
          <w:bCs/>
          <w:spacing w:val="-5"/>
          <w:sz w:val="32"/>
          <w:szCs w:val="32"/>
          <w:lang w:val="en-US" w:eastAsia="zh-CN" w:bidi="zh-CN"/>
        </w:rPr>
        <w:t>提醒注意：</w:t>
      </w:r>
    </w:p>
    <w:p>
      <w:pPr>
        <w:keepNext w:val="0"/>
        <w:keepLines w:val="0"/>
        <w:pageBreakBefore w:val="0"/>
        <w:kinsoku/>
        <w:wordWrap/>
        <w:overflowPunct/>
        <w:topLinePunct w:val="0"/>
        <w:bidi w:val="0"/>
        <w:adjustRightInd/>
        <w:snapToGrid/>
        <w:spacing w:before="0" w:after="0" w:line="240" w:lineRule="auto"/>
        <w:ind w:left="0" w:leftChars="0" w:right="0" w:rightChars="0" w:firstLine="620" w:firstLineChars="200"/>
        <w:textAlignment w:val="auto"/>
        <w:rPr>
          <w:rFonts w:hint="eastAsia" w:ascii="方正仿宋_GBK" w:hAnsi="方正仿宋_GBK" w:eastAsia="方正仿宋_GBK" w:cs="方正仿宋_GBK"/>
          <w:spacing w:val="-5"/>
          <w:sz w:val="32"/>
          <w:szCs w:val="32"/>
          <w:lang w:val="zh-CN" w:eastAsia="zh-CN" w:bidi="zh-CN"/>
        </w:rPr>
      </w:pPr>
      <w:r>
        <w:rPr>
          <w:rFonts w:hint="eastAsia" w:ascii="方正仿宋_GBK" w:hAnsi="方正仿宋_GBK" w:eastAsia="方正仿宋_GBK" w:cs="方正仿宋_GBK"/>
          <w:spacing w:val="-5"/>
          <w:sz w:val="32"/>
          <w:szCs w:val="32"/>
          <w:lang w:val="en-US" w:eastAsia="zh-CN" w:bidi="zh-CN"/>
        </w:rPr>
        <w:t xml:space="preserve"> </w:t>
      </w:r>
      <w:r>
        <w:rPr>
          <w:rFonts w:hint="eastAsia" w:ascii="方正仿宋_GBK" w:hAnsi="方正仿宋_GBK" w:eastAsia="方正仿宋_GBK" w:cs="方正仿宋_GBK"/>
          <w:spacing w:val="-5"/>
          <w:sz w:val="32"/>
          <w:szCs w:val="32"/>
          <w:lang w:val="zh-CN" w:eastAsia="zh-CN" w:bidi="zh-CN"/>
        </w:rPr>
        <w:t>（</w:t>
      </w:r>
      <w:r>
        <w:rPr>
          <w:rFonts w:hint="eastAsia" w:ascii="方正仿宋_GBK" w:hAnsi="方正仿宋_GBK" w:eastAsia="方正仿宋_GBK" w:cs="方正仿宋_GBK"/>
          <w:spacing w:val="-5"/>
          <w:sz w:val="32"/>
          <w:szCs w:val="32"/>
          <w:lang w:val="en-US" w:eastAsia="zh-CN" w:bidi="zh-CN"/>
        </w:rPr>
        <w:t>1</w:t>
      </w:r>
      <w:r>
        <w:rPr>
          <w:rFonts w:hint="eastAsia" w:ascii="方正仿宋_GBK" w:hAnsi="方正仿宋_GBK" w:eastAsia="方正仿宋_GBK" w:cs="方正仿宋_GBK"/>
          <w:spacing w:val="-5"/>
          <w:sz w:val="32"/>
          <w:szCs w:val="32"/>
          <w:lang w:val="zh-CN" w:eastAsia="zh-CN" w:bidi="zh-CN"/>
        </w:rPr>
        <w:t>）</w:t>
      </w:r>
      <w:r>
        <w:rPr>
          <w:rFonts w:hint="eastAsia" w:ascii="方正仿宋_GBK" w:hAnsi="方正仿宋_GBK" w:eastAsia="方正仿宋_GBK" w:cs="方正仿宋_GBK"/>
          <w:spacing w:val="-5"/>
          <w:sz w:val="32"/>
          <w:szCs w:val="32"/>
          <w:lang w:val="en-US" w:eastAsia="zh-CN" w:bidi="zh-CN"/>
        </w:rPr>
        <w:t>如果在驱动安装及交易各环节中遇到问题，可以联系网页右下角的客服小龙人，或致电筑龙客服（010-86483801）市公共资源交易中心信息科（0877-6694256）进行咨询。</w:t>
      </w:r>
    </w:p>
    <w:p>
      <w:pPr>
        <w:keepNext w:val="0"/>
        <w:keepLines w:val="0"/>
        <w:pageBreakBefore w:val="0"/>
        <w:kinsoku/>
        <w:wordWrap/>
        <w:overflowPunct/>
        <w:topLinePunct w:val="0"/>
        <w:bidi w:val="0"/>
        <w:adjustRightInd/>
        <w:snapToGrid/>
        <w:spacing w:before="0" w:after="0" w:line="240" w:lineRule="auto"/>
        <w:ind w:left="0" w:leftChars="0" w:right="0" w:rightChars="0" w:firstLine="620" w:firstLineChars="200"/>
        <w:textAlignment w:val="auto"/>
        <w:rPr>
          <w:rFonts w:hint="eastAsia" w:ascii="方正仿宋_GBK" w:hAnsi="方正仿宋_GBK" w:eastAsia="方正仿宋_GBK" w:cs="方正仿宋_GBK"/>
          <w:sz w:val="32"/>
          <w:szCs w:val="32"/>
          <w:lang w:val="zh-CN" w:eastAsia="zh-CN"/>
        </w:rPr>
      </w:pPr>
      <w:r>
        <w:rPr>
          <w:rFonts w:hint="eastAsia" w:ascii="方正仿宋_GBK" w:hAnsi="方正仿宋_GBK" w:eastAsia="方正仿宋_GBK" w:cs="方正仿宋_GBK"/>
          <w:spacing w:val="-5"/>
          <w:sz w:val="32"/>
          <w:szCs w:val="32"/>
          <w:lang w:val="zh-CN" w:eastAsia="zh-CN" w:bidi="zh-CN"/>
        </w:rPr>
        <w:t>（</w:t>
      </w:r>
      <w:r>
        <w:rPr>
          <w:rFonts w:hint="eastAsia" w:ascii="方正仿宋_GBK" w:hAnsi="方正仿宋_GBK" w:eastAsia="方正仿宋_GBK" w:cs="方正仿宋_GBK"/>
          <w:spacing w:val="-5"/>
          <w:sz w:val="32"/>
          <w:szCs w:val="32"/>
          <w:lang w:val="en-US" w:eastAsia="zh-CN" w:bidi="zh-CN"/>
        </w:rPr>
        <w:t>2</w:t>
      </w:r>
      <w:r>
        <w:rPr>
          <w:rFonts w:hint="eastAsia" w:ascii="方正仿宋_GBK" w:hAnsi="方正仿宋_GBK" w:eastAsia="方正仿宋_GBK" w:cs="方正仿宋_GBK"/>
          <w:spacing w:val="-5"/>
          <w:sz w:val="32"/>
          <w:szCs w:val="32"/>
          <w:lang w:val="zh-CN" w:eastAsia="zh-CN" w:bidi="zh-CN"/>
        </w:rPr>
        <w:t>）</w:t>
      </w:r>
      <w:r>
        <w:rPr>
          <w:rFonts w:hint="eastAsia" w:ascii="方正仿宋_GBK" w:hAnsi="方正仿宋_GBK" w:eastAsia="方正仿宋_GBK" w:cs="方正仿宋_GBK"/>
          <w:spacing w:val="-10"/>
          <w:sz w:val="32"/>
          <w:szCs w:val="32"/>
          <w:lang w:val="zh-CN" w:eastAsia="zh-CN" w:bidi="zh-CN"/>
        </w:rPr>
        <w:t xml:space="preserve">请用户谨慎保管 </w:t>
      </w:r>
      <w:r>
        <w:rPr>
          <w:rFonts w:hint="eastAsia" w:ascii="方正仿宋_GBK" w:hAnsi="方正仿宋_GBK" w:eastAsia="方正仿宋_GBK" w:cs="方正仿宋_GBK"/>
          <w:sz w:val="32"/>
          <w:szCs w:val="32"/>
          <w:lang w:val="zh-CN" w:eastAsia="zh-CN" w:bidi="zh-CN"/>
        </w:rPr>
        <w:t>CA</w:t>
      </w:r>
      <w:r>
        <w:rPr>
          <w:rFonts w:hint="eastAsia" w:ascii="方正仿宋_GBK" w:hAnsi="方正仿宋_GBK" w:eastAsia="方正仿宋_GBK" w:cs="方正仿宋_GBK"/>
          <w:spacing w:val="-3"/>
          <w:sz w:val="32"/>
          <w:szCs w:val="32"/>
          <w:lang w:val="zh-CN" w:eastAsia="zh-CN" w:bidi="zh-CN"/>
        </w:rPr>
        <w:t xml:space="preserve"> </w:t>
      </w:r>
      <w:r>
        <w:rPr>
          <w:rFonts w:hint="eastAsia" w:ascii="方正仿宋_GBK" w:hAnsi="方正仿宋_GBK" w:eastAsia="方正仿宋_GBK" w:cs="方正仿宋_GBK"/>
          <w:sz w:val="32"/>
          <w:szCs w:val="32"/>
          <w:lang w:val="zh-CN" w:eastAsia="zh-CN" w:bidi="zh-CN"/>
        </w:rPr>
        <w:t>数字证书和密码，用户在参加国有产权交易</w:t>
      </w:r>
      <w:r>
        <w:rPr>
          <w:rFonts w:hint="eastAsia" w:ascii="方正仿宋_GBK" w:hAnsi="方正仿宋_GBK" w:eastAsia="方正仿宋_GBK" w:cs="方正仿宋_GBK"/>
          <w:spacing w:val="-6"/>
          <w:sz w:val="32"/>
          <w:szCs w:val="32"/>
          <w:lang w:val="zh-CN" w:eastAsia="zh-CN" w:bidi="zh-CN"/>
        </w:rPr>
        <w:t>期间的所</w:t>
      </w:r>
      <w:r>
        <w:rPr>
          <w:rFonts w:hint="eastAsia" w:ascii="方正仿宋_GBK" w:hAnsi="方正仿宋_GBK" w:eastAsia="方正仿宋_GBK" w:cs="方正仿宋_GBK"/>
          <w:sz w:val="32"/>
          <w:szCs w:val="32"/>
          <w:lang w:val="zh-CN" w:eastAsia="zh-CN"/>
        </w:rPr>
        <w:t>有网上操作都必须使用 CA 数字证书。证书密码输错</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lang w:val="zh-CN" w:eastAsia="zh-CN"/>
        </w:rPr>
        <w:t xml:space="preserve"> 次以上将锁定不可使用，用户必须前往玉溪市公共资源交易中心 CA 数字证书办理窗口进行解锁。</w:t>
      </w: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sz w:val="32"/>
          <w:szCs w:val="32"/>
          <w:lang w:val="zh-CN" w:eastAsia="zh-CN"/>
        </w:rPr>
      </w:pPr>
      <w:r>
        <w:rPr>
          <w:rFonts w:hint="eastAsia" w:ascii="方正仿宋_GBK" w:hAnsi="方正仿宋_GBK" w:eastAsia="方正仿宋_GBK" w:cs="方正仿宋_GBK"/>
          <w:sz w:val="32"/>
          <w:szCs w:val="32"/>
          <w:lang w:val="zh-CN" w:eastAsia="zh-CN"/>
        </w:rPr>
        <w:t>（</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val="zh-CN" w:eastAsia="zh-CN"/>
        </w:rPr>
        <w:t>）用户注册完成，领到 CA 数字证书，并安装驱动程序后，就可前往</w:t>
      </w:r>
      <w:r>
        <w:rPr>
          <w:rFonts w:hint="eastAsia" w:ascii="方正仿宋_GBK" w:hAnsi="方正仿宋_GBK" w:eastAsia="方正仿宋_GBK" w:cs="方正仿宋_GBK"/>
          <w:sz w:val="32"/>
          <w:szCs w:val="32"/>
          <w:lang w:val="en-US" w:eastAsia="zh-CN"/>
        </w:rPr>
        <w:t>玉溪市公共资源交易电子服务系统</w:t>
      </w:r>
      <w:r>
        <w:rPr>
          <w:rFonts w:hint="eastAsia" w:ascii="方正仿宋_GBK" w:hAnsi="方正仿宋_GBK" w:eastAsia="方正仿宋_GBK" w:cs="方正仿宋_GBK"/>
          <w:sz w:val="32"/>
          <w:szCs w:val="32"/>
          <w:lang w:val="en-US"/>
        </w:rPr>
        <w:t>全国公共资源</w:t>
      </w:r>
      <w:r>
        <w:rPr>
          <w:rFonts w:hint="eastAsia" w:ascii="方正仿宋_GBK" w:hAnsi="方正仿宋_GBK" w:eastAsia="方正仿宋_GBK" w:cs="方正仿宋_GBK"/>
          <w:sz w:val="32"/>
          <w:szCs w:val="32"/>
          <w:lang w:val="en-US" w:eastAsia="zh-CN"/>
        </w:rPr>
        <w:t>交易平台(云南省·玉溪市)，</w:t>
      </w:r>
      <w:r>
        <w:rPr>
          <w:rFonts w:hint="eastAsia" w:ascii="方正仿宋_GBK" w:hAnsi="方正仿宋_GBK" w:eastAsia="方正仿宋_GBK" w:cs="方正仿宋_GBK"/>
          <w:sz w:val="32"/>
          <w:szCs w:val="32"/>
          <w:lang w:val="zh-CN" w:eastAsia="zh-CN"/>
        </w:rPr>
        <w:t xml:space="preserve">进行报名及竞价操作。 </w:t>
      </w: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sz w:val="32"/>
          <w:szCs w:val="32"/>
          <w:lang w:val="zh-CN" w:eastAsia="zh-CN"/>
        </w:rPr>
      </w:pPr>
      <w:r>
        <w:rPr>
          <w:rFonts w:hint="eastAsia" w:ascii="方正仿宋_GBK" w:hAnsi="方正仿宋_GBK" w:eastAsia="方正仿宋_GBK" w:cs="方正仿宋_GBK"/>
          <w:sz w:val="32"/>
          <w:szCs w:val="32"/>
          <w:lang w:val="en-US" w:eastAsia="zh-CN"/>
        </w:rPr>
        <w:t>三</w:t>
      </w:r>
      <w:r>
        <w:rPr>
          <w:rFonts w:hint="eastAsia" w:ascii="方正仿宋_GBK" w:hAnsi="方正仿宋_GBK" w:eastAsia="方正仿宋_GBK" w:cs="方正仿宋_GBK"/>
          <w:sz w:val="32"/>
          <w:szCs w:val="32"/>
          <w:lang w:val="zh-CN" w:eastAsia="zh-CN"/>
        </w:rPr>
        <w:t>、竞价操作流程</w:t>
      </w: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1.竞价人登陆</w:t>
      </w: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sz w:val="32"/>
          <w:szCs w:val="32"/>
          <w:lang w:val="en-US" w:eastAsia="zh-CN"/>
        </w:rPr>
        <w:t>登陆云南省公共资源交易信息网全国公共资源交易平台(云南省)（https://ggzy.yn.gov.cn），选择地区：玉溪市，进入玉溪市公共资源交易电子服务系统全国公共资源交易平台(云南省·玉溪市)，插入 CA 数字证书，点击右方“投标方”进入，如</w:t>
      </w:r>
      <w:r>
        <w:rPr>
          <w:rFonts w:hint="eastAsia" w:ascii="方正仿宋_GBK" w:hAnsi="方正仿宋_GBK" w:eastAsia="方正仿宋_GBK" w:cs="方正仿宋_GBK"/>
          <w:w w:val="95"/>
          <w:sz w:val="32"/>
          <w:szCs w:val="32"/>
          <w:lang w:val="en-US" w:eastAsia="zh-CN" w:bidi="zh-CN"/>
        </w:rPr>
        <w:t>下图：</w:t>
      </w:r>
    </w:p>
    <w:p>
      <w:pPr>
        <w:keepNext w:val="0"/>
        <w:keepLines w:val="0"/>
        <w:pageBreakBefore w:val="0"/>
        <w:kinsoku/>
        <w:wordWrap/>
        <w:overflowPunct/>
        <w:topLinePunct w:val="0"/>
        <w:bidi w:val="0"/>
        <w:adjustRightInd/>
        <w:snapToGrid/>
        <w:spacing w:before="0" w:after="0" w:line="240" w:lineRule="auto"/>
        <w:ind w:left="0" w:leftChars="0" w:right="0" w:rightChars="0" w:firstLine="0" w:firstLineChars="0"/>
        <w:jc w:val="center"/>
        <w:textAlignment w:val="auto"/>
        <w:rPr>
          <w:rFonts w:hint="eastAsia" w:ascii="方正仿宋_GBK" w:hAnsi="方正仿宋_GBK" w:eastAsia="方正仿宋_GBK" w:cs="方正仿宋_GBK"/>
          <w:w w:val="95"/>
          <w:sz w:val="32"/>
          <w:szCs w:val="32"/>
          <w:lang w:val="en-US" w:eastAsia="zh-CN" w:bidi="zh-CN"/>
        </w:rPr>
      </w:pPr>
      <w:r>
        <w:drawing>
          <wp:inline distT="0" distB="0" distL="114300" distR="114300">
            <wp:extent cx="5125720" cy="2806065"/>
            <wp:effectExtent l="0" t="0" r="17780" b="133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5125720" cy="2806065"/>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bidi w:val="0"/>
        <w:adjustRightInd/>
        <w:snapToGrid/>
        <w:spacing w:before="0" w:after="0" w:line="240" w:lineRule="auto"/>
        <w:ind w:left="0" w:leftChars="0" w:right="0" w:rightChars="0" w:firstLine="643" w:firstLineChars="200"/>
        <w:jc w:val="left"/>
        <w:textAlignment w:val="auto"/>
        <w:outlineLvl w:val="1"/>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2.我要投标（报名）</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进入“云南省公共资源交易平台”投标系统，左侧“我要投标”模块，选择“国有产权”页签，会显示所有国有产权项目，输入项目编号或项目名称查询找到自己要参与投标的项目。</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drawing>
          <wp:anchor distT="0" distB="0" distL="114300" distR="114300" simplePos="0" relativeHeight="251662336" behindDoc="1" locked="0" layoutInCell="1" allowOverlap="1">
            <wp:simplePos x="0" y="0"/>
            <wp:positionH relativeFrom="column">
              <wp:posOffset>379730</wp:posOffset>
            </wp:positionH>
            <wp:positionV relativeFrom="paragraph">
              <wp:posOffset>174625</wp:posOffset>
            </wp:positionV>
            <wp:extent cx="4803140" cy="2361565"/>
            <wp:effectExtent l="0" t="0" r="16510" b="635"/>
            <wp:wrapNone/>
            <wp:docPr id="13" name="图片 13"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1)"/>
                    <pic:cNvPicPr>
                      <a:picLocks noChangeAspect="1"/>
                    </pic:cNvPicPr>
                  </pic:nvPicPr>
                  <pic:blipFill>
                    <a:blip r:embed="rId8"/>
                    <a:stretch>
                      <a:fillRect/>
                    </a:stretch>
                  </pic:blipFill>
                  <pic:spPr>
                    <a:xfrm>
                      <a:off x="0" y="0"/>
                      <a:ext cx="4803140" cy="2361565"/>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w w:val="95"/>
          <w:sz w:val="32"/>
          <w:szCs w:val="32"/>
          <w:lang w:val="en-US" w:eastAsia="zh-CN" w:bidi="zh-CN"/>
        </w:rPr>
        <w:t>点击“查看公告”按钮可查看项目的转让公告，而点击“我要报名”则进入报名程序。</w:t>
      </w: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rPr>
        <w:drawing>
          <wp:anchor distT="0" distB="0" distL="0" distR="0" simplePos="0" relativeHeight="251659264" behindDoc="0" locked="0" layoutInCell="1" allowOverlap="1">
            <wp:simplePos x="0" y="0"/>
            <wp:positionH relativeFrom="column">
              <wp:posOffset>219075</wp:posOffset>
            </wp:positionH>
            <wp:positionV relativeFrom="paragraph">
              <wp:posOffset>-123825</wp:posOffset>
            </wp:positionV>
            <wp:extent cx="4704715" cy="1623060"/>
            <wp:effectExtent l="0" t="0" r="635" b="15240"/>
            <wp:wrapTopAndBottom/>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9"/>
                    <a:stretch>
                      <a:fillRect/>
                    </a:stretch>
                  </pic:blipFill>
                  <pic:spPr>
                    <a:xfrm>
                      <a:off x="0" y="0"/>
                      <a:ext cx="4704715" cy="1623060"/>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查看有意向参与的项目点击“我要报名”按钮后，首先选择意向报名的标的，点击“报名参与以上标的”按钮，选择后进入报名操作界面进入报名操作：</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drawing>
          <wp:anchor distT="0" distB="0" distL="114300" distR="114300" simplePos="0" relativeHeight="251663360" behindDoc="1" locked="0" layoutInCell="1" allowOverlap="1">
            <wp:simplePos x="0" y="0"/>
            <wp:positionH relativeFrom="column">
              <wp:posOffset>431800</wp:posOffset>
            </wp:positionH>
            <wp:positionV relativeFrom="paragraph">
              <wp:posOffset>148590</wp:posOffset>
            </wp:positionV>
            <wp:extent cx="4601210" cy="1520825"/>
            <wp:effectExtent l="0" t="0" r="8890" b="3175"/>
            <wp:wrapNone/>
            <wp:docPr id="15" name="图片 1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
                    <pic:cNvPicPr>
                      <a:picLocks noChangeAspect="1"/>
                    </pic:cNvPicPr>
                  </pic:nvPicPr>
                  <pic:blipFill>
                    <a:blip r:embed="rId10"/>
                    <a:stretch>
                      <a:fillRect/>
                    </a:stretch>
                  </pic:blipFill>
                  <pic:spPr>
                    <a:xfrm>
                      <a:off x="0" y="0"/>
                      <a:ext cx="4601210" cy="1520825"/>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drawing>
          <wp:anchor distT="0" distB="0" distL="114300" distR="114300" simplePos="0" relativeHeight="251664384" behindDoc="1" locked="0" layoutInCell="1" allowOverlap="1">
            <wp:simplePos x="0" y="0"/>
            <wp:positionH relativeFrom="column">
              <wp:posOffset>466725</wp:posOffset>
            </wp:positionH>
            <wp:positionV relativeFrom="paragraph">
              <wp:posOffset>114300</wp:posOffset>
            </wp:positionV>
            <wp:extent cx="4424045" cy="2182495"/>
            <wp:effectExtent l="0" t="0" r="14605" b="8255"/>
            <wp:wrapNone/>
            <wp:docPr id="17" name="图片 1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8"/>
                    <pic:cNvPicPr>
                      <a:picLocks noChangeAspect="1"/>
                    </pic:cNvPicPr>
                  </pic:nvPicPr>
                  <pic:blipFill>
                    <a:blip r:embed="rId11"/>
                    <a:stretch>
                      <a:fillRect/>
                    </a:stretch>
                  </pic:blipFill>
                  <pic:spPr>
                    <a:xfrm>
                      <a:off x="0" y="0"/>
                      <a:ext cx="4424045" cy="2182495"/>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阅读网上报名须知，阅览后点击下方“我已知晓”，进行下一步操作。</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left="0" w:leftChars="0" w:right="0" w:rightChars="0"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drawing>
          <wp:anchor distT="0" distB="0" distL="0" distR="0" simplePos="0" relativeHeight="251659264" behindDoc="1" locked="0" layoutInCell="1" allowOverlap="1">
            <wp:simplePos x="0" y="0"/>
            <wp:positionH relativeFrom="column">
              <wp:posOffset>95250</wp:posOffset>
            </wp:positionH>
            <wp:positionV relativeFrom="paragraph">
              <wp:posOffset>138430</wp:posOffset>
            </wp:positionV>
            <wp:extent cx="5530215" cy="1652270"/>
            <wp:effectExtent l="0" t="0" r="13335" b="508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2"/>
                    <a:stretch>
                      <a:fillRect/>
                    </a:stretch>
                  </pic:blipFill>
                  <pic:spPr>
                    <a:xfrm>
                      <a:off x="0" y="0"/>
                      <a:ext cx="5530215" cy="1652270"/>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left="0" w:leftChars="0" w:right="0" w:rightChars="0" w:firstLine="640" w:firstLineChars="200"/>
        <w:jc w:val="left"/>
        <w:textAlignment w:val="auto"/>
        <w:rPr>
          <w:rFonts w:hint="eastAsia" w:ascii="方正仿宋_GBK" w:hAnsi="方正仿宋_GBK" w:eastAsia="方正仿宋_GBK" w:cs="方正仿宋_GBK"/>
          <w:sz w:val="32"/>
          <w:szCs w:val="32"/>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left="0" w:leftChars="0" w:right="0" w:rightChars="0" w:firstLine="640" w:firstLineChars="200"/>
        <w:jc w:val="lef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numPr>
          <w:ilvl w:val="0"/>
          <w:numId w:val="2"/>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进入报名详细信息填写页面，带“*”为必填项，其他可进行选填，并按照项目公告的要求上传资格审查资料相关文件扫描件，</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上传资格审查资料：</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1.自然人竞价的，应提交下列文件：</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（1）竞价人身份证复印件；</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（2）竞价承诺书；</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（3）竞价保证金交纳凭证。</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2.法人竞价的，应提交下列文件（二套）：</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（1）营业执照正、副本复印件；</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（2）法定代表人身份证明书（原件）、身份证复印件</w:t>
      </w:r>
      <w:r>
        <w:rPr>
          <w:rFonts w:hint="eastAsia" w:ascii="方正仿宋_GBK" w:hAnsi="方正仿宋_GBK" w:eastAsia="方正仿宋_GBK" w:cs="方正仿宋_GBK"/>
          <w:w w:val="95"/>
          <w:sz w:val="32"/>
          <w:szCs w:val="32"/>
          <w:highlight w:val="none"/>
          <w:lang w:val="en-US" w:eastAsia="zh-CN" w:bidi="zh-CN"/>
        </w:rPr>
        <w:t>;</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（3）授权委托书（竞价人委托他人办理的，应提交授权 委托书及委托代理人的有效身份证明文件及复印件）；</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（4）竞价承诺书；</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（5）竞价保证金交纳凭证。</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3.其他组织竞价的，应提交下列文件：</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（1）表明该组织合法存在的文件或有效证明文件；</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（2）表明该组织负责人身份的有效证明文件；</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（3）授权委托书（竞价人委托他人办理的，应提交授权 委托书及委托代理人的有效身份证明文件及复印件）；</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（4）竞价承诺书；</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（5）竞价保证金交纳凭证。</w:t>
      </w: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numPr>
          <w:ilvl w:val="0"/>
          <w:numId w:val="0"/>
        </w:numPr>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点击“提交报名”。报名成功后系统会自动生成竞价人的竞价编号。报名信息资料提交后台工作人员查验，报名期间竞价人需再次登录系统查看查验结果。</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left="0" w:leftChars="0" w:right="0" w:rightChars="0" w:firstLine="608" w:firstLineChars="200"/>
        <w:jc w:val="center"/>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drawing>
          <wp:anchor distT="0" distB="0" distL="114300" distR="114300" simplePos="0" relativeHeight="251665408" behindDoc="1" locked="0" layoutInCell="1" allowOverlap="1">
            <wp:simplePos x="0" y="0"/>
            <wp:positionH relativeFrom="column">
              <wp:posOffset>542290</wp:posOffset>
            </wp:positionH>
            <wp:positionV relativeFrom="paragraph">
              <wp:posOffset>11430</wp:posOffset>
            </wp:positionV>
            <wp:extent cx="4154805" cy="2044700"/>
            <wp:effectExtent l="0" t="0" r="17145" b="12700"/>
            <wp:wrapNone/>
            <wp:docPr id="19" name="图片 1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0"/>
                    <pic:cNvPicPr>
                      <a:picLocks noChangeAspect="1"/>
                    </pic:cNvPicPr>
                  </pic:nvPicPr>
                  <pic:blipFill>
                    <a:blip r:embed="rId13"/>
                    <a:stretch>
                      <a:fillRect/>
                    </a:stretch>
                  </pic:blipFill>
                  <pic:spPr>
                    <a:xfrm>
                      <a:off x="0" y="0"/>
                      <a:ext cx="4154805" cy="2044700"/>
                    </a:xfrm>
                    <a:prstGeom prst="rect">
                      <a:avLst/>
                    </a:prstGeom>
                  </pic:spPr>
                </pic:pic>
              </a:graphicData>
            </a:graphic>
          </wp:anchor>
        </w:drawing>
      </w:r>
      <w:r>
        <w:rPr>
          <w:rFonts w:hint="eastAsia" w:ascii="方正仿宋_GBK" w:hAnsi="方正仿宋_GBK" w:eastAsia="方正仿宋_GBK" w:cs="方正仿宋_GBK"/>
          <w:w w:val="95"/>
          <w:sz w:val="32"/>
          <w:szCs w:val="32"/>
          <w:lang w:val="en-US" w:eastAsia="zh-CN" w:bidi="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left="0" w:leftChars="0" w:right="0" w:rightChars="0" w:firstLine="608" w:firstLineChars="200"/>
        <w:jc w:val="left"/>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left="0" w:leftChars="0" w:right="0" w:rightChars="0" w:firstLine="608" w:firstLineChars="200"/>
        <w:jc w:val="left"/>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left="0" w:leftChars="0" w:right="0" w:rightChars="0" w:firstLine="608" w:firstLineChars="200"/>
        <w:jc w:val="left"/>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left="0" w:leftChars="0" w:right="0" w:rightChars="0" w:firstLine="608" w:firstLineChars="200"/>
        <w:jc w:val="left"/>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right="0" w:rightChars="0"/>
        <w:jc w:val="left"/>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widowControl/>
        <w:numPr>
          <w:ilvl w:val="0"/>
          <w:numId w:val="0"/>
        </w:numPr>
        <w:kinsoku/>
        <w:wordWrap/>
        <w:overflowPunct/>
        <w:topLinePunct w:val="0"/>
        <w:bidi w:val="0"/>
        <w:adjustRightInd/>
        <w:snapToGrid/>
        <w:spacing w:before="0" w:after="0" w:line="240" w:lineRule="auto"/>
        <w:ind w:left="0" w:leftChars="0" w:right="0" w:rightChars="0" w:firstLine="643" w:firstLineChars="200"/>
        <w:jc w:val="left"/>
        <w:textAlignment w:val="auto"/>
        <w:outlineLvl w:val="1"/>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3.我参与的项目</w:t>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kern w:val="2"/>
          <w:sz w:val="32"/>
          <w:szCs w:val="32"/>
          <w:lang w:val="en-US" w:bidi="ar-SA"/>
        </w:rPr>
      </w:pPr>
      <w:r>
        <w:rPr>
          <w:rFonts w:hint="eastAsia" w:ascii="方正仿宋_GBK" w:hAnsi="方正仿宋_GBK" w:eastAsia="方正仿宋_GBK" w:cs="方正仿宋_GBK"/>
          <w:kern w:val="2"/>
          <w:sz w:val="32"/>
          <w:szCs w:val="32"/>
          <w:lang w:val="en-US" w:bidi="ar-SA"/>
        </w:rPr>
        <w:t>当报名成功后，进入“我参与的项目”模块，选择国有产权页签，可显示用户报名参与的所有项目列表，点击“进入项目”按钮，可对项目的后续流程进行操作。</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sz w:val="32"/>
          <w:szCs w:val="32"/>
        </w:rPr>
        <w:drawing>
          <wp:anchor distT="0" distB="0" distL="0" distR="0" simplePos="0" relativeHeight="251659264" behindDoc="1" locked="0" layoutInCell="1" allowOverlap="1">
            <wp:simplePos x="0" y="0"/>
            <wp:positionH relativeFrom="column">
              <wp:posOffset>193675</wp:posOffset>
            </wp:positionH>
            <wp:positionV relativeFrom="paragraph">
              <wp:posOffset>6985</wp:posOffset>
            </wp:positionV>
            <wp:extent cx="5061585" cy="2066925"/>
            <wp:effectExtent l="0" t="0" r="5715" b="9525"/>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4"/>
                    <a:stretch>
                      <a:fillRect/>
                    </a:stretch>
                  </pic:blipFill>
                  <pic:spPr>
                    <a:xfrm>
                      <a:off x="0" y="0"/>
                      <a:ext cx="5061585" cy="2066925"/>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第一步：转让公告</w:t>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 xml:space="preserve">  进入项目后，首先我们可以在【转让公告】节点查看到项目的转让公告、变更公告以及用户自己的报名信息，可对项目信息和自己的报名信息进行再次确认。</w:t>
      </w:r>
    </w:p>
    <w:p>
      <w:pPr>
        <w:keepNext w:val="0"/>
        <w:keepLines w:val="0"/>
        <w:pageBreakBefore w:val="0"/>
        <w:kinsoku/>
        <w:wordWrap/>
        <w:overflowPunct/>
        <w:topLinePunct w:val="0"/>
        <w:bidi w:val="0"/>
        <w:adjustRightInd/>
        <w:snapToGrid/>
        <w:spacing w:before="0" w:after="0" w:line="240" w:lineRule="auto"/>
        <w:ind w:left="0" w:leftChars="0" w:right="0" w:rightChars="0" w:firstLine="0" w:firstLineChars="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sz w:val="32"/>
          <w:szCs w:val="32"/>
        </w:rPr>
        <w:drawing>
          <wp:anchor distT="0" distB="0" distL="0" distR="0" simplePos="0" relativeHeight="251659264" behindDoc="0" locked="0" layoutInCell="1" allowOverlap="1">
            <wp:simplePos x="0" y="0"/>
            <wp:positionH relativeFrom="column">
              <wp:posOffset>155575</wp:posOffset>
            </wp:positionH>
            <wp:positionV relativeFrom="paragraph">
              <wp:posOffset>60325</wp:posOffset>
            </wp:positionV>
            <wp:extent cx="5414010" cy="3054350"/>
            <wp:effectExtent l="0" t="0" r="15240" b="12700"/>
            <wp:wrapTopAndBottom/>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5"/>
                    <a:stretch>
                      <a:fillRect/>
                    </a:stretch>
                  </pic:blipFill>
                  <pic:spPr>
                    <a:xfrm>
                      <a:off x="0" y="0"/>
                      <a:ext cx="5414010" cy="3054350"/>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第二步：资格审查结果</w:t>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资格审查结果】你可查看政府采购和出让中心对竞价人报名资料的审查结果。审查“合格”后可点击“查看”按钮查看审查结果确认书，审查结果确认书内含有保证金缴纳相关的重要信息，包括“保证金缴纳截止时间”和“保证金缴纳账户信息”，需要仔细阅览，了解信息后进入下一步保证金缴纳阶段。（报名截止后方可查看资格审查结果）</w:t>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sz w:val="32"/>
          <w:szCs w:val="32"/>
        </w:rPr>
        <w:drawing>
          <wp:anchor distT="0" distB="0" distL="0" distR="0" simplePos="0" relativeHeight="251659264" behindDoc="1" locked="0" layoutInCell="1" allowOverlap="1">
            <wp:simplePos x="0" y="0"/>
            <wp:positionH relativeFrom="column">
              <wp:posOffset>31750</wp:posOffset>
            </wp:positionH>
            <wp:positionV relativeFrom="paragraph">
              <wp:posOffset>124460</wp:posOffset>
            </wp:positionV>
            <wp:extent cx="5546090" cy="2611755"/>
            <wp:effectExtent l="0" t="0" r="16510" b="17145"/>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6"/>
                    <a:stretch>
                      <a:fillRect/>
                    </a:stretch>
                  </pic:blipFill>
                  <pic:spPr>
                    <a:xfrm>
                      <a:off x="0" y="0"/>
                      <a:ext cx="5546090" cy="2611755"/>
                    </a:xfrm>
                    <a:prstGeom prst="rect">
                      <a:avLst/>
                    </a:prstGeom>
                  </pic:spPr>
                </pic:pic>
              </a:graphicData>
            </a:graphic>
          </wp:anchor>
        </w:drawing>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sz w:val="32"/>
          <w:szCs w:val="32"/>
        </w:rPr>
        <w:drawing>
          <wp:anchor distT="0" distB="0" distL="0" distR="0" simplePos="0" relativeHeight="251659264" behindDoc="1" locked="0" layoutInCell="1" allowOverlap="1">
            <wp:simplePos x="0" y="0"/>
            <wp:positionH relativeFrom="column">
              <wp:posOffset>47625</wp:posOffset>
            </wp:positionH>
            <wp:positionV relativeFrom="paragraph">
              <wp:posOffset>61595</wp:posOffset>
            </wp:positionV>
            <wp:extent cx="5603240" cy="2545715"/>
            <wp:effectExtent l="0" t="0" r="16510" b="6985"/>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7"/>
                    <a:stretch>
                      <a:fillRect/>
                    </a:stretch>
                  </pic:blipFill>
                  <pic:spPr>
                    <a:xfrm>
                      <a:off x="0" y="0"/>
                      <a:ext cx="5603240" cy="2545715"/>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第三步：</w:t>
      </w:r>
      <w:r>
        <w:rPr>
          <w:rFonts w:hint="eastAsia" w:ascii="方正仿宋_GBK" w:hAnsi="方正仿宋_GBK" w:eastAsia="方正仿宋_GBK" w:cs="方正仿宋_GBK"/>
          <w:b/>
          <w:kern w:val="2"/>
          <w:sz w:val="32"/>
          <w:szCs w:val="32"/>
          <w:highlight w:val="none"/>
          <w:lang w:val="en-US" w:eastAsia="zh-CN" w:bidi="ar-SA"/>
        </w:rPr>
        <w:t>缴纳保证金</w:t>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特别提醒：</w:t>
      </w:r>
      <w:r>
        <w:rPr>
          <w:rFonts w:hint="eastAsia" w:ascii="方正仿宋_GBK" w:hAnsi="方正仿宋_GBK" w:eastAsia="方正仿宋_GBK" w:cs="方正仿宋_GBK"/>
          <w:color w:val="C00000"/>
          <w:kern w:val="2"/>
          <w:sz w:val="32"/>
          <w:szCs w:val="32"/>
          <w:lang w:val="en-US" w:eastAsia="zh-CN" w:bidi="ar-SA"/>
        </w:rPr>
        <w:t>目前</w:t>
      </w:r>
      <w:r>
        <w:rPr>
          <w:rFonts w:hint="eastAsia" w:ascii="方正仿宋_GBK" w:hAnsi="方正仿宋_GBK" w:eastAsia="方正仿宋_GBK" w:cs="方正仿宋_GBK"/>
          <w:kern w:val="2"/>
          <w:sz w:val="32"/>
          <w:szCs w:val="32"/>
          <w:lang w:val="en-US" w:eastAsia="zh-CN" w:bidi="ar-SA"/>
        </w:rPr>
        <w:t>系统采用的是</w:t>
      </w:r>
      <w:r>
        <w:rPr>
          <w:rFonts w:hint="eastAsia" w:ascii="方正仿宋_GBK" w:hAnsi="方正仿宋_GBK" w:eastAsia="方正仿宋_GBK" w:cs="方正仿宋_GBK"/>
          <w:kern w:val="2"/>
          <w:sz w:val="32"/>
          <w:szCs w:val="32"/>
          <w:u w:val="single"/>
          <w:lang w:val="en-US" w:eastAsia="zh-CN" w:bidi="ar-SA"/>
        </w:rPr>
        <w:t>线下保证金缴纳</w:t>
      </w:r>
      <w:r>
        <w:rPr>
          <w:rFonts w:hint="eastAsia" w:ascii="方正仿宋_GBK" w:hAnsi="方正仿宋_GBK" w:eastAsia="方正仿宋_GBK" w:cs="方正仿宋_GBK"/>
          <w:kern w:val="2"/>
          <w:sz w:val="32"/>
          <w:szCs w:val="32"/>
          <w:lang w:val="en-US" w:eastAsia="zh-CN" w:bidi="ar-SA"/>
        </w:rPr>
        <w:t>方式，建议请竞价人在</w:t>
      </w:r>
      <w:r>
        <w:rPr>
          <w:rFonts w:hint="eastAsia" w:ascii="方正仿宋_GBK" w:hAnsi="方正仿宋_GBK" w:eastAsia="方正仿宋_GBK" w:cs="方正仿宋_GBK"/>
          <w:color w:val="C00000"/>
          <w:kern w:val="2"/>
          <w:sz w:val="32"/>
          <w:szCs w:val="32"/>
          <w:u w:val="single"/>
          <w:lang w:val="en-US" w:eastAsia="zh-CN" w:bidi="ar-SA"/>
        </w:rPr>
        <w:t>报名前</w:t>
      </w:r>
      <w:r>
        <w:rPr>
          <w:rFonts w:hint="eastAsia" w:ascii="方正仿宋_GBK" w:hAnsi="方正仿宋_GBK" w:eastAsia="方正仿宋_GBK" w:cs="方正仿宋_GBK"/>
          <w:kern w:val="2"/>
          <w:sz w:val="32"/>
          <w:szCs w:val="32"/>
          <w:lang w:val="en-US" w:eastAsia="zh-CN" w:bidi="ar-SA"/>
        </w:rPr>
        <w:t>就按照公告要求，提前按公告中保证金缴款账号信息进行汇款，</w:t>
      </w:r>
      <w:r>
        <w:rPr>
          <w:rFonts w:hint="eastAsia" w:ascii="方正仿宋_GBK" w:hAnsi="方正仿宋_GBK" w:eastAsia="方正仿宋_GBK" w:cs="方正仿宋_GBK"/>
          <w:color w:val="C00000"/>
          <w:kern w:val="2"/>
          <w:sz w:val="32"/>
          <w:szCs w:val="32"/>
          <w:u w:val="single"/>
          <w:lang w:val="en-US" w:eastAsia="zh-CN" w:bidi="ar-SA"/>
        </w:rPr>
        <w:t>把保证金提前缴纳到账</w:t>
      </w:r>
      <w:r>
        <w:rPr>
          <w:rFonts w:hint="eastAsia" w:ascii="方正仿宋_GBK" w:hAnsi="方正仿宋_GBK" w:eastAsia="方正仿宋_GBK" w:cs="方正仿宋_GBK"/>
          <w:kern w:val="2"/>
          <w:sz w:val="32"/>
          <w:szCs w:val="32"/>
          <w:lang w:val="en-US" w:eastAsia="zh-CN" w:bidi="ar-SA"/>
        </w:rPr>
        <w:t>。竞价人报名成功，</w:t>
      </w:r>
      <w:r>
        <w:rPr>
          <w:rFonts w:hint="eastAsia" w:ascii="方正仿宋_GBK" w:hAnsi="方正仿宋_GBK" w:eastAsia="方正仿宋_GBK" w:cs="方正仿宋_GBK"/>
          <w:kern w:val="2"/>
          <w:sz w:val="32"/>
          <w:szCs w:val="32"/>
          <w:highlight w:val="none"/>
          <w:lang w:val="en-US" w:eastAsia="zh-CN" w:bidi="ar-SA"/>
        </w:rPr>
        <w:t>缴纳保证金</w:t>
      </w:r>
      <w:r>
        <w:rPr>
          <w:rFonts w:hint="eastAsia" w:ascii="方正仿宋_GBK" w:hAnsi="方正仿宋_GBK" w:eastAsia="方正仿宋_GBK" w:cs="方正仿宋_GBK"/>
          <w:kern w:val="2"/>
          <w:sz w:val="32"/>
          <w:szCs w:val="32"/>
          <w:lang w:val="en-US" w:eastAsia="zh-CN" w:bidi="ar-SA"/>
        </w:rPr>
        <w:t>到账后才具有</w:t>
      </w:r>
      <w:r>
        <w:rPr>
          <w:rFonts w:hint="eastAsia" w:ascii="方正仿宋_GBK" w:hAnsi="方正仿宋_GBK" w:eastAsia="方正仿宋_GBK" w:cs="方正仿宋_GBK"/>
          <w:color w:val="C00000"/>
          <w:kern w:val="2"/>
          <w:sz w:val="32"/>
          <w:szCs w:val="32"/>
          <w:u w:val="single"/>
          <w:lang w:val="en-US" w:eastAsia="zh-CN" w:bidi="ar-SA"/>
        </w:rPr>
        <w:t>竞价资格</w:t>
      </w:r>
      <w:r>
        <w:rPr>
          <w:rFonts w:hint="eastAsia" w:ascii="方正仿宋_GBK" w:hAnsi="方正仿宋_GBK" w:eastAsia="方正仿宋_GBK" w:cs="方正仿宋_GBK"/>
          <w:kern w:val="2"/>
          <w:sz w:val="32"/>
          <w:szCs w:val="32"/>
          <w:lang w:val="en-US" w:eastAsia="zh-CN" w:bidi="ar-SA"/>
        </w:rPr>
        <w:t>。（按照目前线下</w:t>
      </w:r>
      <w:r>
        <w:rPr>
          <w:rFonts w:hint="eastAsia" w:ascii="方正仿宋_GBK" w:hAnsi="方正仿宋_GBK" w:eastAsia="方正仿宋_GBK" w:cs="方正仿宋_GBK"/>
          <w:kern w:val="2"/>
          <w:sz w:val="32"/>
          <w:szCs w:val="32"/>
          <w:highlight w:val="none"/>
          <w:lang w:val="en-US" w:eastAsia="zh-CN" w:bidi="ar-SA"/>
        </w:rPr>
        <w:t>缴纳保证金</w:t>
      </w:r>
      <w:r>
        <w:rPr>
          <w:rFonts w:hint="eastAsia" w:ascii="方正仿宋_GBK" w:hAnsi="方正仿宋_GBK" w:eastAsia="方正仿宋_GBK" w:cs="方正仿宋_GBK"/>
          <w:kern w:val="2"/>
          <w:sz w:val="32"/>
          <w:szCs w:val="32"/>
          <w:lang w:val="en-US" w:eastAsia="zh-CN" w:bidi="ar-SA"/>
        </w:rPr>
        <w:t>系统设置，竞价人需要等到政府采购和出让中心进行资格确认，在由公共资源交易中心进行保证金到账确认操作完成后，竞价人方能进入竞价环节。）</w:t>
      </w:r>
    </w:p>
    <w:p>
      <w:pPr>
        <w:keepNext w:val="0"/>
        <w:keepLines w:val="0"/>
        <w:pageBreakBefore w:val="0"/>
        <w:tabs>
          <w:tab w:val="left" w:pos="753"/>
        </w:tabs>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ab/>
      </w:r>
      <w:r>
        <w:rPr>
          <w:rFonts w:hint="eastAsia" w:ascii="方正仿宋_GBK" w:hAnsi="方正仿宋_GBK" w:eastAsia="方正仿宋_GBK" w:cs="方正仿宋_GBK"/>
          <w:kern w:val="2"/>
          <w:sz w:val="32"/>
          <w:szCs w:val="32"/>
          <w:lang w:val="en-US" w:eastAsia="zh-CN" w:bidi="ar-SA"/>
        </w:rPr>
        <w:t>待系统完善后，</w:t>
      </w:r>
      <w:r>
        <w:rPr>
          <w:rFonts w:hint="eastAsia" w:ascii="方正仿宋_GBK" w:hAnsi="方正仿宋_GBK" w:eastAsia="方正仿宋_GBK" w:cs="方正仿宋_GBK"/>
          <w:color w:val="C00000"/>
          <w:kern w:val="2"/>
          <w:sz w:val="32"/>
          <w:szCs w:val="32"/>
          <w:lang w:val="en-US" w:eastAsia="zh-CN" w:bidi="ar-SA"/>
        </w:rPr>
        <w:t>线上保证金</w:t>
      </w:r>
      <w:r>
        <w:rPr>
          <w:rFonts w:hint="eastAsia" w:ascii="方正仿宋_GBK" w:hAnsi="方正仿宋_GBK" w:eastAsia="方正仿宋_GBK" w:cs="方正仿宋_GBK"/>
          <w:kern w:val="2"/>
          <w:sz w:val="32"/>
          <w:szCs w:val="32"/>
          <w:lang w:val="en-US" w:eastAsia="zh-CN" w:bidi="ar-SA"/>
        </w:rPr>
        <w:t>缴纳按以下流程：</w:t>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竞价人根据“审查结果确认书”中缴款账号信息进行汇款。</w:t>
      </w:r>
      <w:r>
        <w:rPr>
          <w:rFonts w:hint="eastAsia" w:ascii="方正仿宋_GBK" w:hAnsi="方正仿宋_GBK" w:eastAsia="方正仿宋_GBK" w:cs="方正仿宋_GBK"/>
          <w:color w:val="C00000"/>
          <w:kern w:val="2"/>
          <w:sz w:val="32"/>
          <w:szCs w:val="32"/>
          <w:highlight w:val="none"/>
          <w:lang w:val="en-US" w:eastAsia="zh-CN" w:bidi="ar-SA"/>
        </w:rPr>
        <w:t>缴纳保证金</w:t>
      </w:r>
      <w:r>
        <w:rPr>
          <w:rFonts w:hint="eastAsia" w:ascii="方正仿宋_GBK" w:hAnsi="方正仿宋_GBK" w:eastAsia="方正仿宋_GBK" w:cs="方正仿宋_GBK"/>
          <w:color w:val="C00000"/>
          <w:kern w:val="2"/>
          <w:sz w:val="32"/>
          <w:szCs w:val="32"/>
          <w:lang w:val="en-US" w:eastAsia="zh-CN" w:bidi="ar-SA"/>
        </w:rPr>
        <w:t>的付款账户必须是用户注册时登记的企业基本账户。</w:t>
      </w:r>
      <w:r>
        <w:rPr>
          <w:rFonts w:hint="eastAsia" w:ascii="方正仿宋_GBK" w:hAnsi="方正仿宋_GBK" w:eastAsia="方正仿宋_GBK" w:cs="方正仿宋_GBK"/>
          <w:kern w:val="2"/>
          <w:sz w:val="32"/>
          <w:szCs w:val="32"/>
          <w:lang w:val="en-US" w:eastAsia="zh-CN" w:bidi="ar-SA"/>
        </w:rPr>
        <w:t>请注意保证金截止时间，保证金的确认和绑定必须在保证金缴纳时间截止前成功。</w:t>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1）确认保证金缴纳</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竞价人</w:t>
      </w:r>
      <w:r>
        <w:rPr>
          <w:rFonts w:hint="eastAsia" w:ascii="方正仿宋_GBK" w:hAnsi="方正仿宋_GBK" w:eastAsia="方正仿宋_GBK" w:cs="方正仿宋_GBK"/>
          <w:w w:val="95"/>
          <w:sz w:val="32"/>
          <w:szCs w:val="32"/>
          <w:highlight w:val="none"/>
          <w:lang w:val="en-US" w:eastAsia="zh-CN" w:bidi="zh-CN"/>
        </w:rPr>
        <w:t>缴纳保证金</w:t>
      </w:r>
      <w:r>
        <w:rPr>
          <w:rFonts w:hint="eastAsia" w:ascii="方正仿宋_GBK" w:hAnsi="方正仿宋_GBK" w:eastAsia="方正仿宋_GBK" w:cs="方正仿宋_GBK"/>
          <w:w w:val="95"/>
          <w:sz w:val="32"/>
          <w:szCs w:val="32"/>
          <w:lang w:val="en-US" w:eastAsia="zh-CN" w:bidi="zh-CN"/>
        </w:rPr>
        <w:t>后可在点击“绑定保证金”按钮查看缴款信息以及确认保证金是否到账，保证金到账后确认信息无误后点击“确认”按钮，对保证金款项与项目进行绑定。</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color w:val="FF0000"/>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color w:val="FF0000"/>
          <w:w w:val="95"/>
          <w:sz w:val="32"/>
          <w:szCs w:val="32"/>
          <w:lang w:val="en-US" w:eastAsia="zh-CN" w:bidi="zh-CN"/>
        </w:rPr>
        <w:t>*1、如用户注册办理CA时登记的银行账号与</w:t>
      </w:r>
      <w:r>
        <w:rPr>
          <w:rFonts w:hint="eastAsia" w:ascii="方正仿宋_GBK" w:hAnsi="方正仿宋_GBK" w:eastAsia="方正仿宋_GBK" w:cs="方正仿宋_GBK"/>
          <w:color w:val="FF0000"/>
          <w:w w:val="95"/>
          <w:sz w:val="32"/>
          <w:szCs w:val="32"/>
          <w:highlight w:val="none"/>
          <w:lang w:val="en-US" w:eastAsia="zh-CN" w:bidi="zh-CN"/>
        </w:rPr>
        <w:t>缴纳保证金</w:t>
      </w:r>
      <w:r>
        <w:rPr>
          <w:rFonts w:hint="eastAsia" w:ascii="方正仿宋_GBK" w:hAnsi="方正仿宋_GBK" w:eastAsia="方正仿宋_GBK" w:cs="方正仿宋_GBK"/>
          <w:color w:val="FF0000"/>
          <w:w w:val="95"/>
          <w:sz w:val="32"/>
          <w:szCs w:val="32"/>
          <w:lang w:val="en-US" w:eastAsia="zh-CN" w:bidi="zh-CN"/>
        </w:rPr>
        <w:t>账号不一致，将无法确认成功</w:t>
      </w:r>
      <w:r>
        <w:rPr>
          <w:rFonts w:hint="eastAsia" w:ascii="方正仿宋_GBK" w:hAnsi="方正仿宋_GBK" w:eastAsia="方正仿宋_GBK" w:cs="方正仿宋_GBK"/>
          <w:w w:val="95"/>
          <w:sz w:val="32"/>
          <w:szCs w:val="32"/>
          <w:lang w:val="en-US" w:eastAsia="zh-CN" w:bidi="zh-CN"/>
        </w:rPr>
        <w:t>。</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sz w:val="32"/>
          <w:szCs w:val="32"/>
        </w:rPr>
        <w:drawing>
          <wp:anchor distT="0" distB="0" distL="0" distR="0" simplePos="0" relativeHeight="251659264" behindDoc="1" locked="0" layoutInCell="1" allowOverlap="1">
            <wp:simplePos x="0" y="0"/>
            <wp:positionH relativeFrom="column">
              <wp:posOffset>355600</wp:posOffset>
            </wp:positionH>
            <wp:positionV relativeFrom="paragraph">
              <wp:posOffset>207010</wp:posOffset>
            </wp:positionV>
            <wp:extent cx="5454015" cy="2342515"/>
            <wp:effectExtent l="0" t="0" r="13335" b="635"/>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8"/>
                    <a:stretch>
                      <a:fillRect/>
                    </a:stretch>
                  </pic:blipFill>
                  <pic:spPr>
                    <a:xfrm>
                      <a:off x="0" y="0"/>
                      <a:ext cx="5454015" cy="2342515"/>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right="0" w:rightChars="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sz w:val="32"/>
          <w:szCs w:val="32"/>
        </w:rPr>
        <w:drawing>
          <wp:anchor distT="0" distB="0" distL="0" distR="0" simplePos="0" relativeHeight="251659264" behindDoc="1" locked="0" layoutInCell="1" allowOverlap="1">
            <wp:simplePos x="0" y="0"/>
            <wp:positionH relativeFrom="column">
              <wp:posOffset>260350</wp:posOffset>
            </wp:positionH>
            <wp:positionV relativeFrom="paragraph">
              <wp:posOffset>-265430</wp:posOffset>
            </wp:positionV>
            <wp:extent cx="5325110" cy="2505075"/>
            <wp:effectExtent l="0" t="0" r="8890" b="9525"/>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9"/>
                    <a:stretch>
                      <a:fillRect/>
                    </a:stretch>
                  </pic:blipFill>
                  <pic:spPr>
                    <a:xfrm>
                      <a:off x="0" y="0"/>
                      <a:ext cx="5325110" cy="2505075"/>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0" w:firstLineChars="200"/>
        <w:jc w:val="both"/>
        <w:textAlignment w:val="auto"/>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2）保证金异常处理</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若用户注册办理CA数字证书登记所填银行账号与实际</w:t>
      </w:r>
      <w:r>
        <w:rPr>
          <w:rFonts w:hint="eastAsia" w:ascii="方正仿宋_GBK" w:hAnsi="方正仿宋_GBK" w:eastAsia="方正仿宋_GBK" w:cs="方正仿宋_GBK"/>
          <w:w w:val="95"/>
          <w:sz w:val="32"/>
          <w:szCs w:val="32"/>
          <w:highlight w:val="none"/>
          <w:lang w:val="en-US" w:eastAsia="zh-CN" w:bidi="zh-CN"/>
        </w:rPr>
        <w:t>缴纳保证金</w:t>
      </w:r>
      <w:r>
        <w:rPr>
          <w:rFonts w:hint="eastAsia" w:ascii="方正仿宋_GBK" w:hAnsi="方正仿宋_GBK" w:eastAsia="方正仿宋_GBK" w:cs="方正仿宋_GBK"/>
          <w:w w:val="95"/>
          <w:sz w:val="32"/>
          <w:szCs w:val="32"/>
          <w:lang w:val="en-US" w:eastAsia="zh-CN" w:bidi="zh-CN"/>
        </w:rPr>
        <w:t>账号不一致，缴纳的保证金无法确认，可在银行来款记录模块【纠正】按钮提交纠正申请，具体情况处理可见下图：</w:t>
      </w: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sz w:val="32"/>
          <w:szCs w:val="32"/>
        </w:rPr>
        <w:drawing>
          <wp:anchor distT="0" distB="0" distL="0" distR="0" simplePos="0" relativeHeight="251659264" behindDoc="1" locked="0" layoutInCell="1" allowOverlap="1">
            <wp:simplePos x="0" y="0"/>
            <wp:positionH relativeFrom="column">
              <wp:posOffset>361315</wp:posOffset>
            </wp:positionH>
            <wp:positionV relativeFrom="paragraph">
              <wp:posOffset>153035</wp:posOffset>
            </wp:positionV>
            <wp:extent cx="4646295" cy="1727835"/>
            <wp:effectExtent l="0" t="0" r="1905" b="5715"/>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0"/>
                    <a:stretch>
                      <a:fillRect/>
                    </a:stretch>
                  </pic:blipFill>
                  <pic:spPr>
                    <a:xfrm>
                      <a:off x="0" y="0"/>
                      <a:ext cx="4646295" cy="1727835"/>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第四步：竞价</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取得竞价资格后，竞价人需关注竞价开始时间和截止时间，在规定时间内登录云南省公共资源交易平台进行报价操作。</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查看参与项目的竞价信息，若无异议，在竞价期间可进入 “竞价”节点，点击“进入竞价”按钮对已取得竞价资格的项目进行多次报价。</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网络竞价活动采用动态报价方式和连续报价方式进行。动态报价方式包含自由竞价和限时竞价，连续报价方式直接进行限时竞价。（若对竞价规则和流程还存在疑问，请下载文件《云南省公共资源交易平台国有产权电子交易规则》并查看第十二条及第十三条）</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sz w:val="32"/>
          <w:szCs w:val="32"/>
        </w:rPr>
        <w:drawing>
          <wp:anchor distT="0" distB="0" distL="0" distR="0" simplePos="0" relativeHeight="251659264" behindDoc="1" locked="0" layoutInCell="1" allowOverlap="1">
            <wp:simplePos x="0" y="0"/>
            <wp:positionH relativeFrom="column">
              <wp:posOffset>69850</wp:posOffset>
            </wp:positionH>
            <wp:positionV relativeFrom="paragraph">
              <wp:posOffset>286385</wp:posOffset>
            </wp:positionV>
            <wp:extent cx="5245735" cy="2183130"/>
            <wp:effectExtent l="0" t="0" r="12065" b="762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1"/>
                    <a:stretch>
                      <a:fillRect/>
                    </a:stretch>
                  </pic:blipFill>
                  <pic:spPr>
                    <a:xfrm>
                      <a:off x="0" y="0"/>
                      <a:ext cx="5245735" cy="2183130"/>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bCs/>
          <w:kern w:val="2"/>
          <w:sz w:val="32"/>
          <w:szCs w:val="32"/>
          <w:lang w:val="en-US" w:bidi="ar-SA"/>
        </w:rPr>
      </w:pPr>
      <w:r>
        <w:rPr>
          <w:rFonts w:hint="eastAsia" w:ascii="方正仿宋_GBK" w:hAnsi="方正仿宋_GBK" w:eastAsia="方正仿宋_GBK" w:cs="方正仿宋_GBK"/>
          <w:b/>
          <w:bCs/>
          <w:kern w:val="2"/>
          <w:sz w:val="32"/>
          <w:szCs w:val="32"/>
          <w:lang w:val="en-US" w:bidi="ar-SA"/>
        </w:rPr>
        <w:t>注：报价幅度须输入整数“0-100”，仅在报起始价时可输入整数“0”。（输0时为报</w:t>
      </w:r>
      <w:r>
        <w:rPr>
          <w:rFonts w:hint="eastAsia" w:ascii="方正仿宋_GBK" w:hAnsi="方正仿宋_GBK" w:eastAsia="方正仿宋_GBK" w:cs="方正仿宋_GBK"/>
          <w:b/>
          <w:bCs/>
          <w:kern w:val="2"/>
          <w:sz w:val="32"/>
          <w:szCs w:val="32"/>
          <w:lang w:val="en-US" w:eastAsia="zh-CN" w:bidi="ar-SA"/>
        </w:rPr>
        <w:t>底</w:t>
      </w:r>
      <w:r>
        <w:rPr>
          <w:rFonts w:hint="eastAsia" w:ascii="方正仿宋_GBK" w:hAnsi="方正仿宋_GBK" w:eastAsia="方正仿宋_GBK" w:cs="方正仿宋_GBK"/>
          <w:b/>
          <w:bCs/>
          <w:kern w:val="2"/>
          <w:sz w:val="32"/>
          <w:szCs w:val="32"/>
          <w:lang w:val="en-US" w:bidi="ar-SA"/>
        </w:rPr>
        <w:t>价）报价输完点确定报价—确定即可，多人竞价是注意自己的报价界面、最高报价界面，多人报价成交后会提示成交界面。</w:t>
      </w: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sz w:val="32"/>
          <w:szCs w:val="32"/>
        </w:rPr>
        <w:drawing>
          <wp:anchor distT="0" distB="0" distL="0" distR="0" simplePos="0" relativeHeight="251659264" behindDoc="1" locked="0" layoutInCell="1" allowOverlap="1">
            <wp:simplePos x="0" y="0"/>
            <wp:positionH relativeFrom="column">
              <wp:posOffset>218440</wp:posOffset>
            </wp:positionH>
            <wp:positionV relativeFrom="paragraph">
              <wp:posOffset>54610</wp:posOffset>
            </wp:positionV>
            <wp:extent cx="5415280" cy="2042795"/>
            <wp:effectExtent l="0" t="0" r="13970" b="14605"/>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2"/>
                    <a:stretch>
                      <a:fillRect/>
                    </a:stretch>
                  </pic:blipFill>
                  <pic:spPr>
                    <a:xfrm>
                      <a:off x="0" y="0"/>
                      <a:ext cx="5415280" cy="2042795"/>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提醒注意：</w:t>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由于报价会因网络传输原因导致存在延迟显示的现象，请不要连续点击报价按钮，可点击一次，刷新以后在确认是否继续报价，否则可能会出现一人报价几次的状态。</w:t>
      </w: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default" w:ascii="方正仿宋_GBK" w:hAnsi="方正仿宋_GBK" w:eastAsia="方正仿宋_GBK" w:cs="方正仿宋_GBK"/>
          <w:b/>
          <w:kern w:val="2"/>
          <w:sz w:val="32"/>
          <w:szCs w:val="32"/>
          <w:lang w:val="en-US" w:eastAsia="zh-CN" w:bidi="ar-SA"/>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第五步：成交结果确认</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请竞得人在竞价结束3个工作日内，按照公告要求，持个人身份证（原件）及报名纸质资料到公共资源交易中心现场签订《成交结果确认书》（一式三份）。</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第六步：签订《合同》办理标的物移交</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竞得人持有盖章的《成交结果确认书》及身份证等相关证件，现场与出让方签署《产权出让合同》，并按合同约定缴纳成交价款到达出让方指定账户后，由出让方协助竞得人办理标的物移交过户。</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第七步：保证金退还</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未竞得人的保证金是在竞价结束后，公共资源交易中心原路径退还未竞得人的保证金。竞得人保证金是</w:t>
      </w:r>
      <w:r>
        <w:rPr>
          <w:rFonts w:hint="eastAsia" w:ascii="方正仿宋_GBK" w:hAnsi="方正仿宋_GBK" w:eastAsia="方正仿宋_GBK" w:cs="方正仿宋_GBK"/>
          <w:w w:val="95"/>
          <w:sz w:val="32"/>
          <w:szCs w:val="32"/>
          <w:highlight w:val="none"/>
          <w:lang w:val="en-US" w:eastAsia="zh-CN" w:bidi="zh-CN"/>
        </w:rPr>
        <w:t>在竞</w:t>
      </w:r>
      <w:r>
        <w:rPr>
          <w:rFonts w:hint="eastAsia" w:ascii="方正仿宋_GBK" w:hAnsi="方正仿宋_GBK" w:eastAsia="方正仿宋_GBK" w:cs="方正仿宋_GBK"/>
          <w:w w:val="95"/>
          <w:sz w:val="32"/>
          <w:szCs w:val="32"/>
          <w:lang w:val="en-US" w:eastAsia="zh-CN" w:bidi="zh-CN"/>
        </w:rPr>
        <w:t>得人与出让方签订《合同》后，公共资源交易中心原路径退还竞得人的保证金。公共资源交易中心按照有关规定退还保证金，办理时限最长不得超过1个工作日。</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autoSpaceDE/>
        <w:autoSpaceDN/>
        <w:bidi w:val="0"/>
        <w:adjustRightInd/>
        <w:snapToGrid/>
        <w:spacing w:before="0" w:after="0" w:line="240" w:lineRule="auto"/>
        <w:ind w:left="0" w:leftChars="0" w:right="0" w:rightChars="0" w:firstLine="643" w:firstLineChars="200"/>
        <w:jc w:val="both"/>
        <w:textAlignment w:val="auto"/>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第八步：结果公示</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查看由政府采购出让中心发布的结果公示信息以及结果情况通知。</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sz w:val="32"/>
          <w:szCs w:val="32"/>
        </w:rPr>
        <w:drawing>
          <wp:anchor distT="0" distB="0" distL="0" distR="0" simplePos="0" relativeHeight="251659264" behindDoc="1" locked="0" layoutInCell="1" allowOverlap="1">
            <wp:simplePos x="0" y="0"/>
            <wp:positionH relativeFrom="column">
              <wp:posOffset>103505</wp:posOffset>
            </wp:positionH>
            <wp:positionV relativeFrom="paragraph">
              <wp:posOffset>168275</wp:posOffset>
            </wp:positionV>
            <wp:extent cx="5396865" cy="2927350"/>
            <wp:effectExtent l="0" t="0" r="13335" b="635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3"/>
                    <a:stretch>
                      <a:fillRect/>
                    </a:stretch>
                  </pic:blipFill>
                  <pic:spPr>
                    <a:xfrm>
                      <a:off x="0" y="0"/>
                      <a:ext cx="5396865" cy="2927350"/>
                    </a:xfrm>
                    <a:prstGeom prst="rect">
                      <a:avLst/>
                    </a:prstGeom>
                  </pic:spPr>
                </pic:pic>
              </a:graphicData>
            </a:graphic>
          </wp:anchor>
        </w:drawing>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sz w:val="32"/>
          <w:szCs w:val="32"/>
          <w:lang w:val="en-US" w:eastAsia="zh-CN" w:bidi="zh-CN"/>
        </w:rPr>
      </w:pPr>
    </w:p>
    <w:p>
      <w:pPr>
        <w:keepNext w:val="0"/>
        <w:keepLines w:val="0"/>
        <w:pageBreakBefore w:val="0"/>
        <w:kinsoku/>
        <w:wordWrap/>
        <w:overflowPunct/>
        <w:topLinePunct w:val="0"/>
        <w:bidi w:val="0"/>
        <w:adjustRightInd/>
        <w:snapToGrid/>
        <w:spacing w:before="0" w:after="0" w:line="240" w:lineRule="auto"/>
        <w:ind w:left="0" w:leftChars="0" w:right="0" w:rightChars="0" w:firstLine="640" w:firstLineChars="200"/>
        <w:textAlignment w:val="auto"/>
        <w:rPr>
          <w:rFonts w:hint="eastAsia" w:ascii="方正仿宋_GBK" w:hAnsi="方正仿宋_GBK" w:eastAsia="方正仿宋_GBK" w:cs="方正仿宋_GBK"/>
          <w:sz w:val="32"/>
          <w:szCs w:val="32"/>
          <w:lang w:val="en-US" w:eastAsia="zh-CN" w:bidi="zh-CN"/>
        </w:rPr>
      </w:pPr>
      <w:r>
        <w:rPr>
          <w:rFonts w:hint="eastAsia" w:ascii="方正仿宋_GBK" w:hAnsi="方正仿宋_GBK" w:eastAsia="方正仿宋_GBK" w:cs="方正仿宋_GBK"/>
          <w:sz w:val="32"/>
          <w:szCs w:val="32"/>
          <w:lang w:val="en-US" w:eastAsia="zh-CN" w:bidi="zh-CN"/>
        </w:rPr>
        <w:t>五、业务咨询电话</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玉溪市公共资源交易中心产权交易科服务热线：0877-6694255</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玉溪市公共资源交易中心保证金服务热线：0877-6987085</w:t>
      </w:r>
    </w:p>
    <w:p>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firstLine="608" w:firstLineChars="200"/>
        <w:jc w:val="both"/>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市公共资源交易中心信息科服务热线：0877-6694256</w:t>
      </w:r>
    </w:p>
    <w:p>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firstLine="608" w:firstLineChars="200"/>
        <w:jc w:val="left"/>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 xml:space="preserve">CA数字证书办理服务热线：18869746880 </w:t>
      </w:r>
    </w:p>
    <w:p>
      <w:pPr>
        <w:keepNext w:val="0"/>
        <w:keepLines w:val="0"/>
        <w:pageBreakBefore w:val="0"/>
        <w:widowControl w:val="0"/>
        <w:kinsoku/>
        <w:wordWrap/>
        <w:overflowPunct/>
        <w:topLinePunct w:val="0"/>
        <w:autoSpaceDE w:val="0"/>
        <w:autoSpaceDN w:val="0"/>
        <w:bidi w:val="0"/>
        <w:adjustRightInd/>
        <w:snapToGrid/>
        <w:spacing w:before="0" w:after="0" w:line="240" w:lineRule="auto"/>
        <w:ind w:left="0" w:leftChars="0" w:right="0" w:rightChars="0" w:firstLine="608" w:firstLineChars="200"/>
        <w:jc w:val="both"/>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 xml:space="preserve">筑龙技术支持热线：010-86483801 </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红塔区产权交易服务热线：0877-2688096</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江川区产权交易服务热线：0877-8016519</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通海县产权交易服务热线：0877-3099822</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澄江市产权交易服务热线：0877-6715429</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华宁县产权交易服务热线：0877-5029123</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易门县产权交易服务热线：0877-4868217</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峨山县产权交易服务热线：0877-4067696</w:t>
      </w:r>
    </w:p>
    <w:p>
      <w:pPr>
        <w:keepNext w:val="0"/>
        <w:keepLines w:val="0"/>
        <w:pageBreakBefore w:val="0"/>
        <w:tabs>
          <w:tab w:val="center" w:pos="4424"/>
        </w:tabs>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新平县产权交易服务热线：0877-7022779</w:t>
      </w:r>
    </w:p>
    <w:p>
      <w:pPr>
        <w:keepNext w:val="0"/>
        <w:keepLines w:val="0"/>
        <w:pageBreakBefore w:val="0"/>
        <w:kinsoku/>
        <w:wordWrap/>
        <w:overflowPunct/>
        <w:topLinePunct w:val="0"/>
        <w:bidi w:val="0"/>
        <w:adjustRightInd/>
        <w:snapToGrid/>
        <w:spacing w:before="0" w:after="0" w:line="240" w:lineRule="auto"/>
        <w:ind w:left="0" w:leftChars="0" w:right="0" w:rightChars="0" w:firstLine="608" w:firstLineChars="200"/>
        <w:textAlignment w:val="auto"/>
        <w:rPr>
          <w:rFonts w:hint="eastAsia" w:ascii="方正仿宋_GBK" w:hAnsi="方正仿宋_GBK" w:eastAsia="方正仿宋_GBK" w:cs="方正仿宋_GBK"/>
          <w:w w:val="95"/>
          <w:sz w:val="32"/>
          <w:szCs w:val="32"/>
          <w:lang w:val="en-US" w:eastAsia="zh-CN" w:bidi="zh-CN"/>
        </w:rPr>
      </w:pPr>
      <w:r>
        <w:rPr>
          <w:rFonts w:hint="eastAsia" w:ascii="方正仿宋_GBK" w:hAnsi="方正仿宋_GBK" w:eastAsia="方正仿宋_GBK" w:cs="方正仿宋_GBK"/>
          <w:w w:val="95"/>
          <w:sz w:val="32"/>
          <w:szCs w:val="32"/>
          <w:lang w:val="en-US" w:eastAsia="zh-CN" w:bidi="zh-CN"/>
        </w:rPr>
        <w:t>华宁县产权交易服务热线：0877-6016917</w:t>
      </w:r>
    </w:p>
    <w:sectPr>
      <w:footerReference r:id="rId5" w:type="default"/>
      <w:pgSz w:w="11910" w:h="16840"/>
      <w:pgMar w:top="2041" w:right="1474" w:bottom="1304" w:left="1587" w:header="72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48"/>
      </w:rPr>
      <w:pict>
        <v:shape id="_x0000_s2057" o:spid="_x0000_s205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r>
      <w:pict>
        <v:shape id="_x0000_s2049" o:spid="_x0000_s2049" o:spt="202" type="#_x0000_t202" style="position:absolute;left:0pt;margin-left:294.3pt;margin-top:771.15pt;height:11.15pt;width:6.6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F6A334"/>
    <w:multiLevelType w:val="singleLevel"/>
    <w:tmpl w:val="4EF6A334"/>
    <w:lvl w:ilvl="0" w:tentative="0">
      <w:start w:val="1"/>
      <w:numFmt w:val="decimal"/>
      <w:suff w:val="nothing"/>
      <w:lvlText w:val="%1）"/>
      <w:lvlJc w:val="left"/>
    </w:lvl>
  </w:abstractNum>
  <w:abstractNum w:abstractNumId="1">
    <w:nsid w:val="590027B3"/>
    <w:multiLevelType w:val="multilevel"/>
    <w:tmpl w:val="590027B3"/>
    <w:lvl w:ilvl="0" w:tentative="0">
      <w:start w:val="2"/>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pStyle w:val="13"/>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14064F8"/>
    <w:rsid w:val="030E4A36"/>
    <w:rsid w:val="036C0E86"/>
    <w:rsid w:val="038A2C48"/>
    <w:rsid w:val="08582AB3"/>
    <w:rsid w:val="0A73116C"/>
    <w:rsid w:val="0C2C4623"/>
    <w:rsid w:val="0D9E73BE"/>
    <w:rsid w:val="0E2E15AC"/>
    <w:rsid w:val="0E364804"/>
    <w:rsid w:val="0F0120F4"/>
    <w:rsid w:val="0F640E2E"/>
    <w:rsid w:val="0F8947A1"/>
    <w:rsid w:val="10843EB2"/>
    <w:rsid w:val="1224357E"/>
    <w:rsid w:val="12794E1E"/>
    <w:rsid w:val="12EC7F09"/>
    <w:rsid w:val="19463C8C"/>
    <w:rsid w:val="19F74FE0"/>
    <w:rsid w:val="1A422BF0"/>
    <w:rsid w:val="1B17328E"/>
    <w:rsid w:val="1B5F7DBC"/>
    <w:rsid w:val="1BB05D55"/>
    <w:rsid w:val="1BCD17A0"/>
    <w:rsid w:val="1C3F2587"/>
    <w:rsid w:val="1C525476"/>
    <w:rsid w:val="1C8B7C85"/>
    <w:rsid w:val="1E851B22"/>
    <w:rsid w:val="1FFD2490"/>
    <w:rsid w:val="205B3788"/>
    <w:rsid w:val="21783260"/>
    <w:rsid w:val="21965F04"/>
    <w:rsid w:val="24530D81"/>
    <w:rsid w:val="247D0D62"/>
    <w:rsid w:val="24904ABB"/>
    <w:rsid w:val="24BF0A30"/>
    <w:rsid w:val="25E55451"/>
    <w:rsid w:val="269A6337"/>
    <w:rsid w:val="27BB2C61"/>
    <w:rsid w:val="29952F2E"/>
    <w:rsid w:val="29C0037A"/>
    <w:rsid w:val="2B7F5862"/>
    <w:rsid w:val="2B927F4D"/>
    <w:rsid w:val="2D66569D"/>
    <w:rsid w:val="2E2A52A4"/>
    <w:rsid w:val="2FA4280C"/>
    <w:rsid w:val="2FEE1CF4"/>
    <w:rsid w:val="30020DE2"/>
    <w:rsid w:val="312F5966"/>
    <w:rsid w:val="31405E15"/>
    <w:rsid w:val="34507373"/>
    <w:rsid w:val="350E58AF"/>
    <w:rsid w:val="36B07C4B"/>
    <w:rsid w:val="38D26BE0"/>
    <w:rsid w:val="3C9765FD"/>
    <w:rsid w:val="3E4046B1"/>
    <w:rsid w:val="4189648A"/>
    <w:rsid w:val="4367529E"/>
    <w:rsid w:val="47621FF6"/>
    <w:rsid w:val="47D5603E"/>
    <w:rsid w:val="4D2F012C"/>
    <w:rsid w:val="4DDD6429"/>
    <w:rsid w:val="4EE73B1F"/>
    <w:rsid w:val="4FD2150C"/>
    <w:rsid w:val="50C96E59"/>
    <w:rsid w:val="51406A57"/>
    <w:rsid w:val="51C013ED"/>
    <w:rsid w:val="52693E16"/>
    <w:rsid w:val="54707124"/>
    <w:rsid w:val="5554500B"/>
    <w:rsid w:val="56A30A52"/>
    <w:rsid w:val="585A0E14"/>
    <w:rsid w:val="587E6D94"/>
    <w:rsid w:val="58AE4A71"/>
    <w:rsid w:val="59103869"/>
    <w:rsid w:val="596561B0"/>
    <w:rsid w:val="59D179CD"/>
    <w:rsid w:val="5D93111C"/>
    <w:rsid w:val="5DC10022"/>
    <w:rsid w:val="5F06293F"/>
    <w:rsid w:val="603E0A9C"/>
    <w:rsid w:val="6080586E"/>
    <w:rsid w:val="62B37C37"/>
    <w:rsid w:val="633F4A99"/>
    <w:rsid w:val="63757963"/>
    <w:rsid w:val="64952FBD"/>
    <w:rsid w:val="64A30AB0"/>
    <w:rsid w:val="66EB7332"/>
    <w:rsid w:val="68721B97"/>
    <w:rsid w:val="69671C86"/>
    <w:rsid w:val="69FF33A2"/>
    <w:rsid w:val="6B4247C6"/>
    <w:rsid w:val="72603791"/>
    <w:rsid w:val="74F811F5"/>
    <w:rsid w:val="76072EFA"/>
    <w:rsid w:val="76980832"/>
    <w:rsid w:val="787C6C82"/>
    <w:rsid w:val="79E93F64"/>
    <w:rsid w:val="7AD01711"/>
    <w:rsid w:val="7B1917A3"/>
    <w:rsid w:val="7C0E1313"/>
    <w:rsid w:val="7C4169D7"/>
    <w:rsid w:val="7C595057"/>
    <w:rsid w:val="7CCC0F38"/>
    <w:rsid w:val="7DAA7EE0"/>
    <w:rsid w:val="7F502C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10"/>
      <w:ind w:left="860"/>
      <w:outlineLvl w:val="1"/>
    </w:pPr>
    <w:rPr>
      <w:rFonts w:ascii="宋体" w:hAnsi="宋体" w:eastAsia="宋体" w:cs="宋体"/>
      <w:sz w:val="56"/>
      <w:szCs w:val="56"/>
      <w:lang w:val="zh-CN" w:eastAsia="zh-CN" w:bidi="zh-CN"/>
    </w:rPr>
  </w:style>
  <w:style w:type="paragraph" w:styleId="3">
    <w:name w:val="heading 2"/>
    <w:basedOn w:val="1"/>
    <w:next w:val="1"/>
    <w:qFormat/>
    <w:uiPriority w:val="1"/>
    <w:pPr>
      <w:ind w:left="424" w:hanging="968"/>
      <w:outlineLvl w:val="2"/>
    </w:pPr>
    <w:rPr>
      <w:rFonts w:ascii="宋体" w:hAnsi="宋体" w:eastAsia="宋体" w:cs="宋体"/>
      <w:b/>
      <w:bCs/>
      <w:sz w:val="48"/>
      <w:szCs w:val="48"/>
      <w:lang w:val="zh-CN" w:eastAsia="zh-CN" w:bidi="zh-CN"/>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48"/>
      <w:szCs w:val="48"/>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Hyperlink"/>
    <w:basedOn w:val="8"/>
    <w:qFormat/>
    <w:uiPriority w:val="0"/>
    <w:rPr>
      <w:color w:val="0000FF"/>
      <w:u w:val="single"/>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400" w:hanging="541"/>
    </w:pPr>
    <w:rPr>
      <w:rFonts w:ascii="宋体" w:hAnsi="宋体" w:eastAsia="宋体" w:cs="宋体"/>
      <w:lang w:val="zh-CN" w:eastAsia="zh-CN" w:bidi="zh-CN"/>
    </w:rPr>
  </w:style>
  <w:style w:type="paragraph" w:customStyle="1" w:styleId="12">
    <w:name w:val="Table Paragraph"/>
    <w:basedOn w:val="1"/>
    <w:qFormat/>
    <w:uiPriority w:val="1"/>
    <w:rPr>
      <w:lang w:val="zh-CN" w:eastAsia="zh-CN" w:bidi="zh-CN"/>
    </w:rPr>
  </w:style>
  <w:style w:type="paragraph" w:customStyle="1" w:styleId="13">
    <w:name w:val="手册第三级"/>
    <w:basedOn w:val="11"/>
    <w:qFormat/>
    <w:uiPriority w:val="0"/>
    <w:pPr>
      <w:widowControl/>
      <w:numPr>
        <w:ilvl w:val="2"/>
        <w:numId w:val="1"/>
      </w:numPr>
      <w:ind w:left="1050" w:leftChars="100" w:right="100" w:rightChars="100" w:firstLine="0" w:firstLineChars="0"/>
      <w:jc w:val="left"/>
      <w:outlineLvl w:val="2"/>
    </w:pPr>
    <w:rPr>
      <w:b/>
      <w:sz w:val="3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7" textRotate="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TotalTime>145</TotalTime>
  <ScaleCrop>false</ScaleCrop>
  <LinksUpToDate>false</LinksUpToDate>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2022-01-13T01:19:00Z</dcterms:created>
  <dc:creator>Administrator</dc:creator>
  <cp:lastModifiedBy>Administrator</cp:lastModifiedBy>
  <cp:lastPrinted>2022-08-09T00:57:00Z</cp:lastPrinted>
  <dcterms:modified xsi:type="dcterms:W3CDTF">2026-05-27T07:40:10Z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3B768D5C668E46029E9AABF2ACD12BF3</vt:lpwstr>
  </property>
  <property fmtid="{D5CDD505-2E9C-101B-9397-08002B2CF9AE}" pid="4" name="KSOSaveFontToCloudKey">
    <vt:lpwstr>438046944_btnclosed</vt:lpwstr>
  </property>
</Properties>
</file>