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0ABC9A">
      <w:pPr>
        <w:pStyle w:val="3"/>
        <w:spacing w:after="0" w:afterLines="0"/>
        <w:ind w:firstLine="0"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附件</w:t>
      </w:r>
      <w:r>
        <w:rPr>
          <w:rFonts w:hint="eastAsia" w:ascii="Times New Roman" w:hAnsi="Times New Roman" w:cs="Times New Roman"/>
          <w:lang w:val="en-US" w:eastAsia="zh-CN"/>
        </w:rPr>
        <w:t>2</w:t>
      </w:r>
    </w:p>
    <w:p w14:paraId="0CA6C072">
      <w:pPr>
        <w:pStyle w:val="3"/>
        <w:spacing w:after="0" w:afterLines="0"/>
        <w:ind w:firstLine="0" w:firstLineChars="0"/>
        <w:jc w:val="center"/>
        <w:rPr>
          <w:rFonts w:hint="eastAsia" w:ascii="Times New Roman" w:hAnsi="Times New Roman" w:eastAsia="方正黑体_GBK" w:cs="Times New Roman"/>
          <w:lang w:eastAsia="zh-CN"/>
        </w:rPr>
      </w:pPr>
      <w:r>
        <w:rPr>
          <w:rFonts w:ascii="Times New Roman" w:hAnsi="Times New Roman" w:cs="Times New Roman"/>
        </w:rPr>
        <w:t>云南省</w:t>
      </w:r>
      <w:r>
        <w:rPr>
          <w:rFonts w:hint="eastAsia" w:ascii="Times New Roman" w:hAnsi="Times New Roman" w:cs="Times New Roman"/>
          <w:lang w:eastAsia="zh-CN"/>
        </w:rPr>
        <w:t>标志性</w:t>
      </w:r>
      <w:r>
        <w:rPr>
          <w:rFonts w:ascii="Times New Roman" w:hAnsi="Times New Roman" w:cs="Times New Roman"/>
        </w:rPr>
        <w:t>重</w:t>
      </w:r>
      <w:r>
        <w:rPr>
          <w:rFonts w:hint="eastAsia" w:ascii="Times New Roman" w:hAnsi="Times New Roman" w:cs="Times New Roman"/>
          <w:lang w:eastAsia="zh-CN"/>
        </w:rPr>
        <w:t>点</w:t>
      </w:r>
      <w:r>
        <w:rPr>
          <w:rFonts w:ascii="Times New Roman" w:hAnsi="Times New Roman" w:cs="Times New Roman"/>
        </w:rPr>
        <w:t>应用场景项目清单</w:t>
      </w:r>
      <w:r>
        <w:rPr>
          <w:rFonts w:hint="eastAsia" w:ascii="Times New Roman" w:hAnsi="Times New Roman" w:cs="Times New Roman"/>
          <w:lang w:eastAsia="zh-CN"/>
        </w:rPr>
        <w:t>（</w:t>
      </w:r>
      <w:r>
        <w:rPr>
          <w:rFonts w:hint="eastAsia" w:ascii="Times New Roman" w:hAnsi="Times New Roman" w:cs="Times New Roman"/>
          <w:lang w:val="en-US" w:eastAsia="zh-CN"/>
        </w:rPr>
        <w:t>2026年版</w:t>
      </w:r>
      <w:r>
        <w:rPr>
          <w:rFonts w:hint="eastAsia" w:ascii="Times New Roman" w:hAnsi="Times New Roman" w:cs="Times New Roman"/>
          <w:lang w:eastAsia="zh-CN"/>
        </w:rPr>
        <w:t>）</w:t>
      </w:r>
    </w:p>
    <w:tbl>
      <w:tblPr>
        <w:tblStyle w:val="4"/>
        <w:tblW w:w="492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1"/>
        <w:gridCol w:w="1970"/>
        <w:gridCol w:w="1797"/>
        <w:gridCol w:w="1862"/>
        <w:gridCol w:w="7637"/>
      </w:tblGrid>
      <w:tr w14:paraId="300679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E69D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56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序号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A53E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56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  <w:t>场景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eastAsia="zh-CN" w:bidi="ar"/>
              </w:rPr>
              <w:t>项目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1667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56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eastAsia="zh-CN" w:bidi="ar"/>
              </w:rPr>
              <w:t>责任单位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5AB0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56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  <w:t>所属领域类别</w:t>
            </w:r>
          </w:p>
        </w:tc>
        <w:tc>
          <w:tcPr>
            <w:tcW w:w="2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450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56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  <w:t>场景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eastAsia="zh-CN" w:bidi="ar"/>
              </w:rPr>
              <w:t>建设主要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  <w:t>内容</w:t>
            </w:r>
          </w:p>
        </w:tc>
      </w:tr>
      <w:tr w14:paraId="432AE3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B1A42F">
            <w:pPr>
              <w:spacing w:afterLines="0" w:line="440" w:lineRule="exact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1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EA7B63">
            <w:pPr>
              <w:spacing w:afterLines="0" w:line="440" w:lineRule="exact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“云南咖啡是代表中国的”—咖啡全产业链创新集成应用场景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2D9317">
            <w:pPr>
              <w:spacing w:afterLines="0" w:line="440" w:lineRule="exact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2"/>
                <w:lang w:val="en-US" w:eastAsia="zh-CN"/>
              </w:rPr>
              <w:t>云南农业大学、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2"/>
                <w:lang w:eastAsia="zh-CN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2"/>
                <w:lang w:eastAsia="zh-CN"/>
              </w:rPr>
              <w:t>省农业科学院、省农业农村厅、省科技厅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A9D10D">
            <w:pPr>
              <w:spacing w:afterLines="0" w:line="440" w:lineRule="exact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现代农业</w:t>
            </w:r>
          </w:p>
        </w:tc>
        <w:tc>
          <w:tcPr>
            <w:tcW w:w="2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6EF8F3">
            <w:pPr>
              <w:spacing w:afterLines="0" w:line="440" w:lineRule="exact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落实习近平总书记“云南咖啡还是代表着中国的”重要指示精神，聚焦良种良法覆盖不足、</w:t>
            </w:r>
            <w:bookmarkStart w:id="0" w:name="hmcheck_4d3f09f1ae1d46dbad7f4b1838669196"/>
            <w:r>
              <w:rPr>
                <w:rFonts w:hint="eastAsia" w:ascii="方正仿宋_GB2312" w:hAnsi="方正仿宋_GB2312" w:eastAsia="方正仿宋_GB2312" w:cs="方正仿宋_GB2312"/>
              </w:rPr>
              <w:t>全果</w:t>
            </w:r>
            <w:bookmarkEnd w:id="0"/>
            <w:r>
              <w:rPr>
                <w:rFonts w:hint="eastAsia" w:ascii="方正仿宋_GB2312" w:hAnsi="方正仿宋_GB2312" w:eastAsia="方正仿宋_GB2312" w:cs="方正仿宋_GB2312"/>
              </w:rPr>
              <w:t>高值化利用不够、产业协同不强、标准规则体系不健全等突出问题，依托“云南绿色种植、科教创新、咖旅融合”+“昆山加工、市场贸易和全球供应链”产业资源，构建跨区域全链条“研发—中试—产业化”创新场景，建成国际领先实验室和种质库、全球咖啡人才培养基地、中国咖啡数智化供应链协同中心，向全球输出我国咖啡领域创新成果和行业标准。</w:t>
            </w: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（与江苏省联合开展工作）</w:t>
            </w:r>
          </w:p>
        </w:tc>
      </w:tr>
      <w:tr w14:paraId="067C82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501FED">
            <w:pPr>
              <w:spacing w:afterLines="0" w:line="440" w:lineRule="exact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2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C0E248">
            <w:pPr>
              <w:spacing w:afterLines="0" w:line="440" w:lineRule="exact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医用级异种器官移植供体猪的研发及临床转化应用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6C04D2">
            <w:pPr>
              <w:spacing w:afterLines="0" w:line="440" w:lineRule="exact"/>
              <w:rPr>
                <w:rFonts w:hint="default" w:ascii="方正仿宋_GB2312" w:hAnsi="方正仿宋_GB2312" w:eastAsia="方正仿宋_GB2312" w:cs="方正仿宋_GB2312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云南农业大学</w:t>
            </w: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、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2"/>
                <w:lang w:eastAsia="zh-CN"/>
              </w:rPr>
              <w:t>省科技厅、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2"/>
                <w:u w:val="none"/>
                <w:lang w:val="en-US" w:eastAsia="zh-CN" w:bidi="ar"/>
              </w:rPr>
              <w:t>省卫生健康委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B05B67">
            <w:pPr>
              <w:spacing w:afterLines="0" w:line="440" w:lineRule="exact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生物技术和生物制造</w:t>
            </w:r>
          </w:p>
        </w:tc>
        <w:tc>
          <w:tcPr>
            <w:tcW w:w="2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1042F">
            <w:pPr>
              <w:spacing w:afterLines="0" w:line="440" w:lineRule="exact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依托云南已建立的异种器官移植全产业链，构建“云南（研发繁育）+沪津皖粤（临床应用）”联动的“基础研究+技术攻关+产品开发+临床应用+产业集群”场景应用。</w:t>
            </w: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（与上海市联合开展工作）</w:t>
            </w:r>
          </w:p>
        </w:tc>
      </w:tr>
      <w:tr w14:paraId="691059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26B887">
            <w:pPr>
              <w:spacing w:afterLines="0" w:line="440" w:lineRule="exact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3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41B8F0">
            <w:pPr>
              <w:spacing w:afterLines="0" w:line="440" w:lineRule="exact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推进绿色能源国际标准和认证机制建设应用场景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6EA32">
            <w:pPr>
              <w:spacing w:afterLines="0" w:line="440" w:lineRule="exact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省发展改革委</w:t>
            </w: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、云南电网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01B6B4">
            <w:pPr>
              <w:spacing w:afterLines="0" w:line="440" w:lineRule="exact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清洁能源</w:t>
            </w:r>
          </w:p>
        </w:tc>
        <w:tc>
          <w:tcPr>
            <w:tcW w:w="2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71C2F5">
            <w:pPr>
              <w:spacing w:afterLines="0" w:line="440" w:lineRule="exact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针对绿证国际不互认等痛点，依托云南低碳绿电优势，重点打造绿色能源国际标准与认证机制应用场景，构建“区块链+绿电溯源、省级碳排放因子应用、绿电消费认证”三大核心支撑 ，建立政府、企业、国际组织协同模式，在电解铝、电池等重点产业先行试点，打通绿电价值变现全链条，最终形成溯源精准、国际互认的绿电消纳新范式。</w:t>
            </w: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（与南方电网</w:t>
            </w:r>
            <w:r>
              <w:rPr>
                <w:rFonts w:hint="eastAsia" w:ascii="方正仿宋_GB2312" w:hAnsi="方正仿宋_GB2312" w:eastAsia="方正仿宋_GB2312" w:cs="方正仿宋_GB2312"/>
                <w:lang w:eastAsia="zh"/>
              </w:rPr>
              <w:t>等</w:t>
            </w: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联合开展工作）</w:t>
            </w:r>
          </w:p>
        </w:tc>
      </w:tr>
      <w:tr w14:paraId="0CEBE8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882D7F">
            <w:pPr>
              <w:spacing w:afterLines="0" w:line="440" w:lineRule="exact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4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38D1E2">
            <w:pPr>
              <w:spacing w:afterLines="0" w:line="440" w:lineRule="exact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打造世界一流现代花卉产业“灯塔”应用场景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812584">
            <w:pPr>
              <w:spacing w:afterLines="0" w:line="440" w:lineRule="exact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省农业科学院</w:t>
            </w: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、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2"/>
                <w:lang w:eastAsia="zh-CN"/>
              </w:rPr>
              <w:t>省农业农村厅、省科技厅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C5BA42">
            <w:pPr>
              <w:spacing w:afterLines="0" w:line="440" w:lineRule="exact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现代农业</w:t>
            </w:r>
          </w:p>
        </w:tc>
        <w:tc>
          <w:tcPr>
            <w:tcW w:w="2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06DD88">
            <w:pPr>
              <w:spacing w:afterLines="0" w:line="440" w:lineRule="exact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落实习近平总书记“让云南花卉做到世界第一”重要指示精神，破解我国花卉种业、智能装备、数字供应链等核心短板，依托云南全球最大鲜切花产区优势，以种业芯片为突破、智能种植为支撑，打造全产业链“灯塔”创新应用场景，形成可复制、可推广的中国花卉产业现代化解决方案。</w:t>
            </w:r>
          </w:p>
        </w:tc>
      </w:tr>
      <w:tr w14:paraId="03B630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8562B3">
            <w:pPr>
              <w:spacing w:afterLines="0" w:line="440" w:lineRule="exact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5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225692">
            <w:pPr>
              <w:spacing w:afterLines="0" w:line="440" w:lineRule="exact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“有一种叫云南的生活”旅居云南融合服务应用场景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FE875B">
            <w:pPr>
              <w:spacing w:afterLines="0" w:line="440" w:lineRule="exact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省委宣传部</w:t>
            </w: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、</w:t>
            </w:r>
            <w:r>
              <w:rPr>
                <w:rFonts w:hint="eastAsia" w:ascii="方正仿宋_GB2312" w:hAnsi="方正仿宋_GB2312" w:eastAsia="方正仿宋_GB2312" w:cs="方正仿宋_GB2312"/>
                <w:shd w:val="clear" w:color="auto" w:fill="auto"/>
                <w:lang w:eastAsia="zh-CN"/>
              </w:rPr>
              <w:t>省</w:t>
            </w:r>
            <w:r>
              <w:rPr>
                <w:rFonts w:hint="eastAsia" w:ascii="方正仿宋_GB2312" w:hAnsi="方正仿宋_GB2312" w:eastAsia="方正仿宋_GB2312" w:cs="方正仿宋_GB2312"/>
                <w:shd w:val="clear" w:color="auto" w:fill="FFFFFF"/>
                <w:lang w:eastAsia="zh-CN"/>
              </w:rPr>
              <w:t>文化和旅游厅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71DDAD">
            <w:pPr>
              <w:spacing w:afterLines="0" w:line="440" w:lineRule="exact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文化和旅游</w:t>
            </w:r>
          </w:p>
        </w:tc>
        <w:tc>
          <w:tcPr>
            <w:tcW w:w="2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FF0FA0">
            <w:pPr>
              <w:spacing w:afterLines="0" w:line="440" w:lineRule="exact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落实李强总理“云南打造旅游消费升级版，推进文旅体商深度融合”要求，打造“有一种叫云南的生活”核心IP的旅居服务融合应用场景，破解文旅产业由传统观光向新型旅居模式转型的痛点，构建全年龄段、全场景、全周期旅居新生态，打造旅居产业创新高地与生活方式标杆，为全国文旅产业转型升级贡献“云南方案”。</w:t>
            </w:r>
          </w:p>
        </w:tc>
      </w:tr>
      <w:tr w14:paraId="4E3980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4C0A41">
            <w:pPr>
              <w:spacing w:afterLines="0" w:line="440" w:lineRule="exact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6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96F374">
            <w:pPr>
              <w:spacing w:afterLines="0" w:line="440" w:lineRule="exact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面向南亚东南亚数字文化出海应用场景项目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7B942">
            <w:pPr>
              <w:spacing w:afterLines="0" w:line="440" w:lineRule="exact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省委宣传部</w:t>
            </w: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、</w:t>
            </w:r>
            <w:r>
              <w:rPr>
                <w:rFonts w:hint="eastAsia" w:ascii="方正仿宋_GB2312" w:hAnsi="方正仿宋_GB2312" w:eastAsia="方正仿宋_GB2312" w:cs="方正仿宋_GB2312"/>
                <w:shd w:val="clear" w:color="auto" w:fill="auto"/>
                <w:lang w:eastAsia="zh-CN"/>
              </w:rPr>
              <w:t>省</w:t>
            </w:r>
            <w:r>
              <w:rPr>
                <w:rFonts w:hint="eastAsia" w:ascii="方正仿宋_GB2312" w:hAnsi="方正仿宋_GB2312" w:eastAsia="方正仿宋_GB2312" w:cs="方正仿宋_GB2312"/>
                <w:shd w:val="clear" w:color="auto" w:fill="FFFFFF"/>
                <w:lang w:eastAsia="zh-CN"/>
              </w:rPr>
              <w:t>文化和旅游厅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4385F5">
            <w:pPr>
              <w:spacing w:afterLines="0" w:line="440" w:lineRule="exact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文化和科技融合</w:t>
            </w:r>
          </w:p>
        </w:tc>
        <w:tc>
          <w:tcPr>
            <w:tcW w:w="2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EE7686">
            <w:pPr>
              <w:spacing w:afterLines="0" w:line="440" w:lineRule="exact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落实</w:t>
            </w:r>
            <w:bookmarkStart w:id="1" w:name="hmcheck_06d9726093914b51b3317e448ecfd7cf"/>
            <w:r>
              <w:rPr>
                <w:rFonts w:hint="eastAsia" w:ascii="方正仿宋_GB2312" w:hAnsi="方正仿宋_GB2312" w:eastAsia="方正仿宋_GB2312" w:cs="方正仿宋_GB2312"/>
              </w:rPr>
              <w:t>国家文化出海战略</w:t>
            </w:r>
            <w:bookmarkEnd w:id="1"/>
            <w:r>
              <w:rPr>
                <w:rFonts w:hint="eastAsia" w:ascii="方正仿宋_GB2312" w:hAnsi="方正仿宋_GB2312" w:eastAsia="方正仿宋_GB2312" w:cs="方正仿宋_GB2312"/>
              </w:rPr>
              <w:t>，聚焦文化服务、数字贸易、国际传播三大出海能力建设，打造国家文化出海标杆、中华文化传播战略支点，服务“一带一路”民心相通。</w:t>
            </w:r>
          </w:p>
        </w:tc>
      </w:tr>
      <w:tr w14:paraId="183706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C3BCB7">
            <w:pPr>
              <w:spacing w:afterLines="0" w:line="440" w:lineRule="exact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7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74AB35">
            <w:pPr>
              <w:spacing w:afterLines="0" w:line="440" w:lineRule="exact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高原民族药资源挖掘利用和产业化应用场景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20DC33">
            <w:pPr>
              <w:spacing w:afterLines="0" w:line="440" w:lineRule="exact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省农业科学院</w:t>
            </w: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、</w:t>
            </w: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云南白药集团、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2"/>
                <w:lang w:eastAsia="zh-CN"/>
              </w:rPr>
              <w:t>省农业农村厅、省科技厅</w:t>
            </w: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、省卫生健康委、省药监局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65107E">
            <w:pPr>
              <w:spacing w:afterLines="0" w:line="440" w:lineRule="exact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新领域新赛道应用场景（生物技术和生物制造）</w:t>
            </w:r>
          </w:p>
        </w:tc>
        <w:tc>
          <w:tcPr>
            <w:tcW w:w="2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C06B63">
            <w:pPr>
              <w:spacing w:afterLines="0" w:line="440" w:lineRule="exact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落实习近平总书记将云南中药材打造成“资源型、特色王牌产业”重要指示精神，聚焦资源挖掘利用不足、种质退化、标准不全、产业链短、数字化落后等问题，依托云南民族药资源与气候优势，构建资源挖掘—利用—产业化全链创新场景。</w:t>
            </w:r>
          </w:p>
        </w:tc>
      </w:tr>
      <w:tr w14:paraId="787A00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EF7E5E">
            <w:pPr>
              <w:spacing w:afterLines="0" w:line="440" w:lineRule="exact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8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E757D">
            <w:pPr>
              <w:spacing w:afterLines="0" w:line="440" w:lineRule="exact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长距离输水工程</w:t>
            </w:r>
            <w:bookmarkStart w:id="2" w:name="hmcheck_adaf9d7817ab499892efd0bf7e2e43ed"/>
            <w:r>
              <w:rPr>
                <w:rFonts w:hint="eastAsia" w:ascii="方正仿宋_GB2312" w:hAnsi="方正仿宋_GB2312" w:eastAsia="方正仿宋_GB2312" w:cs="方正仿宋_GB2312"/>
              </w:rPr>
              <w:t>深埋长</w:t>
            </w:r>
            <w:bookmarkEnd w:id="2"/>
            <w:r>
              <w:rPr>
                <w:rFonts w:hint="eastAsia" w:ascii="方正仿宋_GB2312" w:hAnsi="方正仿宋_GB2312" w:eastAsia="方正仿宋_GB2312" w:cs="方正仿宋_GB2312"/>
              </w:rPr>
              <w:t>隧洞复杂地质风险智慧防控场景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FBA8E">
            <w:pPr>
              <w:spacing w:afterLines="0" w:line="440" w:lineRule="exact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省滇中引水建管局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447B1B">
            <w:pPr>
              <w:spacing w:afterLines="0" w:line="440" w:lineRule="exact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行业领域应用场景（智慧水利）</w:t>
            </w:r>
          </w:p>
        </w:tc>
        <w:tc>
          <w:tcPr>
            <w:tcW w:w="2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EEADC8">
            <w:pPr>
              <w:spacing w:afterLines="0" w:line="440" w:lineRule="exact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针对深埋长隧洞面临的突涌水、大变形等极端地质风险及传统防范模式的不足，依托滇中引水工程构建复杂地质风险防控应用场景，重点打造不良地质感知、突涌水评估、变形分级三大核心计算场景与知识沉淀、协同决策两大赋能场景，为全球深埋长隧洞工程地质风险防控贡献可复制、可推广的“中国方案”。</w:t>
            </w:r>
          </w:p>
        </w:tc>
      </w:tr>
      <w:tr w14:paraId="1E8652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51FE2B">
            <w:pPr>
              <w:spacing w:afterLines="0" w:line="440" w:lineRule="exact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9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62F1F0">
            <w:pPr>
              <w:spacing w:afterLines="0" w:line="440" w:lineRule="exact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基于“1262”机制的防汛预警响应联动全流程智能化闭环管理体系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E7CF9">
            <w:pPr>
              <w:spacing w:afterLines="0" w:line="440" w:lineRule="exact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省应急管理厅</w:t>
            </w: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、省气象局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199FB">
            <w:pPr>
              <w:spacing w:afterLines="0" w:line="440" w:lineRule="exact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行业领域应用场景（应急管理）</w:t>
            </w:r>
          </w:p>
        </w:tc>
        <w:tc>
          <w:tcPr>
            <w:tcW w:w="2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FB6082">
            <w:pPr>
              <w:spacing w:afterLines="0" w:line="440" w:lineRule="exact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应对全球气候变化背景下极端天气频发、洪涝地质灾害多发的挑战，对“制度+技术”双轮驱动“1262”精细化预报与响应联动机制进行系统性升级，运用人工智能、融合通信等新技术，构建贯穿“预警、叫应、行动、反馈、核实”的智能化闭环管理体系，配套算力与数据资源池，打造防汛预警响应联动标杆，为人工智能在应急管理领域应用落地提供示范。</w:t>
            </w:r>
          </w:p>
        </w:tc>
      </w:tr>
      <w:tr w14:paraId="7B8351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362BBB">
            <w:pPr>
              <w:spacing w:afterLines="0" w:line="440" w:lineRule="exact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10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625D7">
            <w:pPr>
              <w:spacing w:afterLines="0" w:line="440" w:lineRule="exact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森林消防“空地协同”智能化装备体系构建与国家级应用示范场景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44747">
            <w:pPr>
              <w:spacing w:afterLines="0" w:line="440" w:lineRule="exact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省科技厅</w:t>
            </w: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、</w:t>
            </w:r>
          </w:p>
          <w:p w14:paraId="5D3DCF9E">
            <w:pPr>
              <w:spacing w:afterLines="0" w:line="440" w:lineRule="exact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昆明理工大学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77BF1">
            <w:pPr>
              <w:spacing w:afterLines="0" w:line="440" w:lineRule="exact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行业领域应用场景（应急管理）</w:t>
            </w:r>
          </w:p>
        </w:tc>
        <w:tc>
          <w:tcPr>
            <w:tcW w:w="2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DF93D8">
            <w:pPr>
              <w:spacing w:afterLines="0" w:line="440" w:lineRule="exact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应对全球变化背景下森林火灾高发、巨灾化的严峻挑战，以及传统“人海战术”在复杂地形中响应滞后、人员伤亡风险高的痛点，依托超高温钽酸盐涂层核心技术，建设国家级森林消防“空地协同”智能化装备体系与应用场景，构建“空天地”一体化全链条验证体系。</w:t>
            </w:r>
          </w:p>
        </w:tc>
      </w:tr>
      <w:tr w14:paraId="49A1EA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7D994A">
            <w:pPr>
              <w:spacing w:afterLines="0" w:line="440" w:lineRule="exact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11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3FCB8D">
            <w:pPr>
              <w:spacing w:afterLines="0" w:line="440" w:lineRule="exact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矿城一体·有色金属矿山全链数据感知防控治理示范场景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369628">
            <w:pPr>
              <w:spacing w:afterLines="0" w:line="440" w:lineRule="exact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红河州发展和改革委员会</w:t>
            </w: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、个旧市人民政府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D1C80E">
            <w:pPr>
              <w:spacing w:afterLines="0" w:line="440" w:lineRule="exact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行业领域应用场景（矿山安全）</w:t>
            </w:r>
          </w:p>
        </w:tc>
        <w:tc>
          <w:tcPr>
            <w:tcW w:w="2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2E8232">
            <w:pPr>
              <w:spacing w:afterLines="0" w:line="440" w:lineRule="exact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紧扣矿山安全问题，直击“矿城交织”的尾矿库、采空区、重金属污染及政企数据割裂等痛点，培育“矿城一体化”全链数据感知防控治理场景，实现风险智能感知与精准决策，变环境包袱为战略资源，为全国资源型城市破解“矿城矛盾”、推进安全绿色转型提供新范式。</w:t>
            </w:r>
          </w:p>
        </w:tc>
      </w:tr>
      <w:tr w14:paraId="737D62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60D700">
            <w:pPr>
              <w:spacing w:afterLines="0" w:line="440" w:lineRule="exact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12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B3E24A">
            <w:pPr>
              <w:spacing w:afterLines="0" w:line="440" w:lineRule="exact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基于高速公路融合发展建设绿色低碳智慧南向大通道场景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35A708">
            <w:pPr>
              <w:spacing w:afterLines="0" w:line="440" w:lineRule="exact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省国资</w:t>
            </w: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委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08DB26">
            <w:pPr>
              <w:spacing w:afterLines="0" w:line="440" w:lineRule="exact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产业转型升级新业态应用场景（交通运输）</w:t>
            </w:r>
          </w:p>
        </w:tc>
        <w:tc>
          <w:tcPr>
            <w:tcW w:w="2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23857D">
            <w:pPr>
              <w:spacing w:afterLines="0" w:line="440" w:lineRule="exact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针对传统高速公路单一物理通道属性局限，深度融合“高速+新能源+物流+数智”，打造低碳智慧物流通道与交通产业融合发展新形态。破除数据孤岛，激活数字动能，夯实车路协同基础，形成可复制推广的交通产业转型范式。</w:t>
            </w:r>
          </w:p>
        </w:tc>
      </w:tr>
      <w:tr w14:paraId="570846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4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A45733">
            <w:pPr>
              <w:spacing w:afterLines="0" w:line="440" w:lineRule="exact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13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7670F">
            <w:pPr>
              <w:spacing w:afterLines="0" w:line="440" w:lineRule="exact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高原山区野生菌低空物流规模化运输场景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F41CB9">
            <w:pPr>
              <w:spacing w:afterLines="0" w:line="440" w:lineRule="exact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省发展改革委</w:t>
            </w: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、云南</w:t>
            </w:r>
            <w:r>
              <w:rPr>
                <w:rFonts w:hint="eastAsia" w:ascii="方正仿宋_GB2312" w:hAnsi="方正仿宋_GB2312" w:eastAsia="方正仿宋_GB2312" w:cs="方正仿宋_GB2312"/>
              </w:rPr>
              <w:t>省交通投资建设集团有限公司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F9A018">
            <w:pPr>
              <w:spacing w:afterLines="0" w:line="440" w:lineRule="exact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新领域新赛道应用场景（全空间无人领域）</w:t>
            </w:r>
          </w:p>
        </w:tc>
        <w:tc>
          <w:tcPr>
            <w:tcW w:w="2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EF7B5">
            <w:pPr>
              <w:spacing w:afterLines="0" w:line="440" w:lineRule="exact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针对云南山区传统物流“时效低、损耗高”的痛点，依托全球首款“三证齐全”的吨级eVTOL航空器，建设昆明—楚雄142公里低空物流专线，验证复杂地形下航线规划、运行保障模式与“低空+特色农产品”融合新业态，构建“1小时保鲜运输圈”，形成一套可向全国同类地区复制推广的低空经济发展模式。</w:t>
            </w:r>
          </w:p>
        </w:tc>
      </w:tr>
    </w:tbl>
    <w:p w14:paraId="7370FEA1"/>
    <w:p w14:paraId="607832C1"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2312">
    <w:altName w:val="方正仿宋_GBK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KSOFB3087DCB">
    <w:panose1 w:val="02000000000000000000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DC190F"/>
    <w:rsid w:val="4EDC1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line="560" w:lineRule="exact"/>
      <w:ind w:firstLine="200" w:firstLineChars="200"/>
      <w:outlineLvl w:val="0"/>
    </w:pPr>
    <w:rPr>
      <w:rFonts w:eastAsia="方正黑体_GBK"/>
      <w:bCs/>
      <w:kern w:val="44"/>
      <w:sz w:val="32"/>
      <w:szCs w:val="44"/>
    </w:rPr>
  </w:style>
  <w:style w:type="paragraph" w:styleId="2">
    <w:name w:val="heading 3"/>
    <w:basedOn w:val="1"/>
    <w:next w:val="1"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2026-07-02T03:24:00Z</dcterms:created>
  <dc:creator>Lyu zhaowanyue</dc:creator>
  <cp:lastModifiedBy>Lyu zhaowanyue</cp:lastModifiedBy>
  <dcterms:modified xsi:type="dcterms:W3CDTF">2026-07-02T03:24:41Z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0890C4FB3D7D40DCBEB38FC7E2E02A46_11</vt:lpwstr>
  </property>
  <property fmtid="{D5CDD505-2E9C-101B-9397-08002B2CF9AE}" pid="4" name="KSOTemplateDocerSaveRecord">
    <vt:lpwstr>eyJoZGlkIjoiMTc0MDcyNTBhMTQ0M2UyNmVkOGQzNDkzY2VjMzkyMmMiLCJ1c2VySWQiOiIzNDIwNDAxMzYifQ==</vt:lpwstr>
  </property>
</Properties>
</file>