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D1383">
      <w:pPr>
        <w:widowControl w:val="0"/>
        <w:kinsoku/>
        <w:autoSpaceDE/>
        <w:autoSpaceDN/>
        <w:adjustRightInd/>
        <w:snapToGrid/>
        <w:spacing w:before="104" w:line="224" w:lineRule="auto"/>
        <w:ind w:left="619"/>
        <w:jc w:val="both"/>
        <w:textAlignment w:val="auto"/>
        <w:rPr>
          <w:rFonts w:hint="default" w:ascii="黑体" w:hAnsi="黑体" w:eastAsia="黑体" w:cs="黑体"/>
          <w:snapToGrid/>
          <w:spacing w:val="8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spacing w:val="8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8"/>
          <w:kern w:val="2"/>
          <w:sz w:val="32"/>
          <w:szCs w:val="32"/>
          <w:lang w:val="en-US" w:eastAsia="zh-CN"/>
        </w:rPr>
        <w:t>2</w:t>
      </w:r>
    </w:p>
    <w:p w14:paraId="71D07656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ascii="方正小标宋简体" w:eastAsia="方正小标宋简体" w:hAnsiTheme="minorHAnsi" w:cstheme="minorBidi"/>
          <w:snapToGrid/>
          <w:kern w:val="2"/>
          <w:sz w:val="44"/>
          <w:szCs w:val="24"/>
          <w:lang w:eastAsia="zh-CN"/>
        </w:rPr>
      </w:pPr>
      <w:r>
        <w:rPr>
          <w:rFonts w:hint="eastAsia" w:ascii="方正小标宋简体" w:eastAsia="方正小标宋简体" w:hAnsiTheme="minorHAnsi" w:cstheme="minorBidi"/>
          <w:snapToGrid/>
          <w:kern w:val="2"/>
          <w:sz w:val="44"/>
          <w:szCs w:val="24"/>
          <w:lang w:eastAsia="zh-CN"/>
        </w:rPr>
        <w:t>云南省易门县烟草制品零售点合理布局公示表</w:t>
      </w:r>
    </w:p>
    <w:p w14:paraId="35088883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Theme="minorHAnsi" w:hAnsiTheme="minorHAnsi" w:eastAsiaTheme="minorEastAsia" w:cstheme="minorBidi"/>
          <w:snapToGrid/>
          <w:kern w:val="2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 xml:space="preserve">单位：云南省易门县烟草专卖局                                        </w:t>
      </w:r>
      <w:r>
        <w:rPr>
          <w:rFonts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 xml:space="preserve">   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公示时间：2</w:t>
      </w:r>
      <w:r>
        <w:rPr>
          <w:rFonts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02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月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日-</w:t>
      </w:r>
      <w:r>
        <w:rPr>
          <w:rFonts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202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年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月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Bidi"/>
          <w:snapToGrid/>
          <w:kern w:val="2"/>
          <w:sz w:val="24"/>
          <w:szCs w:val="24"/>
          <w:lang w:eastAsia="zh-CN"/>
        </w:rPr>
        <w:t>日</w:t>
      </w:r>
    </w:p>
    <w:tbl>
      <w:tblPr>
        <w:tblStyle w:val="4"/>
        <w:tblpPr w:leftFromText="180" w:rightFromText="180" w:vertAnchor="text" w:tblpXSpec="center" w:tblpY="1"/>
        <w:tblOverlap w:val="never"/>
        <w:tblW w:w="54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883"/>
        <w:gridCol w:w="4455"/>
        <w:gridCol w:w="1002"/>
        <w:gridCol w:w="1132"/>
        <w:gridCol w:w="775"/>
        <w:gridCol w:w="1167"/>
        <w:gridCol w:w="3858"/>
        <w:gridCol w:w="1011"/>
        <w:gridCol w:w="414"/>
      </w:tblGrid>
      <w:tr w14:paraId="2469C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76" w:type="pct"/>
            <w:vAlign w:val="center"/>
          </w:tcPr>
          <w:p w14:paraId="65A68D6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ind w:firstLine="180" w:firstLineChars="100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1716" w:type="pct"/>
            <w:gridSpan w:val="2"/>
            <w:vAlign w:val="center"/>
          </w:tcPr>
          <w:p w14:paraId="466AF25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单元网格划分情况</w:t>
            </w:r>
          </w:p>
        </w:tc>
        <w:tc>
          <w:tcPr>
            <w:tcW w:w="935" w:type="pct"/>
            <w:gridSpan w:val="3"/>
            <w:vAlign w:val="center"/>
          </w:tcPr>
          <w:p w14:paraId="17D41BE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单元网格数量情况</w:t>
            </w:r>
          </w:p>
        </w:tc>
        <w:tc>
          <w:tcPr>
            <w:tcW w:w="1615" w:type="pct"/>
            <w:gridSpan w:val="2"/>
            <w:vAlign w:val="center"/>
          </w:tcPr>
          <w:p w14:paraId="0ED1CF2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单元网格数量情况</w:t>
            </w:r>
          </w:p>
        </w:tc>
        <w:tc>
          <w:tcPr>
            <w:tcW w:w="325" w:type="pct"/>
            <w:vAlign w:val="center"/>
          </w:tcPr>
          <w:p w14:paraId="4CBFFEE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总量情况(个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133" w:type="pct"/>
            <w:vAlign w:val="center"/>
          </w:tcPr>
          <w:p w14:paraId="4575189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备注</w:t>
            </w:r>
          </w:p>
        </w:tc>
      </w:tr>
      <w:tr w14:paraId="301C2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76" w:type="pct"/>
            <w:vMerge w:val="restart"/>
            <w:vAlign w:val="center"/>
          </w:tcPr>
          <w:p w14:paraId="79BA5B2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易门县</w:t>
            </w:r>
          </w:p>
        </w:tc>
        <w:tc>
          <w:tcPr>
            <w:tcW w:w="284" w:type="pct"/>
            <w:vAlign w:val="center"/>
          </w:tcPr>
          <w:p w14:paraId="18FD391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1432" w:type="pct"/>
            <w:vAlign w:val="center"/>
          </w:tcPr>
          <w:p w14:paraId="7493764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区域描述</w:t>
            </w:r>
          </w:p>
        </w:tc>
        <w:tc>
          <w:tcPr>
            <w:tcW w:w="322" w:type="pct"/>
            <w:vAlign w:val="center"/>
          </w:tcPr>
          <w:p w14:paraId="59C0C8E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规划数(个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364" w:type="pct"/>
            <w:vAlign w:val="center"/>
          </w:tcPr>
          <w:p w14:paraId="5335FBA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当前实际数(个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249" w:type="pct"/>
            <w:vAlign w:val="center"/>
          </w:tcPr>
          <w:p w14:paraId="6B2F377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余量(个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375" w:type="pct"/>
            <w:vAlign w:val="center"/>
          </w:tcPr>
          <w:p w14:paraId="0796008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零售点间距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(米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1240" w:type="pct"/>
            <w:vAlign w:val="center"/>
          </w:tcPr>
          <w:p w14:paraId="30D13F8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其他条件描述</w:t>
            </w:r>
          </w:p>
        </w:tc>
        <w:tc>
          <w:tcPr>
            <w:tcW w:w="325" w:type="pct"/>
            <w:vMerge w:val="restart"/>
            <w:vAlign w:val="center"/>
          </w:tcPr>
          <w:p w14:paraId="730784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133" w:type="pct"/>
            <w:vAlign w:val="center"/>
          </w:tcPr>
          <w:p w14:paraId="35E45A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70D7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276" w:type="pct"/>
            <w:vMerge w:val="continue"/>
            <w:vAlign w:val="center"/>
          </w:tcPr>
          <w:p w14:paraId="68B876B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7F329C0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龙泉北片区</w:t>
            </w:r>
          </w:p>
        </w:tc>
        <w:tc>
          <w:tcPr>
            <w:tcW w:w="1432" w:type="pct"/>
            <w:vAlign w:val="center"/>
          </w:tcPr>
          <w:p w14:paraId="4E51CA0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龙泉街道龙泉路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—方屯路—菌乡大道以北—易兴路以北含易门县梨园湖公园—西环路以北—文昌路—南屯湖东路含御景龙园—南屯湖北路含易门野生菌博物馆—南屯湖西路含易门县园林绿化管理所—龙泉路</w:t>
            </w:r>
          </w:p>
        </w:tc>
        <w:tc>
          <w:tcPr>
            <w:tcW w:w="322" w:type="pct"/>
            <w:vAlign w:val="center"/>
          </w:tcPr>
          <w:p w14:paraId="7ADAE56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64" w:type="pct"/>
            <w:vAlign w:val="center"/>
          </w:tcPr>
          <w:p w14:paraId="2A3E5AB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217</w:t>
            </w:r>
          </w:p>
        </w:tc>
        <w:tc>
          <w:tcPr>
            <w:tcW w:w="249" w:type="pct"/>
            <w:vAlign w:val="center"/>
          </w:tcPr>
          <w:p w14:paraId="65D44BB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375" w:type="pct"/>
            <w:vMerge w:val="restart"/>
            <w:vAlign w:val="center"/>
          </w:tcPr>
          <w:p w14:paraId="1FB0657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5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40" w:type="pct"/>
            <w:vMerge w:val="restart"/>
            <w:vAlign w:val="center"/>
          </w:tcPr>
          <w:p w14:paraId="5D0732A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1.相对封闭式居民住宅小区内部商铺，按住户数进行布局，居住户数100户以内可以设置1个零售点，超过100户的，每100户可增设1个零售点，零售点间距不少于50米，且经营场所必须为平层开放式门店；居民住宅小区的临街门面，面朝小区外部经营，按照所在路段街道（路）设置零售点。</w:t>
            </w:r>
          </w:p>
          <w:p w14:paraId="16EC08D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2.人口较为集中、相对独立的综合性商（农）贸市场或区域，根据该区域内固定商铺数量设置零售点，20间商铺以内可设置1个零售点，且间距不少于30米；超过20间的，每20间增设1个零售点，且满足间距不少于30米。因道路规划、城市建设等客观原因，造成综合性商（农）贸市场或区域整体搬迁的，持证人申请变更到新建综合性商（农）贸市场或区域内经营的，不受固定商铺数量限制，受零售点间距限制。</w:t>
            </w:r>
          </w:p>
          <w:p w14:paraId="56086C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店面内外相通的商铺，既要符合所在街道、路段的间距要求又要符合所在区域的固定商铺数量和30米间距要求。</w:t>
            </w:r>
          </w:p>
          <w:p w14:paraId="314F231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.自然村及搬迁点，按实际居住人口数进行布局，人口数200人以内可以设置1个零售点，每增加200人可增设1个零售点，且零售点间距不少于30米（实际居住人口以政府部门提供的人口数据为准）。</w:t>
            </w:r>
          </w:p>
          <w:p w14:paraId="5CD8E1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.厂矿、园区等相对封闭区域为满足员工消费需求，需从事烟草制品零售业务的超市、便利店等经营场所，根据该区域内部员工人数为依据设置零售点，每500人以内可设置1个零售点，超过500人的，每500人设1个零售点，且间距不少于50米，最多可设置3个零售点。</w:t>
            </w:r>
          </w:p>
          <w:p w14:paraId="2EB41DC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.工业园区主干道公路沿线零售点间距不少于50米。</w:t>
            </w:r>
          </w:p>
        </w:tc>
        <w:tc>
          <w:tcPr>
            <w:tcW w:w="325" w:type="pct"/>
            <w:vMerge w:val="continue"/>
            <w:vAlign w:val="center"/>
          </w:tcPr>
          <w:p w14:paraId="3867CE4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39F5D19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099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76" w:type="pct"/>
            <w:vMerge w:val="continue"/>
            <w:vAlign w:val="center"/>
          </w:tcPr>
          <w:p w14:paraId="069A3D4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66AB04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龙泉南片区</w:t>
            </w:r>
          </w:p>
        </w:tc>
        <w:tc>
          <w:tcPr>
            <w:tcW w:w="1432" w:type="pct"/>
            <w:vAlign w:val="center"/>
          </w:tcPr>
          <w:p w14:paraId="00E97C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街道龙泉路以南含易门县委党校—泉西路含东君酒业、易门县森林公安局及水源地休闲园—G357（易象段）含半山农家院—济川路含象山华庭—桥头街含云南铜业高级技工学校及云铜技校实习基地—水城大街含同心小区—易门县第一幼儿园—G357以南含中国石油罗所加油站、梅营南庄畜牧交易市场—X179含朝阳东苑小区—X095以北—方屯路（206县道）—龙泉路</w:t>
            </w:r>
          </w:p>
        </w:tc>
        <w:tc>
          <w:tcPr>
            <w:tcW w:w="322" w:type="pct"/>
            <w:vAlign w:val="center"/>
          </w:tcPr>
          <w:p w14:paraId="7C1D1E6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364" w:type="pct"/>
            <w:vAlign w:val="center"/>
          </w:tcPr>
          <w:p w14:paraId="0328A9B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232</w:t>
            </w:r>
          </w:p>
        </w:tc>
        <w:tc>
          <w:tcPr>
            <w:tcW w:w="249" w:type="pct"/>
            <w:vAlign w:val="center"/>
          </w:tcPr>
          <w:p w14:paraId="1A58C63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75" w:type="pct"/>
            <w:vMerge w:val="continue"/>
            <w:vAlign w:val="center"/>
          </w:tcPr>
          <w:p w14:paraId="243C6EFC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66E7C87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72B4FB0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71E1C68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4C70A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76" w:type="pct"/>
            <w:vMerge w:val="continue"/>
            <w:vAlign w:val="center"/>
          </w:tcPr>
          <w:p w14:paraId="00C0B5B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686619B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龙泉城郊片区</w:t>
            </w:r>
          </w:p>
        </w:tc>
        <w:tc>
          <w:tcPr>
            <w:tcW w:w="1432" w:type="pct"/>
            <w:vAlign w:val="center"/>
          </w:tcPr>
          <w:p w14:paraId="4E093D5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龙泉街道中屯社区、罗所社区、梅营社区、曾所社区、江口社区、方屯社区、韩所社区、蔡营社区、水桥社区</w:t>
            </w:r>
          </w:p>
        </w:tc>
        <w:tc>
          <w:tcPr>
            <w:tcW w:w="322" w:type="pct"/>
            <w:vAlign w:val="center"/>
          </w:tcPr>
          <w:p w14:paraId="6025B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364" w:type="pct"/>
            <w:vAlign w:val="center"/>
          </w:tcPr>
          <w:p w14:paraId="5601BB0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152</w:t>
            </w:r>
          </w:p>
        </w:tc>
        <w:tc>
          <w:tcPr>
            <w:tcW w:w="249" w:type="pct"/>
            <w:vAlign w:val="center"/>
          </w:tcPr>
          <w:p w14:paraId="4A468B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75" w:type="pct"/>
            <w:vMerge w:val="restart"/>
            <w:vAlign w:val="center"/>
          </w:tcPr>
          <w:p w14:paraId="5DCF915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3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40" w:type="pct"/>
            <w:vMerge w:val="continue"/>
            <w:vAlign w:val="center"/>
          </w:tcPr>
          <w:p w14:paraId="372B9F3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461EF18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6D68599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35590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6" w:type="pct"/>
            <w:vMerge w:val="continue"/>
            <w:vAlign w:val="center"/>
          </w:tcPr>
          <w:p w14:paraId="58C17C4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6DA4B77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浦贝乡片区</w:t>
            </w:r>
          </w:p>
        </w:tc>
        <w:tc>
          <w:tcPr>
            <w:tcW w:w="1432" w:type="pct"/>
            <w:vAlign w:val="center"/>
          </w:tcPr>
          <w:p w14:paraId="102DCBB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以乡行政区域界限为参考作为浦贝乡单元网格</w:t>
            </w:r>
          </w:p>
        </w:tc>
        <w:tc>
          <w:tcPr>
            <w:tcW w:w="322" w:type="pct"/>
            <w:vAlign w:val="center"/>
          </w:tcPr>
          <w:p w14:paraId="2F9F848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64" w:type="pct"/>
            <w:vAlign w:val="center"/>
          </w:tcPr>
          <w:p w14:paraId="2683F9D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249" w:type="pct"/>
            <w:vAlign w:val="center"/>
          </w:tcPr>
          <w:p w14:paraId="666E420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75" w:type="pct"/>
            <w:vMerge w:val="continue"/>
            <w:vAlign w:val="center"/>
          </w:tcPr>
          <w:p w14:paraId="42613F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20209C6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758EC4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2F273A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626CC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76" w:type="pct"/>
            <w:vMerge w:val="continue"/>
            <w:vAlign w:val="center"/>
          </w:tcPr>
          <w:p w14:paraId="5FBCD68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4CE0536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十街乡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片区</w:t>
            </w:r>
          </w:p>
        </w:tc>
        <w:tc>
          <w:tcPr>
            <w:tcW w:w="1432" w:type="pct"/>
            <w:vAlign w:val="center"/>
          </w:tcPr>
          <w:p w14:paraId="24E1CB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以乡行政区域界限为参考作为十街乡单元网格</w:t>
            </w:r>
          </w:p>
        </w:tc>
        <w:tc>
          <w:tcPr>
            <w:tcW w:w="322" w:type="pct"/>
            <w:vAlign w:val="center"/>
          </w:tcPr>
          <w:p w14:paraId="125689B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64" w:type="pct"/>
            <w:vAlign w:val="center"/>
          </w:tcPr>
          <w:p w14:paraId="120325B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9" w:type="pct"/>
            <w:vAlign w:val="center"/>
          </w:tcPr>
          <w:p w14:paraId="5A95F99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75" w:type="pct"/>
            <w:vMerge w:val="continue"/>
            <w:vAlign w:val="center"/>
          </w:tcPr>
          <w:p w14:paraId="4988CD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0BFF244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1FEB4BF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1D22072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3CBD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76" w:type="pct"/>
            <w:vMerge w:val="continue"/>
            <w:vAlign w:val="center"/>
          </w:tcPr>
          <w:p w14:paraId="05010B6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140264A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铜厂乡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片区</w:t>
            </w:r>
          </w:p>
        </w:tc>
        <w:tc>
          <w:tcPr>
            <w:tcW w:w="1432" w:type="pct"/>
            <w:vAlign w:val="center"/>
          </w:tcPr>
          <w:p w14:paraId="766BFF3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以乡行政区域界限为参考作为铜厂乡单元网格</w:t>
            </w:r>
          </w:p>
        </w:tc>
        <w:tc>
          <w:tcPr>
            <w:tcW w:w="322" w:type="pct"/>
            <w:vAlign w:val="center"/>
          </w:tcPr>
          <w:p w14:paraId="0EBBCF4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64" w:type="pct"/>
            <w:vAlign w:val="center"/>
          </w:tcPr>
          <w:p w14:paraId="0B459A6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249" w:type="pct"/>
            <w:vAlign w:val="center"/>
          </w:tcPr>
          <w:p w14:paraId="1090EB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75" w:type="pct"/>
            <w:vMerge w:val="continue"/>
            <w:vAlign w:val="center"/>
          </w:tcPr>
          <w:p w14:paraId="1A39189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6A4B077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53A880E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3D4B250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3BC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6" w:type="pct"/>
            <w:vMerge w:val="continue"/>
            <w:vAlign w:val="center"/>
          </w:tcPr>
          <w:p w14:paraId="658CF6C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13D09B2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绿汁镇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片区</w:t>
            </w:r>
          </w:p>
        </w:tc>
        <w:tc>
          <w:tcPr>
            <w:tcW w:w="1432" w:type="pct"/>
            <w:vAlign w:val="center"/>
          </w:tcPr>
          <w:p w14:paraId="27779BB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以乡行政区域界限为参考作为绿汁乡单元网格</w:t>
            </w:r>
          </w:p>
        </w:tc>
        <w:tc>
          <w:tcPr>
            <w:tcW w:w="322" w:type="pct"/>
            <w:vAlign w:val="center"/>
          </w:tcPr>
          <w:p w14:paraId="467F126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364" w:type="pct"/>
            <w:vAlign w:val="center"/>
          </w:tcPr>
          <w:p w14:paraId="70E0E29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249" w:type="pct"/>
            <w:vAlign w:val="center"/>
          </w:tcPr>
          <w:p w14:paraId="5372BF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75" w:type="pct"/>
            <w:vMerge w:val="continue"/>
            <w:vAlign w:val="center"/>
          </w:tcPr>
          <w:p w14:paraId="6C1D5BF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5F6CB7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282E846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58ED58A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7EB4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76" w:type="pct"/>
            <w:vMerge w:val="continue"/>
            <w:vAlign w:val="center"/>
          </w:tcPr>
          <w:p w14:paraId="45457B7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24F584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小街乡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片区</w:t>
            </w:r>
          </w:p>
        </w:tc>
        <w:tc>
          <w:tcPr>
            <w:tcW w:w="1432" w:type="pct"/>
            <w:vAlign w:val="center"/>
          </w:tcPr>
          <w:p w14:paraId="0284BDC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以乡行政区域界限为参考作为小街乡单元网格</w:t>
            </w:r>
          </w:p>
        </w:tc>
        <w:tc>
          <w:tcPr>
            <w:tcW w:w="322" w:type="pct"/>
            <w:vAlign w:val="center"/>
          </w:tcPr>
          <w:p w14:paraId="153B95C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64" w:type="pct"/>
            <w:vAlign w:val="center"/>
          </w:tcPr>
          <w:p w14:paraId="480289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9" w:type="pct"/>
            <w:vAlign w:val="center"/>
          </w:tcPr>
          <w:p w14:paraId="63A2926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75" w:type="pct"/>
            <w:vMerge w:val="continue"/>
            <w:vAlign w:val="center"/>
          </w:tcPr>
          <w:p w14:paraId="679F2F3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185D5D6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5993F5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210A3AD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599A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76" w:type="pct"/>
            <w:vMerge w:val="continue"/>
            <w:vAlign w:val="center"/>
          </w:tcPr>
          <w:p w14:paraId="15363F6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84" w:type="pct"/>
            <w:vAlign w:val="center"/>
          </w:tcPr>
          <w:p w14:paraId="2993640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六街街道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片区</w:t>
            </w:r>
          </w:p>
        </w:tc>
        <w:tc>
          <w:tcPr>
            <w:tcW w:w="1432" w:type="pct"/>
            <w:vAlign w:val="center"/>
          </w:tcPr>
          <w:p w14:paraId="26CFB5E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 w:bidi="ar"/>
              </w:rPr>
              <w:t>以乡行政区域界限为参考作为六街街道单元网格</w:t>
            </w:r>
          </w:p>
        </w:tc>
        <w:tc>
          <w:tcPr>
            <w:tcW w:w="322" w:type="pct"/>
            <w:vAlign w:val="center"/>
          </w:tcPr>
          <w:p w14:paraId="56369C6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64" w:type="pct"/>
            <w:vAlign w:val="center"/>
          </w:tcPr>
          <w:p w14:paraId="43A3800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9" w:type="pct"/>
            <w:vAlign w:val="center"/>
          </w:tcPr>
          <w:p w14:paraId="7658BD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75" w:type="pct"/>
            <w:vMerge w:val="continue"/>
            <w:vAlign w:val="center"/>
          </w:tcPr>
          <w:p w14:paraId="1FCCED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40" w:type="pct"/>
            <w:vMerge w:val="continue"/>
            <w:vAlign w:val="center"/>
          </w:tcPr>
          <w:p w14:paraId="344339D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25" w:type="pct"/>
            <w:vMerge w:val="continue"/>
            <w:vAlign w:val="center"/>
          </w:tcPr>
          <w:p w14:paraId="186F490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3" w:type="pct"/>
            <w:vAlign w:val="center"/>
          </w:tcPr>
          <w:p w14:paraId="16A6FA1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Bidi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4BBF0F17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asciiTheme="minorEastAsia" w:hAnsiTheme="minorEastAsia" w:eastAsiaTheme="minorEastAsia" w:cstheme="minorBidi"/>
          <w:snapToGrid/>
          <w:kern w:val="2"/>
          <w:sz w:val="22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napToGrid/>
          <w:kern w:val="2"/>
          <w:sz w:val="22"/>
          <w:szCs w:val="24"/>
          <w:lang w:eastAsia="zh-CN"/>
        </w:rPr>
        <w:t>备注：1.本公示表的数据根据本县零售点布局规划实行定期评价、动态管理。</w:t>
      </w:r>
    </w:p>
    <w:p w14:paraId="2B756111">
      <w:pPr>
        <w:widowControl w:val="0"/>
        <w:kinsoku/>
        <w:autoSpaceDE/>
        <w:autoSpaceDN/>
        <w:adjustRightInd/>
        <w:snapToGrid/>
        <w:spacing w:line="240" w:lineRule="auto"/>
        <w:ind w:firstLine="660" w:firstLineChars="300"/>
        <w:jc w:val="both"/>
        <w:textAlignment w:val="auto"/>
        <w:rPr>
          <w:rFonts w:asciiTheme="minorEastAsia" w:hAnsiTheme="minorEastAsia" w:eastAsiaTheme="minorEastAsia" w:cstheme="minorBidi"/>
          <w:snapToGrid/>
          <w:kern w:val="2"/>
          <w:sz w:val="22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napToGrid/>
          <w:kern w:val="2"/>
          <w:sz w:val="22"/>
          <w:szCs w:val="24"/>
          <w:lang w:eastAsia="zh-CN"/>
        </w:rPr>
        <w:t>2.每季度根据经济发展、城乡建设、市场形势等变化情况对本表中的数据进行动态调整，规划数相应进行动态更新，以每季度最后一次公示的数据为准。</w:t>
      </w:r>
    </w:p>
    <w:p w14:paraId="29955D84">
      <w:pPr>
        <w:widowControl w:val="0"/>
        <w:kinsoku/>
        <w:autoSpaceDE/>
        <w:autoSpaceDN/>
        <w:adjustRightInd/>
        <w:snapToGrid/>
        <w:spacing w:line="240" w:lineRule="auto"/>
        <w:ind w:firstLine="660" w:firstLineChars="300"/>
        <w:jc w:val="both"/>
        <w:textAlignment w:val="auto"/>
        <w:rPr>
          <w:rFonts w:asciiTheme="minorHAnsi" w:hAnsiTheme="minorHAnsi" w:eastAsiaTheme="minorEastAsia" w:cstheme="minorBidi"/>
          <w:snapToGrid/>
          <w:kern w:val="2"/>
          <w:szCs w:val="24"/>
          <w:lang w:eastAsia="zh-CN"/>
        </w:rPr>
      </w:pPr>
      <w:r>
        <w:rPr>
          <w:rFonts w:hint="eastAsia" w:asciiTheme="minorEastAsia" w:hAnsiTheme="minorEastAsia" w:eastAsiaTheme="minorEastAsia" w:cstheme="minorBidi"/>
          <w:snapToGrid/>
          <w:kern w:val="2"/>
          <w:sz w:val="22"/>
          <w:szCs w:val="24"/>
          <w:lang w:eastAsia="zh-CN"/>
        </w:rPr>
        <w:t>3.本数据由云南省易门县烟草专卖局负责解释，咨询电话：0877-4963461。</w:t>
      </w:r>
    </w:p>
    <w:p w14:paraId="01DD74C2">
      <w:pPr>
        <w:ind w:firstLine="672"/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</w:pPr>
    </w:p>
    <w:p w14:paraId="259A479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1AEA7B-5B3C-45B4-B053-C6696263F5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572C125-E17C-4974-AFA4-62DC1B4C80B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C94EAFA-6AEC-424A-8E13-38F3FE0E2E8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34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2026-08-26T00:42:34Z</dcterms:created>
  <dc:creator>yangzhisheng2135</dc:creator>
  <cp:lastModifiedBy>Mr Qin</cp:lastModifiedBy>
  <dcterms:modified xsi:type="dcterms:W3CDTF">2026-08-26T00:43:17Z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eyJoZGlkIjoiZGQ5ODczMzZlNzQxYmRiZmJmOGQyMjdkMmQ4OGY5ODEiLCJ1c2VySWQiOiI2Mjc0MTM0MDUifQ==</vt:lpwstr>
  </property>
  <property fmtid="{D5CDD505-2E9C-101B-9397-08002B2CF9AE}" pid="4" name="ICV">
    <vt:lpwstr>0F2B30800F9F467C9B85A92FC0BF976F_12</vt:lpwstr>
  </property>
</Properties>
</file>