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F1A01">
      <w:pPr>
        <w:spacing w:before="104" w:line="224" w:lineRule="auto"/>
        <w:ind w:firstLine="672" w:firstLineChars="200"/>
        <w:rPr>
          <w:rFonts w:hint="default" w:ascii="黑体" w:hAnsi="黑体" w:eastAsia="黑体" w:cs="黑体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  <w:t>4</w:t>
      </w:r>
    </w:p>
    <w:p w14:paraId="133CB62B">
      <w:pPr>
        <w:spacing w:before="42" w:line="317" w:lineRule="auto"/>
        <w:jc w:val="center"/>
        <w:rPr>
          <w:rFonts w:ascii="方正小标宋简体" w:hAnsi="Times New Roman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云南省</w:t>
      </w:r>
      <w:r>
        <w:rPr>
          <w:rFonts w:hint="eastAsia" w:ascii="方正小标宋简体" w:hAnsi="Times New Roman" w:eastAsia="方正小标宋简体" w:cs="Times New Roman"/>
          <w:snapToGrid/>
          <w:color w:val="auto"/>
          <w:kern w:val="2"/>
          <w:sz w:val="44"/>
          <w:szCs w:val="44"/>
          <w:lang w:val="en-US" w:eastAsia="zh-CN"/>
        </w:rPr>
        <w:t>易门县</w:t>
      </w:r>
      <w:r>
        <w:rPr>
          <w:rFonts w:hint="eastAsia" w:ascii="方正小标宋简体" w:hAnsi="Times New Roman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雪茄烟专营店零售点合理布局公示表</w:t>
      </w:r>
    </w:p>
    <w:p w14:paraId="1B255921">
      <w:pPr>
        <w:kinsoku/>
        <w:autoSpaceDE/>
        <w:autoSpaceDN/>
        <w:adjustRightInd/>
        <w:snapToGrid/>
        <w:ind w:firstLine="420" w:firstLineChars="200"/>
        <w:textAlignment w:val="auto"/>
        <w:rPr>
          <w:lang w:eastAsia="zh-CN"/>
        </w:rPr>
      </w:pPr>
      <w:r>
        <w:rPr>
          <w:rFonts w:hint="eastAsia" w:eastAsia="宋体"/>
          <w:lang w:eastAsia="zh-CN"/>
        </w:rPr>
        <w:t>单位：</w:t>
      </w:r>
      <w:r>
        <w:rPr>
          <w:rFonts w:hint="eastAsia"/>
          <w:lang w:val="en-US" w:eastAsia="zh-CN"/>
        </w:rPr>
        <w:t>云南省易门县</w:t>
      </w:r>
      <w:r>
        <w:rPr>
          <w:rFonts w:hint="eastAsia" w:ascii="宋体" w:hAnsi="宋体" w:eastAsia="宋体" w:cs="宋体"/>
          <w:lang w:eastAsia="zh-CN"/>
        </w:rPr>
        <w:t>烟草专卖局</w:t>
      </w:r>
      <w:r>
        <w:rPr>
          <w:rFonts w:hint="eastAsia" w:ascii="宋体" w:hAnsi="宋体" w:eastAsia="宋体" w:cs="宋体"/>
          <w:lang w:val="en-US" w:eastAsia="zh-CN"/>
        </w:rPr>
        <w:t xml:space="preserve">      </w:t>
      </w:r>
      <w:r>
        <w:rPr>
          <w:rFonts w:hint="eastAsia" w:eastAsia="宋体"/>
          <w:lang w:eastAsia="zh-CN"/>
        </w:rPr>
        <w:t xml:space="preserve">                                     公示时间：</w:t>
      </w:r>
      <w:r>
        <w:rPr>
          <w:rFonts w:hint="eastAsia"/>
          <w:lang w:val="en-US" w:eastAsia="zh-CN"/>
        </w:rPr>
        <w:t>2026</w:t>
      </w:r>
      <w:r>
        <w:rPr>
          <w:lang w:eastAsia="zh-CN"/>
        </w:rPr>
        <w:t>年</w:t>
      </w:r>
      <w:r>
        <w:rPr>
          <w:rFonts w:hint="eastAsia"/>
          <w:lang w:val="en-US" w:eastAsia="zh-CN"/>
        </w:rPr>
        <w:t>6</w:t>
      </w:r>
      <w:r>
        <w:rPr>
          <w:lang w:eastAsia="zh-CN"/>
        </w:rPr>
        <w:t>月</w:t>
      </w:r>
      <w:r>
        <w:rPr>
          <w:rFonts w:hint="eastAsia"/>
          <w:lang w:val="en-US" w:eastAsia="zh-CN"/>
        </w:rPr>
        <w:t>30</w:t>
      </w:r>
      <w:r>
        <w:rPr>
          <w:lang w:eastAsia="zh-CN"/>
        </w:rPr>
        <w:t>日</w:t>
      </w:r>
      <w:r>
        <w:rPr>
          <w:rFonts w:hint="eastAsia"/>
          <w:lang w:eastAsia="zh-CN"/>
        </w:rPr>
        <w:t>-</w:t>
      </w:r>
      <w:r>
        <w:rPr>
          <w:rFonts w:hint="eastAsia"/>
          <w:lang w:val="en-US" w:eastAsia="zh-CN"/>
        </w:rPr>
        <w:t>2026</w:t>
      </w:r>
      <w:r>
        <w:rPr>
          <w:lang w:eastAsia="zh-CN"/>
        </w:rPr>
        <w:t>年</w:t>
      </w:r>
      <w:r>
        <w:rPr>
          <w:rFonts w:hint="eastAsia"/>
          <w:lang w:val="en-US" w:eastAsia="zh-CN"/>
        </w:rPr>
        <w:t>7</w:t>
      </w:r>
      <w:r>
        <w:rPr>
          <w:lang w:eastAsia="zh-CN"/>
        </w:rPr>
        <w:t>月</w:t>
      </w:r>
      <w:r>
        <w:rPr>
          <w:rFonts w:hint="eastAsia"/>
          <w:lang w:val="en-US" w:eastAsia="zh-CN"/>
        </w:rPr>
        <w:t>2</w:t>
      </w:r>
      <w:r>
        <w:rPr>
          <w:lang w:eastAsia="zh-CN"/>
        </w:rPr>
        <w:t>日</w:t>
      </w:r>
    </w:p>
    <w:tbl>
      <w:tblPr>
        <w:tblStyle w:val="5"/>
        <w:tblpPr w:leftFromText="180" w:rightFromText="180" w:vertAnchor="text" w:horzAnchor="page" w:tblpX="1789" w:tblpY="151"/>
        <w:tblOverlap w:val="never"/>
        <w:tblW w:w="4751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6"/>
        <w:gridCol w:w="3516"/>
        <w:gridCol w:w="3556"/>
        <w:gridCol w:w="3404"/>
        <w:gridCol w:w="1790"/>
      </w:tblGrid>
      <w:tr w14:paraId="7902B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901B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3945" w:type="pct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A244C5B">
            <w:pPr>
              <w:ind w:left="241" w:hanging="241" w:hangingChars="100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  <w:t>数量情况</w:t>
            </w:r>
          </w:p>
        </w:tc>
        <w:tc>
          <w:tcPr>
            <w:tcW w:w="674" w:type="pct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C169299">
            <w:pPr>
              <w:ind w:left="19" w:right="80" w:rightChars="38" w:hanging="19" w:hangingChars="8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pacing w:val="-1"/>
                <w:sz w:val="24"/>
                <w:szCs w:val="24"/>
                <w:lang w:eastAsia="zh-CN"/>
              </w:rPr>
              <w:t>备注</w:t>
            </w:r>
          </w:p>
        </w:tc>
      </w:tr>
      <w:tr w14:paraId="3CEEB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7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D8F87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易门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  <w:t>县</w:t>
            </w:r>
          </w:p>
        </w:tc>
        <w:tc>
          <w:tcPr>
            <w:tcW w:w="1324" w:type="pct"/>
            <w:tcBorders>
              <w:left w:val="single" w:color="auto" w:sz="4" w:space="0"/>
            </w:tcBorders>
            <w:vAlign w:val="center"/>
          </w:tcPr>
          <w:p w14:paraId="49B82B3F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总量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  <w:t>规划数</w:t>
            </w:r>
          </w:p>
          <w:p w14:paraId="395FFDCF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1"/>
                <w:sz w:val="22"/>
                <w:szCs w:val="22"/>
                <w:lang w:eastAsia="zh-CN"/>
              </w:rPr>
              <w:t>（个）</w:t>
            </w:r>
          </w:p>
        </w:tc>
        <w:tc>
          <w:tcPr>
            <w:tcW w:w="1339" w:type="pct"/>
            <w:vAlign w:val="center"/>
          </w:tcPr>
          <w:p w14:paraId="3298B395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  <w:t>当前实际数</w:t>
            </w:r>
          </w:p>
          <w:p w14:paraId="272E3C9D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  <w:t>（个）</w:t>
            </w:r>
          </w:p>
        </w:tc>
        <w:tc>
          <w:tcPr>
            <w:tcW w:w="1281" w:type="pct"/>
            <w:vAlign w:val="center"/>
          </w:tcPr>
          <w:p w14:paraId="33D81293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当前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  <w:t>余量</w:t>
            </w:r>
          </w:p>
          <w:p w14:paraId="034D6C72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  <w:t>（个）</w:t>
            </w:r>
          </w:p>
        </w:tc>
        <w:tc>
          <w:tcPr>
            <w:tcW w:w="674" w:type="pct"/>
            <w:vMerge w:val="continue"/>
            <w:tcBorders>
              <w:right w:val="single" w:color="auto" w:sz="4" w:space="0"/>
            </w:tcBorders>
            <w:vAlign w:val="center"/>
          </w:tcPr>
          <w:p w14:paraId="6357DE0E">
            <w:pPr>
              <w:rPr>
                <w:rFonts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</w:pPr>
          </w:p>
        </w:tc>
      </w:tr>
      <w:tr w14:paraId="112D9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37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2F057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324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A8B1206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1339" w:type="pct"/>
            <w:tcBorders>
              <w:bottom w:val="single" w:color="auto" w:sz="4" w:space="0"/>
            </w:tcBorders>
            <w:vAlign w:val="center"/>
          </w:tcPr>
          <w:p w14:paraId="343F308B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281" w:type="pct"/>
            <w:tcBorders>
              <w:bottom w:val="single" w:color="auto" w:sz="4" w:space="0"/>
            </w:tcBorders>
            <w:vAlign w:val="center"/>
          </w:tcPr>
          <w:p w14:paraId="77361F75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674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C4C9645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</w:tr>
    </w:tbl>
    <w:p w14:paraId="58173094">
      <w:pPr>
        <w:spacing w:before="42" w:line="219" w:lineRule="auto"/>
        <w:ind w:firstLine="436" w:firstLineChars="200"/>
        <w:rPr>
          <w:rFonts w:ascii="宋体" w:hAnsi="宋体" w:eastAsia="宋体" w:cs="宋体"/>
          <w:spacing w:val="-1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备注：</w:t>
      </w:r>
    </w:p>
    <w:p w14:paraId="0CAF81A6">
      <w:pPr>
        <w:spacing w:before="42" w:line="219" w:lineRule="auto"/>
        <w:ind w:firstLine="436" w:firstLineChars="200"/>
        <w:rPr>
          <w:rFonts w:ascii="宋体" w:hAnsi="宋体" w:eastAsia="宋体" w:cs="宋体"/>
          <w:spacing w:val="-1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pacing w:val="-1"/>
          <w:sz w:val="22"/>
          <w:szCs w:val="22"/>
          <w:lang w:eastAsia="zh-CN"/>
        </w:rPr>
        <w:t>1.本公示表的数据根据本县零售点布局规划实行定期评价、动态管理。</w:t>
      </w:r>
    </w:p>
    <w:p w14:paraId="536751EC">
      <w:pPr>
        <w:spacing w:before="42" w:line="219" w:lineRule="auto"/>
        <w:ind w:left="420" w:leftChars="200"/>
        <w:rPr>
          <w:rFonts w:ascii="宋体" w:hAnsi="宋体" w:eastAsia="宋体" w:cs="宋体"/>
          <w:spacing w:val="-1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pacing w:val="-1"/>
          <w:sz w:val="22"/>
          <w:szCs w:val="22"/>
          <w:lang w:eastAsia="zh-CN"/>
        </w:rPr>
        <w:t>2.每季度根据经济发展、城市和乡村建设、市场形势等变化情况对本表中的数据进行动态调整，规划数相应进行动态更新，以每季度最后一次公示的数据为准。</w:t>
      </w:r>
    </w:p>
    <w:p w14:paraId="3DBEA4CC">
      <w:pPr>
        <w:spacing w:before="42" w:line="219" w:lineRule="auto"/>
        <w:ind w:firstLine="436" w:firstLineChars="200"/>
        <w:jc w:val="both"/>
        <w:rPr>
          <w:rFonts w:hint="eastAsia" w:ascii="宋体" w:hAnsi="宋体" w:eastAsia="宋体" w:cs="宋体"/>
          <w:spacing w:val="-1"/>
          <w:sz w:val="22"/>
          <w:szCs w:val="22"/>
          <w:lang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pacing w:val="-1"/>
          <w:sz w:val="22"/>
          <w:szCs w:val="22"/>
          <w:lang w:eastAsia="zh-CN"/>
        </w:rPr>
        <w:t>3.本数据由</w:t>
      </w:r>
      <w:r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</w:rPr>
        <w:t>云南省易门县</w:t>
      </w:r>
      <w:r>
        <w:rPr>
          <w:rFonts w:hint="eastAsia" w:ascii="宋体" w:hAnsi="宋体" w:eastAsia="宋体" w:cs="宋体"/>
          <w:spacing w:val="-1"/>
          <w:sz w:val="22"/>
          <w:szCs w:val="22"/>
          <w:lang w:eastAsia="zh-CN"/>
        </w:rPr>
        <w:t>烟草专卖局负责解释，咨询电话：</w:t>
      </w:r>
      <w:r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</w:rPr>
        <w:t>0877-4968256。</w:t>
      </w:r>
      <w:bookmarkStart w:id="0" w:name="_GoBack"/>
      <w:bookmarkEnd w:id="0"/>
    </w:p>
    <w:p w14:paraId="4473FA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C3B1A01-C511-4BFA-8D09-465AD55CBB4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ACD2F16-3120-4FE9-8361-E26A38FEF08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07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2026-08-26T00:59:04Z</dcterms:created>
  <dc:creator>yangzhisheng2135</dc:creator>
  <cp:lastModifiedBy>Mr Qin</cp:lastModifiedBy>
  <dcterms:modified xsi:type="dcterms:W3CDTF">2026-08-26T00:59:31Z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eyJoZGlkIjoiZGQ5ODczMzZlNzQxYmRiZmJmOGQyMjdkMmQ4OGY5ODEiLCJ1c2VySWQiOiI2Mjc0MTM0MDUifQ==</vt:lpwstr>
  </property>
  <property fmtid="{D5CDD505-2E9C-101B-9397-08002B2CF9AE}" pid="4" name="ICV">
    <vt:lpwstr>95E1194E4AB54D4EA85D5D39F17896A9_12</vt:lpwstr>
  </property>
</Properties>
</file>